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329E" w:rsidRPr="00B53423" w:rsidRDefault="00E6329E" w:rsidP="0015232B">
      <w:pPr>
        <w:jc w:val="center"/>
      </w:pPr>
      <w:r w:rsidRPr="00B53423">
        <w:rPr>
          <w:noProof/>
          <w:lang w:val="en-US"/>
        </w:rPr>
        <w:drawing>
          <wp:inline distT="0" distB="0" distL="0" distR="0">
            <wp:extent cx="1371600" cy="1438275"/>
            <wp:effectExtent l="19050" t="0" r="0" b="0"/>
            <wp:docPr id="20" name="Picture 41"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uperclogo"/>
                    <pic:cNvPicPr>
                      <a:picLocks noChangeAspect="1" noChangeArrowheads="1"/>
                    </pic:cNvPicPr>
                  </pic:nvPicPr>
                  <pic:blipFill>
                    <a:blip r:embed="rId8" cstate="print"/>
                    <a:srcRect/>
                    <a:stretch>
                      <a:fillRect/>
                    </a:stretch>
                  </pic:blipFill>
                  <pic:spPr bwMode="auto">
                    <a:xfrm>
                      <a:off x="0" y="0"/>
                      <a:ext cx="1371600" cy="1438275"/>
                    </a:xfrm>
                    <a:prstGeom prst="rect">
                      <a:avLst/>
                    </a:prstGeom>
                    <a:noFill/>
                    <a:ln w="9525">
                      <a:noFill/>
                      <a:miter lim="800000"/>
                      <a:headEnd/>
                      <a:tailEnd/>
                    </a:ln>
                  </pic:spPr>
                </pic:pic>
              </a:graphicData>
            </a:graphic>
          </wp:inline>
        </w:drawing>
      </w:r>
    </w:p>
    <w:p w:rsidR="00E6329E" w:rsidRPr="00B53423" w:rsidRDefault="00E6329E" w:rsidP="0015232B">
      <w:pPr>
        <w:jc w:val="center"/>
        <w:rPr>
          <w:b/>
        </w:rPr>
      </w:pPr>
    </w:p>
    <w:p w:rsidR="00E6329E" w:rsidRPr="00B53423" w:rsidRDefault="00E6329E" w:rsidP="0015232B">
      <w:pPr>
        <w:jc w:val="center"/>
        <w:rPr>
          <w:b/>
        </w:rPr>
      </w:pPr>
      <w:r w:rsidRPr="00B53423">
        <w:rPr>
          <w:b/>
        </w:rPr>
        <w:t>UTTAR PRADESH ELECTRICITY REGULATORY COMMISSION</w:t>
      </w:r>
    </w:p>
    <w:p w:rsidR="00E6329E" w:rsidRPr="00B53423" w:rsidRDefault="00E6329E" w:rsidP="0015232B">
      <w:pPr>
        <w:jc w:val="center"/>
        <w:rPr>
          <w:b/>
          <w:caps/>
        </w:rPr>
      </w:pPr>
      <w:r w:rsidRPr="00B53423">
        <w:rPr>
          <w:b/>
          <w:caps/>
        </w:rPr>
        <w:t>Lucknow</w:t>
      </w:r>
    </w:p>
    <w:p w:rsidR="00E6329E" w:rsidRPr="00B53423" w:rsidRDefault="00E6329E" w:rsidP="0015232B">
      <w:pPr>
        <w:jc w:val="center"/>
      </w:pPr>
    </w:p>
    <w:p w:rsidR="00E6329E" w:rsidRPr="00B53423" w:rsidRDefault="00E6329E" w:rsidP="0015232B">
      <w:pPr>
        <w:jc w:val="center"/>
      </w:pPr>
    </w:p>
    <w:p w:rsidR="00E6329E" w:rsidRPr="00B53423" w:rsidRDefault="003631D4" w:rsidP="0015232B">
      <w:pPr>
        <w:jc w:val="center"/>
      </w:pPr>
      <w:r w:rsidRPr="00B53423">
        <w:t>Petition No</w:t>
      </w:r>
      <w:r w:rsidR="00A5411A" w:rsidRPr="00B53423">
        <w:t>.</w:t>
      </w:r>
      <w:r w:rsidR="00B54737" w:rsidRPr="00B53423">
        <w:t xml:space="preserve"> 889 /</w:t>
      </w:r>
      <w:r w:rsidR="00A5411A" w:rsidRPr="00B53423">
        <w:t xml:space="preserve"> 2013</w:t>
      </w:r>
      <w:r w:rsidRPr="00B53423">
        <w:t xml:space="preserve"> and </w:t>
      </w:r>
      <w:r w:rsidR="00B54737" w:rsidRPr="00B53423">
        <w:t>921 /</w:t>
      </w:r>
      <w:r w:rsidRPr="00B53423">
        <w:t xml:space="preserve"> 2013</w:t>
      </w:r>
    </w:p>
    <w:p w:rsidR="00E6329E" w:rsidRPr="00B53423" w:rsidRDefault="00E6329E" w:rsidP="0015232B">
      <w:pPr>
        <w:jc w:val="center"/>
      </w:pPr>
    </w:p>
    <w:p w:rsidR="00E6329E" w:rsidRPr="00B53423" w:rsidRDefault="00E6329E" w:rsidP="0015232B">
      <w:pPr>
        <w:jc w:val="center"/>
      </w:pPr>
    </w:p>
    <w:p w:rsidR="00E6329E" w:rsidRPr="00B53423" w:rsidRDefault="00E6329E" w:rsidP="0015232B"/>
    <w:p w:rsidR="003631D4" w:rsidRPr="00B53423" w:rsidRDefault="003631D4" w:rsidP="0015232B">
      <w:pPr>
        <w:jc w:val="center"/>
        <w:rPr>
          <w:b/>
          <w:caps/>
        </w:rPr>
      </w:pPr>
      <w:r w:rsidRPr="00B53423">
        <w:rPr>
          <w:b/>
          <w:caps/>
        </w:rPr>
        <w:t xml:space="preserve">Determination of Aggregate Revenue Requirement (ARR) and Tariff for FY 2014-15 </w:t>
      </w:r>
    </w:p>
    <w:p w:rsidR="003631D4" w:rsidRPr="00B53423" w:rsidRDefault="003631D4" w:rsidP="0015232B">
      <w:pPr>
        <w:pStyle w:val="Default"/>
        <w:spacing w:line="276" w:lineRule="auto"/>
        <w:jc w:val="center"/>
        <w:rPr>
          <w:rFonts w:cstheme="minorHAnsi"/>
          <w:b/>
          <w:caps/>
        </w:rPr>
      </w:pPr>
      <w:r w:rsidRPr="00B53423">
        <w:rPr>
          <w:rFonts w:cstheme="minorHAnsi"/>
          <w:b/>
          <w:caps/>
        </w:rPr>
        <w:t>aND</w:t>
      </w:r>
    </w:p>
    <w:p w:rsidR="003631D4" w:rsidRPr="00B53423" w:rsidRDefault="003631D4" w:rsidP="0015232B">
      <w:pPr>
        <w:jc w:val="center"/>
        <w:rPr>
          <w:b/>
        </w:rPr>
      </w:pPr>
      <w:r w:rsidRPr="00B53423">
        <w:rPr>
          <w:b/>
        </w:rPr>
        <w:t>PETITION FOR TRUE-UP OF ARR AND REVENUE FOR THE FINANCIAL YEARS 2008-09 TO 2011-12</w:t>
      </w:r>
    </w:p>
    <w:p w:rsidR="003631D4" w:rsidRPr="00B53423" w:rsidRDefault="003631D4" w:rsidP="0015232B">
      <w:pPr>
        <w:jc w:val="center"/>
        <w:rPr>
          <w:b/>
        </w:rPr>
      </w:pPr>
      <w:r w:rsidRPr="00B53423">
        <w:rPr>
          <w:b/>
        </w:rPr>
        <w:t xml:space="preserve">FOR </w:t>
      </w:r>
    </w:p>
    <w:p w:rsidR="00E6329E" w:rsidRPr="00B53423" w:rsidRDefault="00E6329E" w:rsidP="0015232B">
      <w:pPr>
        <w:jc w:val="center"/>
        <w:rPr>
          <w:b/>
        </w:rPr>
      </w:pPr>
    </w:p>
    <w:p w:rsidR="00E6329E" w:rsidRPr="00B53423" w:rsidRDefault="00E6329E" w:rsidP="0015232B">
      <w:pPr>
        <w:jc w:val="center"/>
      </w:pPr>
      <w:r w:rsidRPr="00B53423">
        <w:rPr>
          <w:b/>
        </w:rPr>
        <w:t>KANPUR ELECTRICITY SUPPLY COMPANY LIMITED</w:t>
      </w:r>
    </w:p>
    <w:p w:rsidR="00E6329E" w:rsidRPr="00B53423" w:rsidRDefault="00E6329E" w:rsidP="0015232B">
      <w:pPr>
        <w:jc w:val="center"/>
      </w:pPr>
    </w:p>
    <w:p w:rsidR="00E6329E" w:rsidRPr="00B53423" w:rsidRDefault="00E6329E" w:rsidP="0015232B">
      <w:pPr>
        <w:jc w:val="center"/>
      </w:pPr>
    </w:p>
    <w:p w:rsidR="00E6329E" w:rsidRPr="00B53423" w:rsidRDefault="00E6329E" w:rsidP="0015232B">
      <w:pPr>
        <w:jc w:val="center"/>
      </w:pPr>
      <w:r w:rsidRPr="00B53423">
        <w:t xml:space="preserve">ORDER UNDER SECTION </w:t>
      </w:r>
      <w:r w:rsidR="003631D4" w:rsidRPr="00B53423">
        <w:t xml:space="preserve">62 and </w:t>
      </w:r>
      <w:r w:rsidRPr="00B53423">
        <w:t>64 OF</w:t>
      </w:r>
    </w:p>
    <w:p w:rsidR="00E6329E" w:rsidRPr="00B53423" w:rsidRDefault="00E6329E" w:rsidP="0015232B">
      <w:pPr>
        <w:jc w:val="center"/>
      </w:pPr>
      <w:r w:rsidRPr="00B53423">
        <w:t>THE ELECTRICITY ACT, 2003</w:t>
      </w:r>
    </w:p>
    <w:p w:rsidR="00E6329E" w:rsidRPr="00B53423" w:rsidRDefault="00E6329E" w:rsidP="0015232B">
      <w:pPr>
        <w:jc w:val="center"/>
      </w:pPr>
    </w:p>
    <w:p w:rsidR="00E6329E" w:rsidRPr="00B53423" w:rsidRDefault="00E373E3" w:rsidP="0015232B">
      <w:pPr>
        <w:jc w:val="center"/>
      </w:pPr>
      <w:r>
        <w:t>1</w:t>
      </w:r>
      <w:r w:rsidRPr="00E373E3">
        <w:rPr>
          <w:vertAlign w:val="superscript"/>
        </w:rPr>
        <w:t>st</w:t>
      </w:r>
      <w:r>
        <w:t xml:space="preserve"> October</w:t>
      </w:r>
      <w:r w:rsidR="00A64A75" w:rsidRPr="00B53423">
        <w:t>, 2014</w:t>
      </w:r>
    </w:p>
    <w:p w:rsidR="00E6329E" w:rsidRPr="00B53423" w:rsidRDefault="00E6329E" w:rsidP="0015232B">
      <w:pPr>
        <w:jc w:val="center"/>
        <w:sectPr w:rsidR="00E6329E" w:rsidRPr="00B53423" w:rsidSect="004065F0">
          <w:headerReference w:type="default" r:id="rId9"/>
          <w:footerReference w:type="default" r:id="rId10"/>
          <w:pgSz w:w="11909" w:h="16834" w:code="9"/>
          <w:pgMar w:top="1440" w:right="1440" w:bottom="1440" w:left="1800" w:header="720" w:footer="720" w:gutter="0"/>
          <w:pgNumType w:start="1"/>
          <w:cols w:space="720"/>
          <w:titlePg/>
          <w:docGrid w:linePitch="360"/>
        </w:sectPr>
      </w:pPr>
    </w:p>
    <w:p w:rsidR="00E6329E" w:rsidRPr="00B53423" w:rsidRDefault="00E6329E" w:rsidP="0015232B">
      <w:pPr>
        <w:jc w:val="center"/>
        <w:rPr>
          <w:b/>
          <w:sz w:val="22"/>
          <w:u w:val="single"/>
        </w:rPr>
      </w:pPr>
      <w:r w:rsidRPr="00B53423">
        <w:rPr>
          <w:b/>
          <w:sz w:val="28"/>
          <w:u w:val="single"/>
        </w:rPr>
        <w:lastRenderedPageBreak/>
        <w:t>TABLE OF CONTENTS</w:t>
      </w:r>
    </w:p>
    <w:p w:rsidR="00E6329E" w:rsidRPr="00B53423" w:rsidRDefault="00E6329E" w:rsidP="0015232B"/>
    <w:p w:rsidR="00EA3482" w:rsidRDefault="005D68E7">
      <w:pPr>
        <w:pStyle w:val="TOC1"/>
        <w:rPr>
          <w:rFonts w:eastAsiaTheme="minorEastAsia" w:cstheme="minorBidi"/>
          <w:bCs w:val="0"/>
          <w:caps w:val="0"/>
          <w:noProof/>
          <w:sz w:val="22"/>
          <w:szCs w:val="22"/>
          <w:lang w:val="en-US"/>
        </w:rPr>
      </w:pPr>
      <w:r w:rsidRPr="005D68E7">
        <w:rPr>
          <w:b/>
          <w:sz w:val="24"/>
          <w:szCs w:val="24"/>
        </w:rPr>
        <w:fldChar w:fldCharType="begin"/>
      </w:r>
      <w:r w:rsidR="00E6329E" w:rsidRPr="00B53423">
        <w:rPr>
          <w:b/>
          <w:sz w:val="24"/>
          <w:szCs w:val="24"/>
        </w:rPr>
        <w:instrText xml:space="preserve"> TOC \o "1-2" \h \z \u </w:instrText>
      </w:r>
      <w:r w:rsidRPr="005D68E7">
        <w:rPr>
          <w:b/>
          <w:sz w:val="24"/>
          <w:szCs w:val="24"/>
        </w:rPr>
        <w:fldChar w:fldCharType="separate"/>
      </w:r>
      <w:hyperlink w:anchor="_Toc399626098" w:history="1">
        <w:r w:rsidR="00EA3482" w:rsidRPr="00DE2BD9">
          <w:rPr>
            <w:rStyle w:val="Hyperlink"/>
            <w:noProof/>
          </w:rPr>
          <w:t>1</w:t>
        </w:r>
        <w:r w:rsidR="00EA3482">
          <w:rPr>
            <w:rFonts w:eastAsiaTheme="minorEastAsia" w:cstheme="minorBidi"/>
            <w:bCs w:val="0"/>
            <w:caps w:val="0"/>
            <w:noProof/>
            <w:sz w:val="22"/>
            <w:szCs w:val="22"/>
            <w:lang w:val="en-US"/>
          </w:rPr>
          <w:tab/>
        </w:r>
        <w:r w:rsidR="00EA3482" w:rsidRPr="00DE2BD9">
          <w:rPr>
            <w:rStyle w:val="Hyperlink"/>
            <w:noProof/>
          </w:rPr>
          <w:t>BACKGROUND AND BRIEF HISTORY</w:t>
        </w:r>
        <w:r w:rsidR="00EA3482">
          <w:rPr>
            <w:noProof/>
            <w:webHidden/>
          </w:rPr>
          <w:tab/>
        </w:r>
        <w:r>
          <w:rPr>
            <w:noProof/>
            <w:webHidden/>
          </w:rPr>
          <w:fldChar w:fldCharType="begin"/>
        </w:r>
        <w:r w:rsidR="00EA3482">
          <w:rPr>
            <w:noProof/>
            <w:webHidden/>
          </w:rPr>
          <w:instrText xml:space="preserve"> PAGEREF _Toc399626098 \h </w:instrText>
        </w:r>
        <w:r>
          <w:rPr>
            <w:noProof/>
            <w:webHidden/>
          </w:rPr>
        </w:r>
        <w:r>
          <w:rPr>
            <w:noProof/>
            <w:webHidden/>
          </w:rPr>
          <w:fldChar w:fldCharType="separate"/>
        </w:r>
        <w:r w:rsidR="00C32B27">
          <w:rPr>
            <w:noProof/>
            <w:webHidden/>
          </w:rPr>
          <w:t>14</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099" w:history="1">
        <w:r w:rsidR="00EA3482" w:rsidRPr="00DE2BD9">
          <w:rPr>
            <w:rStyle w:val="Hyperlink"/>
            <w:noProof/>
          </w:rPr>
          <w:t>1.1</w:t>
        </w:r>
        <w:r w:rsidR="00EA3482">
          <w:rPr>
            <w:rFonts w:eastAsiaTheme="minorEastAsia" w:cstheme="minorBidi"/>
            <w:smallCaps w:val="0"/>
            <w:noProof/>
            <w:sz w:val="22"/>
            <w:szCs w:val="22"/>
            <w:lang w:val="en-US"/>
          </w:rPr>
          <w:tab/>
        </w:r>
        <w:r w:rsidR="00EA3482" w:rsidRPr="00DE2BD9">
          <w:rPr>
            <w:rStyle w:val="Hyperlink"/>
            <w:noProof/>
          </w:rPr>
          <w:t>BACKGROUND:</w:t>
        </w:r>
        <w:r w:rsidR="00EA3482">
          <w:rPr>
            <w:noProof/>
            <w:webHidden/>
          </w:rPr>
          <w:tab/>
        </w:r>
        <w:r>
          <w:rPr>
            <w:noProof/>
            <w:webHidden/>
          </w:rPr>
          <w:fldChar w:fldCharType="begin"/>
        </w:r>
        <w:r w:rsidR="00EA3482">
          <w:rPr>
            <w:noProof/>
            <w:webHidden/>
          </w:rPr>
          <w:instrText xml:space="preserve"> PAGEREF _Toc399626099 \h </w:instrText>
        </w:r>
        <w:r>
          <w:rPr>
            <w:noProof/>
            <w:webHidden/>
          </w:rPr>
        </w:r>
        <w:r>
          <w:rPr>
            <w:noProof/>
            <w:webHidden/>
          </w:rPr>
          <w:fldChar w:fldCharType="separate"/>
        </w:r>
        <w:r w:rsidR="00C32B27">
          <w:rPr>
            <w:noProof/>
            <w:webHidden/>
          </w:rPr>
          <w:t>14</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00" w:history="1">
        <w:r w:rsidR="00EA3482" w:rsidRPr="00DE2BD9">
          <w:rPr>
            <w:rStyle w:val="Hyperlink"/>
            <w:noProof/>
          </w:rPr>
          <w:t>1.2</w:t>
        </w:r>
        <w:r w:rsidR="00EA3482">
          <w:rPr>
            <w:rFonts w:eastAsiaTheme="minorEastAsia" w:cstheme="minorBidi"/>
            <w:smallCaps w:val="0"/>
            <w:noProof/>
            <w:sz w:val="22"/>
            <w:szCs w:val="22"/>
            <w:lang w:val="en-US"/>
          </w:rPr>
          <w:tab/>
        </w:r>
        <w:r w:rsidR="00EA3482" w:rsidRPr="00DE2BD9">
          <w:rPr>
            <w:rStyle w:val="Hyperlink"/>
            <w:noProof/>
          </w:rPr>
          <w:t>DISTRIBUTION TARIFF REGULATIONS:</w:t>
        </w:r>
        <w:r w:rsidR="00EA3482">
          <w:rPr>
            <w:noProof/>
            <w:webHidden/>
          </w:rPr>
          <w:tab/>
        </w:r>
        <w:r>
          <w:rPr>
            <w:noProof/>
            <w:webHidden/>
          </w:rPr>
          <w:fldChar w:fldCharType="begin"/>
        </w:r>
        <w:r w:rsidR="00EA3482">
          <w:rPr>
            <w:noProof/>
            <w:webHidden/>
          </w:rPr>
          <w:instrText xml:space="preserve"> PAGEREF _Toc399626100 \h </w:instrText>
        </w:r>
        <w:r>
          <w:rPr>
            <w:noProof/>
            <w:webHidden/>
          </w:rPr>
        </w:r>
        <w:r>
          <w:rPr>
            <w:noProof/>
            <w:webHidden/>
          </w:rPr>
          <w:fldChar w:fldCharType="separate"/>
        </w:r>
        <w:r w:rsidR="00C32B27">
          <w:rPr>
            <w:noProof/>
            <w:webHidden/>
          </w:rPr>
          <w:t>15</w:t>
        </w:r>
        <w:r>
          <w:rPr>
            <w:noProof/>
            <w:webHidden/>
          </w:rPr>
          <w:fldChar w:fldCharType="end"/>
        </w:r>
      </w:hyperlink>
    </w:p>
    <w:p w:rsidR="00EA3482" w:rsidRDefault="005D68E7">
      <w:pPr>
        <w:pStyle w:val="TOC1"/>
        <w:rPr>
          <w:rFonts w:eastAsiaTheme="minorEastAsia" w:cstheme="minorBidi"/>
          <w:bCs w:val="0"/>
          <w:caps w:val="0"/>
          <w:noProof/>
          <w:sz w:val="22"/>
          <w:szCs w:val="22"/>
          <w:lang w:val="en-US"/>
        </w:rPr>
      </w:pPr>
      <w:hyperlink w:anchor="_Toc399626102" w:history="1">
        <w:r w:rsidR="00EA3482" w:rsidRPr="00DE2BD9">
          <w:rPr>
            <w:rStyle w:val="Hyperlink"/>
            <w:noProof/>
          </w:rPr>
          <w:t>2</w:t>
        </w:r>
        <w:r w:rsidR="00EA3482">
          <w:rPr>
            <w:rFonts w:eastAsiaTheme="minorEastAsia" w:cstheme="minorBidi"/>
            <w:bCs w:val="0"/>
            <w:caps w:val="0"/>
            <w:noProof/>
            <w:sz w:val="22"/>
            <w:szCs w:val="22"/>
            <w:lang w:val="en-US"/>
          </w:rPr>
          <w:tab/>
        </w:r>
        <w:r w:rsidR="00EA3482" w:rsidRPr="00DE2BD9">
          <w:rPr>
            <w:rStyle w:val="Hyperlink"/>
            <w:noProof/>
          </w:rPr>
          <w:t>PROCEDURAL HISTORY</w:t>
        </w:r>
        <w:r w:rsidR="00EA3482">
          <w:rPr>
            <w:noProof/>
            <w:webHidden/>
          </w:rPr>
          <w:tab/>
        </w:r>
        <w:r>
          <w:rPr>
            <w:noProof/>
            <w:webHidden/>
          </w:rPr>
          <w:fldChar w:fldCharType="begin"/>
        </w:r>
        <w:r w:rsidR="00EA3482">
          <w:rPr>
            <w:noProof/>
            <w:webHidden/>
          </w:rPr>
          <w:instrText xml:space="preserve"> PAGEREF _Toc399626102 \h </w:instrText>
        </w:r>
        <w:r>
          <w:rPr>
            <w:noProof/>
            <w:webHidden/>
          </w:rPr>
        </w:r>
        <w:r>
          <w:rPr>
            <w:noProof/>
            <w:webHidden/>
          </w:rPr>
          <w:fldChar w:fldCharType="separate"/>
        </w:r>
        <w:r w:rsidR="00C32B27">
          <w:rPr>
            <w:noProof/>
            <w:webHidden/>
          </w:rPr>
          <w:t>17</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05" w:history="1">
        <w:r w:rsidR="00EA3482" w:rsidRPr="00DE2BD9">
          <w:rPr>
            <w:rStyle w:val="Hyperlink"/>
            <w:noProof/>
          </w:rPr>
          <w:t>2.1</w:t>
        </w:r>
        <w:r w:rsidR="00EA3482">
          <w:rPr>
            <w:rFonts w:eastAsiaTheme="minorEastAsia" w:cstheme="minorBidi"/>
            <w:smallCaps w:val="0"/>
            <w:noProof/>
            <w:sz w:val="22"/>
            <w:szCs w:val="22"/>
            <w:lang w:val="en-US"/>
          </w:rPr>
          <w:tab/>
        </w:r>
        <w:r w:rsidR="00EA3482" w:rsidRPr="00DE2BD9">
          <w:rPr>
            <w:rStyle w:val="Hyperlink"/>
            <w:noProof/>
          </w:rPr>
          <w:t>ARR / TARIF AND TRUE-UP PETITIONS FILING BY THE LICENSEE</w:t>
        </w:r>
        <w:r w:rsidR="00EA3482">
          <w:rPr>
            <w:noProof/>
            <w:webHidden/>
          </w:rPr>
          <w:tab/>
        </w:r>
        <w:r>
          <w:rPr>
            <w:noProof/>
            <w:webHidden/>
          </w:rPr>
          <w:fldChar w:fldCharType="begin"/>
        </w:r>
        <w:r w:rsidR="00EA3482">
          <w:rPr>
            <w:noProof/>
            <w:webHidden/>
          </w:rPr>
          <w:instrText xml:space="preserve"> PAGEREF _Toc399626105 \h </w:instrText>
        </w:r>
        <w:r>
          <w:rPr>
            <w:noProof/>
            <w:webHidden/>
          </w:rPr>
        </w:r>
        <w:r>
          <w:rPr>
            <w:noProof/>
            <w:webHidden/>
          </w:rPr>
          <w:fldChar w:fldCharType="separate"/>
        </w:r>
        <w:r w:rsidR="00C32B27">
          <w:rPr>
            <w:noProof/>
            <w:webHidden/>
          </w:rPr>
          <w:t>17</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06" w:history="1">
        <w:r w:rsidR="00EA3482" w:rsidRPr="00DE2BD9">
          <w:rPr>
            <w:rStyle w:val="Hyperlink"/>
            <w:noProof/>
          </w:rPr>
          <w:t>2.2</w:t>
        </w:r>
        <w:r w:rsidR="00EA3482">
          <w:rPr>
            <w:rFonts w:eastAsiaTheme="minorEastAsia" w:cstheme="minorBidi"/>
            <w:smallCaps w:val="0"/>
            <w:noProof/>
            <w:sz w:val="22"/>
            <w:szCs w:val="22"/>
            <w:lang w:val="en-US"/>
          </w:rPr>
          <w:tab/>
        </w:r>
        <w:r w:rsidR="00EA3482" w:rsidRPr="00DE2BD9">
          <w:rPr>
            <w:rStyle w:val="Hyperlink"/>
            <w:noProof/>
          </w:rPr>
          <w:t>PRELIMINARY SCRUTINY OF THE PETITIONS:</w:t>
        </w:r>
        <w:r w:rsidR="00EA3482">
          <w:rPr>
            <w:noProof/>
            <w:webHidden/>
          </w:rPr>
          <w:tab/>
        </w:r>
        <w:r>
          <w:rPr>
            <w:noProof/>
            <w:webHidden/>
          </w:rPr>
          <w:fldChar w:fldCharType="begin"/>
        </w:r>
        <w:r w:rsidR="00EA3482">
          <w:rPr>
            <w:noProof/>
            <w:webHidden/>
          </w:rPr>
          <w:instrText xml:space="preserve"> PAGEREF _Toc399626106 \h </w:instrText>
        </w:r>
        <w:r>
          <w:rPr>
            <w:noProof/>
            <w:webHidden/>
          </w:rPr>
        </w:r>
        <w:r>
          <w:rPr>
            <w:noProof/>
            <w:webHidden/>
          </w:rPr>
          <w:fldChar w:fldCharType="separate"/>
        </w:r>
        <w:r w:rsidR="00C32B27">
          <w:rPr>
            <w:noProof/>
            <w:webHidden/>
          </w:rPr>
          <w:t>17</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08" w:history="1">
        <w:r w:rsidR="00EA3482" w:rsidRPr="00DE2BD9">
          <w:rPr>
            <w:rStyle w:val="Hyperlink"/>
            <w:noProof/>
          </w:rPr>
          <w:t>2.3</w:t>
        </w:r>
        <w:r w:rsidR="00EA3482">
          <w:rPr>
            <w:rFonts w:eastAsiaTheme="minorEastAsia" w:cstheme="minorBidi"/>
            <w:smallCaps w:val="0"/>
            <w:noProof/>
            <w:sz w:val="22"/>
            <w:szCs w:val="22"/>
            <w:lang w:val="en-US"/>
          </w:rPr>
          <w:tab/>
        </w:r>
        <w:r w:rsidR="00EA3482" w:rsidRPr="00DE2BD9">
          <w:rPr>
            <w:rStyle w:val="Hyperlink"/>
            <w:noProof/>
          </w:rPr>
          <w:t>ADMITTANCE OF THE TRUE-UP AND ARR / TARIFF PETITIONS</w:t>
        </w:r>
        <w:r w:rsidR="00EA3482">
          <w:rPr>
            <w:noProof/>
            <w:webHidden/>
          </w:rPr>
          <w:tab/>
        </w:r>
        <w:r>
          <w:rPr>
            <w:noProof/>
            <w:webHidden/>
          </w:rPr>
          <w:fldChar w:fldCharType="begin"/>
        </w:r>
        <w:r w:rsidR="00EA3482">
          <w:rPr>
            <w:noProof/>
            <w:webHidden/>
          </w:rPr>
          <w:instrText xml:space="preserve"> PAGEREF _Toc399626108 \h </w:instrText>
        </w:r>
        <w:r>
          <w:rPr>
            <w:noProof/>
            <w:webHidden/>
          </w:rPr>
        </w:r>
        <w:r>
          <w:rPr>
            <w:noProof/>
            <w:webHidden/>
          </w:rPr>
          <w:fldChar w:fldCharType="separate"/>
        </w:r>
        <w:r w:rsidR="00C32B27">
          <w:rPr>
            <w:noProof/>
            <w:webHidden/>
          </w:rPr>
          <w:t>18</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10" w:history="1">
        <w:r w:rsidR="00EA3482" w:rsidRPr="00DE2BD9">
          <w:rPr>
            <w:rStyle w:val="Hyperlink"/>
            <w:noProof/>
          </w:rPr>
          <w:t>2.4</w:t>
        </w:r>
        <w:r w:rsidR="00EA3482">
          <w:rPr>
            <w:rFonts w:eastAsiaTheme="minorEastAsia" w:cstheme="minorBidi"/>
            <w:smallCaps w:val="0"/>
            <w:noProof/>
            <w:sz w:val="22"/>
            <w:szCs w:val="22"/>
            <w:lang w:val="en-US"/>
          </w:rPr>
          <w:tab/>
        </w:r>
        <w:r w:rsidR="00EA3482" w:rsidRPr="00DE2BD9">
          <w:rPr>
            <w:rStyle w:val="Hyperlink"/>
            <w:noProof/>
          </w:rPr>
          <w:t>PUBLICITY OF THE PETITION</w:t>
        </w:r>
        <w:r w:rsidR="00EA3482">
          <w:rPr>
            <w:noProof/>
            <w:webHidden/>
          </w:rPr>
          <w:tab/>
        </w:r>
        <w:r>
          <w:rPr>
            <w:noProof/>
            <w:webHidden/>
          </w:rPr>
          <w:fldChar w:fldCharType="begin"/>
        </w:r>
        <w:r w:rsidR="00EA3482">
          <w:rPr>
            <w:noProof/>
            <w:webHidden/>
          </w:rPr>
          <w:instrText xml:space="preserve"> PAGEREF _Toc399626110 \h </w:instrText>
        </w:r>
        <w:r>
          <w:rPr>
            <w:noProof/>
            <w:webHidden/>
          </w:rPr>
        </w:r>
        <w:r>
          <w:rPr>
            <w:noProof/>
            <w:webHidden/>
          </w:rPr>
          <w:fldChar w:fldCharType="separate"/>
        </w:r>
        <w:r w:rsidR="00C32B27">
          <w:rPr>
            <w:noProof/>
            <w:webHidden/>
          </w:rPr>
          <w:t>19</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12" w:history="1">
        <w:r w:rsidR="00EA3482" w:rsidRPr="00DE2BD9">
          <w:rPr>
            <w:rStyle w:val="Hyperlink"/>
            <w:noProof/>
          </w:rPr>
          <w:t>2.5</w:t>
        </w:r>
        <w:r w:rsidR="00EA3482">
          <w:rPr>
            <w:rFonts w:eastAsiaTheme="minorEastAsia" w:cstheme="minorBidi"/>
            <w:smallCaps w:val="0"/>
            <w:noProof/>
            <w:sz w:val="22"/>
            <w:szCs w:val="22"/>
            <w:lang w:val="en-US"/>
          </w:rPr>
          <w:tab/>
        </w:r>
        <w:r w:rsidR="00EA3482" w:rsidRPr="00DE2BD9">
          <w:rPr>
            <w:rStyle w:val="Hyperlink"/>
            <w:noProof/>
          </w:rPr>
          <w:t>PUBLIC HEARING PROCESS</w:t>
        </w:r>
        <w:r w:rsidR="00EA3482">
          <w:rPr>
            <w:noProof/>
            <w:webHidden/>
          </w:rPr>
          <w:tab/>
        </w:r>
        <w:r>
          <w:rPr>
            <w:noProof/>
            <w:webHidden/>
          </w:rPr>
          <w:fldChar w:fldCharType="begin"/>
        </w:r>
        <w:r w:rsidR="00EA3482">
          <w:rPr>
            <w:noProof/>
            <w:webHidden/>
          </w:rPr>
          <w:instrText xml:space="preserve"> PAGEREF _Toc399626112 \h </w:instrText>
        </w:r>
        <w:r>
          <w:rPr>
            <w:noProof/>
            <w:webHidden/>
          </w:rPr>
        </w:r>
        <w:r>
          <w:rPr>
            <w:noProof/>
            <w:webHidden/>
          </w:rPr>
          <w:fldChar w:fldCharType="separate"/>
        </w:r>
        <w:r w:rsidR="00C32B27">
          <w:rPr>
            <w:noProof/>
            <w:webHidden/>
          </w:rPr>
          <w:t>20</w:t>
        </w:r>
        <w:r>
          <w:rPr>
            <w:noProof/>
            <w:webHidden/>
          </w:rPr>
          <w:fldChar w:fldCharType="end"/>
        </w:r>
      </w:hyperlink>
    </w:p>
    <w:p w:rsidR="00EA3482" w:rsidRDefault="005D68E7">
      <w:pPr>
        <w:pStyle w:val="TOC1"/>
        <w:tabs>
          <w:tab w:val="left" w:pos="960"/>
        </w:tabs>
        <w:rPr>
          <w:rFonts w:eastAsiaTheme="minorEastAsia" w:cstheme="minorBidi"/>
          <w:bCs w:val="0"/>
          <w:caps w:val="0"/>
          <w:noProof/>
          <w:sz w:val="22"/>
          <w:szCs w:val="22"/>
          <w:lang w:val="en-US"/>
        </w:rPr>
      </w:pPr>
      <w:hyperlink w:anchor="_Toc399626114" w:history="1">
        <w:r w:rsidR="00EA3482" w:rsidRPr="00DE2BD9">
          <w:rPr>
            <w:rStyle w:val="Hyperlink"/>
            <w:rFonts w:eastAsiaTheme="majorEastAsia"/>
            <w:noProof/>
            <w:lang w:val="en-US"/>
          </w:rPr>
          <w:t>3.</w:t>
        </w:r>
        <w:r w:rsidR="00EA3482">
          <w:rPr>
            <w:rFonts w:eastAsiaTheme="minorEastAsia" w:cstheme="minorBidi"/>
            <w:bCs w:val="0"/>
            <w:caps w:val="0"/>
            <w:noProof/>
            <w:sz w:val="22"/>
            <w:szCs w:val="22"/>
            <w:lang w:val="en-US"/>
          </w:rPr>
          <w:tab/>
        </w:r>
        <w:r w:rsidR="00EA3482" w:rsidRPr="00DE2BD9">
          <w:rPr>
            <w:rStyle w:val="Hyperlink"/>
            <w:noProof/>
          </w:rPr>
          <w:t>PUBLIC HEARING PROCESS</w:t>
        </w:r>
        <w:r w:rsidR="00EA3482">
          <w:rPr>
            <w:noProof/>
            <w:webHidden/>
          </w:rPr>
          <w:tab/>
        </w:r>
        <w:r>
          <w:rPr>
            <w:noProof/>
            <w:webHidden/>
          </w:rPr>
          <w:fldChar w:fldCharType="begin"/>
        </w:r>
        <w:r w:rsidR="00EA3482">
          <w:rPr>
            <w:noProof/>
            <w:webHidden/>
          </w:rPr>
          <w:instrText xml:space="preserve"> PAGEREF _Toc399626114 \h </w:instrText>
        </w:r>
        <w:r>
          <w:rPr>
            <w:noProof/>
            <w:webHidden/>
          </w:rPr>
        </w:r>
        <w:r>
          <w:rPr>
            <w:noProof/>
            <w:webHidden/>
          </w:rPr>
          <w:fldChar w:fldCharType="separate"/>
        </w:r>
        <w:r w:rsidR="00C32B27">
          <w:rPr>
            <w:noProof/>
            <w:webHidden/>
          </w:rPr>
          <w:t>21</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15" w:history="1">
        <w:r w:rsidR="00EA3482" w:rsidRPr="00DE2BD9">
          <w:rPr>
            <w:rStyle w:val="Hyperlink"/>
            <w:noProof/>
          </w:rPr>
          <w:t>3.1</w:t>
        </w:r>
        <w:r w:rsidR="00EA3482">
          <w:rPr>
            <w:rFonts w:eastAsiaTheme="minorEastAsia" w:cstheme="minorBidi"/>
            <w:smallCaps w:val="0"/>
            <w:noProof/>
            <w:sz w:val="22"/>
            <w:szCs w:val="22"/>
            <w:lang w:val="en-US"/>
          </w:rPr>
          <w:tab/>
        </w:r>
        <w:r w:rsidR="00EA3482" w:rsidRPr="00DE2BD9">
          <w:rPr>
            <w:rStyle w:val="Hyperlink"/>
            <w:noProof/>
          </w:rPr>
          <w:t>OBJECTIVE:</w:t>
        </w:r>
        <w:r w:rsidR="00EA3482">
          <w:rPr>
            <w:noProof/>
            <w:webHidden/>
          </w:rPr>
          <w:tab/>
        </w:r>
        <w:r>
          <w:rPr>
            <w:noProof/>
            <w:webHidden/>
          </w:rPr>
          <w:fldChar w:fldCharType="begin"/>
        </w:r>
        <w:r w:rsidR="00EA3482">
          <w:rPr>
            <w:noProof/>
            <w:webHidden/>
          </w:rPr>
          <w:instrText xml:space="preserve"> PAGEREF _Toc399626115 \h </w:instrText>
        </w:r>
        <w:r>
          <w:rPr>
            <w:noProof/>
            <w:webHidden/>
          </w:rPr>
        </w:r>
        <w:r>
          <w:rPr>
            <w:noProof/>
            <w:webHidden/>
          </w:rPr>
          <w:fldChar w:fldCharType="separate"/>
        </w:r>
        <w:r w:rsidR="00C32B27">
          <w:rPr>
            <w:noProof/>
            <w:webHidden/>
          </w:rPr>
          <w:t>21</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16" w:history="1">
        <w:r w:rsidR="00EA3482" w:rsidRPr="00DE2BD9">
          <w:rPr>
            <w:rStyle w:val="Hyperlink"/>
            <w:noProof/>
          </w:rPr>
          <w:t>3.2</w:t>
        </w:r>
        <w:r w:rsidR="00EA3482">
          <w:rPr>
            <w:rFonts w:eastAsiaTheme="minorEastAsia" w:cstheme="minorBidi"/>
            <w:smallCaps w:val="0"/>
            <w:noProof/>
            <w:sz w:val="22"/>
            <w:szCs w:val="22"/>
            <w:lang w:val="en-US"/>
          </w:rPr>
          <w:tab/>
        </w:r>
        <w:r w:rsidR="00EA3482" w:rsidRPr="00DE2BD9">
          <w:rPr>
            <w:rStyle w:val="Hyperlink"/>
            <w:noProof/>
          </w:rPr>
          <w:t>PUBLIC HEARING:</w:t>
        </w:r>
        <w:r w:rsidR="00EA3482">
          <w:rPr>
            <w:noProof/>
            <w:webHidden/>
          </w:rPr>
          <w:tab/>
        </w:r>
        <w:r>
          <w:rPr>
            <w:noProof/>
            <w:webHidden/>
          </w:rPr>
          <w:fldChar w:fldCharType="begin"/>
        </w:r>
        <w:r w:rsidR="00EA3482">
          <w:rPr>
            <w:noProof/>
            <w:webHidden/>
          </w:rPr>
          <w:instrText xml:space="preserve"> PAGEREF _Toc399626116 \h </w:instrText>
        </w:r>
        <w:r>
          <w:rPr>
            <w:noProof/>
            <w:webHidden/>
          </w:rPr>
        </w:r>
        <w:r>
          <w:rPr>
            <w:noProof/>
            <w:webHidden/>
          </w:rPr>
          <w:fldChar w:fldCharType="separate"/>
        </w:r>
        <w:r w:rsidR="00C32B27">
          <w:rPr>
            <w:noProof/>
            <w:webHidden/>
          </w:rPr>
          <w:t>21</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17" w:history="1">
        <w:r w:rsidR="00EA3482" w:rsidRPr="00DE2BD9">
          <w:rPr>
            <w:rStyle w:val="Hyperlink"/>
            <w:noProof/>
          </w:rPr>
          <w:t>3.3</w:t>
        </w:r>
        <w:r w:rsidR="00EA3482">
          <w:rPr>
            <w:rFonts w:eastAsiaTheme="minorEastAsia" w:cstheme="minorBidi"/>
            <w:smallCaps w:val="0"/>
            <w:noProof/>
            <w:sz w:val="22"/>
            <w:szCs w:val="22"/>
            <w:lang w:val="en-US"/>
          </w:rPr>
          <w:tab/>
        </w:r>
        <w:r w:rsidR="00EA3482" w:rsidRPr="00DE2BD9">
          <w:rPr>
            <w:rStyle w:val="Hyperlink"/>
            <w:noProof/>
          </w:rPr>
          <w:t>VIEWS / COMMENTS / SUGGESTIONS / OBJECTIONS / REPRESENTATIONS ON TRUE-UP / ARR / TARIFF PETITION</w:t>
        </w:r>
        <w:r w:rsidR="00EA3482">
          <w:rPr>
            <w:noProof/>
            <w:webHidden/>
          </w:rPr>
          <w:tab/>
        </w:r>
        <w:r>
          <w:rPr>
            <w:noProof/>
            <w:webHidden/>
          </w:rPr>
          <w:fldChar w:fldCharType="begin"/>
        </w:r>
        <w:r w:rsidR="00EA3482">
          <w:rPr>
            <w:noProof/>
            <w:webHidden/>
          </w:rPr>
          <w:instrText xml:space="preserve"> PAGEREF _Toc399626117 \h </w:instrText>
        </w:r>
        <w:r>
          <w:rPr>
            <w:noProof/>
            <w:webHidden/>
          </w:rPr>
        </w:r>
        <w:r>
          <w:rPr>
            <w:noProof/>
            <w:webHidden/>
          </w:rPr>
          <w:fldChar w:fldCharType="separate"/>
        </w:r>
        <w:r w:rsidR="00C32B27">
          <w:rPr>
            <w:noProof/>
            <w:webHidden/>
          </w:rPr>
          <w:t>22</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18" w:history="1">
        <w:r w:rsidR="00EA3482" w:rsidRPr="00DE2BD9">
          <w:rPr>
            <w:rStyle w:val="Hyperlink"/>
            <w:caps/>
            <w:noProof/>
          </w:rPr>
          <w:t>3.4</w:t>
        </w:r>
        <w:r w:rsidR="00EA3482">
          <w:rPr>
            <w:rFonts w:eastAsiaTheme="minorEastAsia" w:cstheme="minorBidi"/>
            <w:smallCaps w:val="0"/>
            <w:noProof/>
            <w:sz w:val="22"/>
            <w:szCs w:val="22"/>
            <w:lang w:val="en-US"/>
          </w:rPr>
          <w:tab/>
        </w:r>
        <w:r w:rsidR="00EA3482" w:rsidRPr="00DE2BD9">
          <w:rPr>
            <w:rStyle w:val="Hyperlink"/>
            <w:caps/>
            <w:noProof/>
          </w:rPr>
          <w:t>General</w:t>
        </w:r>
        <w:r w:rsidR="00EA3482">
          <w:rPr>
            <w:noProof/>
            <w:webHidden/>
          </w:rPr>
          <w:tab/>
        </w:r>
        <w:r>
          <w:rPr>
            <w:noProof/>
            <w:webHidden/>
          </w:rPr>
          <w:fldChar w:fldCharType="begin"/>
        </w:r>
        <w:r w:rsidR="00EA3482">
          <w:rPr>
            <w:noProof/>
            <w:webHidden/>
          </w:rPr>
          <w:instrText xml:space="preserve"> PAGEREF _Toc399626118 \h </w:instrText>
        </w:r>
        <w:r>
          <w:rPr>
            <w:noProof/>
            <w:webHidden/>
          </w:rPr>
        </w:r>
        <w:r>
          <w:rPr>
            <w:noProof/>
            <w:webHidden/>
          </w:rPr>
          <w:fldChar w:fldCharType="separate"/>
        </w:r>
        <w:r w:rsidR="00C32B27">
          <w:rPr>
            <w:noProof/>
            <w:webHidden/>
          </w:rPr>
          <w:t>23</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19" w:history="1">
        <w:r w:rsidR="00EA3482" w:rsidRPr="00DE2BD9">
          <w:rPr>
            <w:rStyle w:val="Hyperlink"/>
            <w:caps/>
            <w:noProof/>
          </w:rPr>
          <w:t>3.5</w:t>
        </w:r>
        <w:r w:rsidR="00EA3482">
          <w:rPr>
            <w:rFonts w:eastAsiaTheme="minorEastAsia" w:cstheme="minorBidi"/>
            <w:smallCaps w:val="0"/>
            <w:noProof/>
            <w:sz w:val="22"/>
            <w:szCs w:val="22"/>
            <w:lang w:val="en-US"/>
          </w:rPr>
          <w:tab/>
        </w:r>
        <w:r w:rsidR="00EA3482" w:rsidRPr="00DE2BD9">
          <w:rPr>
            <w:rStyle w:val="Hyperlink"/>
            <w:caps/>
            <w:noProof/>
          </w:rPr>
          <w:t>Compliance of Directives</w:t>
        </w:r>
        <w:r w:rsidR="00EA3482">
          <w:rPr>
            <w:noProof/>
            <w:webHidden/>
          </w:rPr>
          <w:tab/>
        </w:r>
        <w:r>
          <w:rPr>
            <w:noProof/>
            <w:webHidden/>
          </w:rPr>
          <w:fldChar w:fldCharType="begin"/>
        </w:r>
        <w:r w:rsidR="00EA3482">
          <w:rPr>
            <w:noProof/>
            <w:webHidden/>
          </w:rPr>
          <w:instrText xml:space="preserve"> PAGEREF _Toc399626119 \h </w:instrText>
        </w:r>
        <w:r>
          <w:rPr>
            <w:noProof/>
            <w:webHidden/>
          </w:rPr>
        </w:r>
        <w:r>
          <w:rPr>
            <w:noProof/>
            <w:webHidden/>
          </w:rPr>
          <w:fldChar w:fldCharType="separate"/>
        </w:r>
        <w:r w:rsidR="00C32B27">
          <w:rPr>
            <w:noProof/>
            <w:webHidden/>
          </w:rPr>
          <w:t>24</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20" w:history="1">
        <w:r w:rsidR="00EA3482" w:rsidRPr="00DE2BD9">
          <w:rPr>
            <w:rStyle w:val="Hyperlink"/>
            <w:caps/>
            <w:noProof/>
          </w:rPr>
          <w:t>3.6</w:t>
        </w:r>
        <w:r w:rsidR="00EA3482">
          <w:rPr>
            <w:rFonts w:eastAsiaTheme="minorEastAsia" w:cstheme="minorBidi"/>
            <w:smallCaps w:val="0"/>
            <w:noProof/>
            <w:sz w:val="22"/>
            <w:szCs w:val="22"/>
            <w:lang w:val="en-US"/>
          </w:rPr>
          <w:tab/>
        </w:r>
        <w:r w:rsidR="00EA3482" w:rsidRPr="00DE2BD9">
          <w:rPr>
            <w:rStyle w:val="Hyperlink"/>
            <w:caps/>
            <w:noProof/>
          </w:rPr>
          <w:t>Audit of accounts</w:t>
        </w:r>
        <w:r w:rsidR="00EA3482">
          <w:rPr>
            <w:noProof/>
            <w:webHidden/>
          </w:rPr>
          <w:tab/>
        </w:r>
        <w:r>
          <w:rPr>
            <w:noProof/>
            <w:webHidden/>
          </w:rPr>
          <w:fldChar w:fldCharType="begin"/>
        </w:r>
        <w:r w:rsidR="00EA3482">
          <w:rPr>
            <w:noProof/>
            <w:webHidden/>
          </w:rPr>
          <w:instrText xml:space="preserve"> PAGEREF _Toc399626120 \h </w:instrText>
        </w:r>
        <w:r>
          <w:rPr>
            <w:noProof/>
            <w:webHidden/>
          </w:rPr>
        </w:r>
        <w:r>
          <w:rPr>
            <w:noProof/>
            <w:webHidden/>
          </w:rPr>
          <w:fldChar w:fldCharType="separate"/>
        </w:r>
        <w:r w:rsidR="00C32B27">
          <w:rPr>
            <w:noProof/>
            <w:webHidden/>
          </w:rPr>
          <w:t>26</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21" w:history="1">
        <w:r w:rsidR="00EA3482" w:rsidRPr="00DE2BD9">
          <w:rPr>
            <w:rStyle w:val="Hyperlink"/>
            <w:caps/>
            <w:noProof/>
          </w:rPr>
          <w:t>3.7</w:t>
        </w:r>
        <w:r w:rsidR="00EA3482">
          <w:rPr>
            <w:rFonts w:eastAsiaTheme="minorEastAsia" w:cstheme="minorBidi"/>
            <w:smallCaps w:val="0"/>
            <w:noProof/>
            <w:sz w:val="22"/>
            <w:szCs w:val="22"/>
            <w:lang w:val="en-US"/>
          </w:rPr>
          <w:tab/>
        </w:r>
        <w:r w:rsidR="00EA3482" w:rsidRPr="00DE2BD9">
          <w:rPr>
            <w:rStyle w:val="Hyperlink"/>
            <w:caps/>
            <w:noProof/>
          </w:rPr>
          <w:t>Reduction in Tariff</w:t>
        </w:r>
        <w:r w:rsidR="00EA3482">
          <w:rPr>
            <w:noProof/>
            <w:webHidden/>
          </w:rPr>
          <w:tab/>
        </w:r>
        <w:r>
          <w:rPr>
            <w:noProof/>
            <w:webHidden/>
          </w:rPr>
          <w:fldChar w:fldCharType="begin"/>
        </w:r>
        <w:r w:rsidR="00EA3482">
          <w:rPr>
            <w:noProof/>
            <w:webHidden/>
          </w:rPr>
          <w:instrText xml:space="preserve"> PAGEREF _Toc399626121 \h </w:instrText>
        </w:r>
        <w:r>
          <w:rPr>
            <w:noProof/>
            <w:webHidden/>
          </w:rPr>
        </w:r>
        <w:r>
          <w:rPr>
            <w:noProof/>
            <w:webHidden/>
          </w:rPr>
          <w:fldChar w:fldCharType="separate"/>
        </w:r>
        <w:r w:rsidR="00C32B27">
          <w:rPr>
            <w:noProof/>
            <w:webHidden/>
          </w:rPr>
          <w:t>28</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22" w:history="1">
        <w:r w:rsidR="00EA3482" w:rsidRPr="00DE2BD9">
          <w:rPr>
            <w:rStyle w:val="Hyperlink"/>
            <w:caps/>
            <w:noProof/>
          </w:rPr>
          <w:t>3.8</w:t>
        </w:r>
        <w:r w:rsidR="00EA3482">
          <w:rPr>
            <w:rFonts w:eastAsiaTheme="minorEastAsia" w:cstheme="minorBidi"/>
            <w:smallCaps w:val="0"/>
            <w:noProof/>
            <w:sz w:val="22"/>
            <w:szCs w:val="22"/>
            <w:lang w:val="en-US"/>
          </w:rPr>
          <w:tab/>
        </w:r>
        <w:r w:rsidR="00EA3482" w:rsidRPr="00DE2BD9">
          <w:rPr>
            <w:rStyle w:val="Hyperlink"/>
            <w:caps/>
            <w:noProof/>
          </w:rPr>
          <w:t>Tariff Fixing</w:t>
        </w:r>
        <w:r w:rsidR="00EA3482">
          <w:rPr>
            <w:noProof/>
            <w:webHidden/>
          </w:rPr>
          <w:tab/>
        </w:r>
        <w:r>
          <w:rPr>
            <w:noProof/>
            <w:webHidden/>
          </w:rPr>
          <w:fldChar w:fldCharType="begin"/>
        </w:r>
        <w:r w:rsidR="00EA3482">
          <w:rPr>
            <w:noProof/>
            <w:webHidden/>
          </w:rPr>
          <w:instrText xml:space="preserve"> PAGEREF _Toc399626122 \h </w:instrText>
        </w:r>
        <w:r>
          <w:rPr>
            <w:noProof/>
            <w:webHidden/>
          </w:rPr>
        </w:r>
        <w:r>
          <w:rPr>
            <w:noProof/>
            <w:webHidden/>
          </w:rPr>
          <w:fldChar w:fldCharType="separate"/>
        </w:r>
        <w:r w:rsidR="00C32B27">
          <w:rPr>
            <w:noProof/>
            <w:webHidden/>
          </w:rPr>
          <w:t>29</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23" w:history="1">
        <w:r w:rsidR="00EA3482" w:rsidRPr="00DE2BD9">
          <w:rPr>
            <w:rStyle w:val="Hyperlink"/>
            <w:caps/>
            <w:noProof/>
          </w:rPr>
          <w:t>3.9</w:t>
        </w:r>
        <w:r w:rsidR="00EA3482">
          <w:rPr>
            <w:rFonts w:eastAsiaTheme="minorEastAsia" w:cstheme="minorBidi"/>
            <w:smallCaps w:val="0"/>
            <w:noProof/>
            <w:sz w:val="22"/>
            <w:szCs w:val="22"/>
            <w:lang w:val="en-US"/>
          </w:rPr>
          <w:tab/>
        </w:r>
        <w:r w:rsidR="00EA3482" w:rsidRPr="00DE2BD9">
          <w:rPr>
            <w:rStyle w:val="Hyperlink"/>
            <w:caps/>
            <w:noProof/>
          </w:rPr>
          <w:t>Railways</w:t>
        </w:r>
        <w:r w:rsidR="00EA3482">
          <w:rPr>
            <w:noProof/>
            <w:webHidden/>
          </w:rPr>
          <w:tab/>
        </w:r>
        <w:r>
          <w:rPr>
            <w:noProof/>
            <w:webHidden/>
          </w:rPr>
          <w:fldChar w:fldCharType="begin"/>
        </w:r>
        <w:r w:rsidR="00EA3482">
          <w:rPr>
            <w:noProof/>
            <w:webHidden/>
          </w:rPr>
          <w:instrText xml:space="preserve"> PAGEREF _Toc399626123 \h </w:instrText>
        </w:r>
        <w:r>
          <w:rPr>
            <w:noProof/>
            <w:webHidden/>
          </w:rPr>
        </w:r>
        <w:r>
          <w:rPr>
            <w:noProof/>
            <w:webHidden/>
          </w:rPr>
          <w:fldChar w:fldCharType="separate"/>
        </w:r>
        <w:r w:rsidR="00C32B27">
          <w:rPr>
            <w:noProof/>
            <w:webHidden/>
          </w:rPr>
          <w:t>29</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24" w:history="1">
        <w:r w:rsidR="00EA3482" w:rsidRPr="00DE2BD9">
          <w:rPr>
            <w:rStyle w:val="Hyperlink"/>
            <w:caps/>
            <w:noProof/>
          </w:rPr>
          <w:t>3.10</w:t>
        </w:r>
        <w:r w:rsidR="00EA3482">
          <w:rPr>
            <w:rFonts w:eastAsiaTheme="minorEastAsia" w:cstheme="minorBidi"/>
            <w:smallCaps w:val="0"/>
            <w:noProof/>
            <w:sz w:val="22"/>
            <w:szCs w:val="22"/>
            <w:lang w:val="en-US"/>
          </w:rPr>
          <w:tab/>
        </w:r>
        <w:r w:rsidR="00EA3482" w:rsidRPr="00DE2BD9">
          <w:rPr>
            <w:rStyle w:val="Hyperlink"/>
            <w:caps/>
            <w:noProof/>
          </w:rPr>
          <w:t>RECOVERY OF ARREARS</w:t>
        </w:r>
        <w:r w:rsidR="00EA3482">
          <w:rPr>
            <w:noProof/>
            <w:webHidden/>
          </w:rPr>
          <w:tab/>
        </w:r>
        <w:r>
          <w:rPr>
            <w:noProof/>
            <w:webHidden/>
          </w:rPr>
          <w:fldChar w:fldCharType="begin"/>
        </w:r>
        <w:r w:rsidR="00EA3482">
          <w:rPr>
            <w:noProof/>
            <w:webHidden/>
          </w:rPr>
          <w:instrText xml:space="preserve"> PAGEREF _Toc399626124 \h </w:instrText>
        </w:r>
        <w:r>
          <w:rPr>
            <w:noProof/>
            <w:webHidden/>
          </w:rPr>
        </w:r>
        <w:r>
          <w:rPr>
            <w:noProof/>
            <w:webHidden/>
          </w:rPr>
          <w:fldChar w:fldCharType="separate"/>
        </w:r>
        <w:r w:rsidR="00C32B27">
          <w:rPr>
            <w:noProof/>
            <w:webHidden/>
          </w:rPr>
          <w:t>32</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25" w:history="1">
        <w:r w:rsidR="00EA3482" w:rsidRPr="00DE2BD9">
          <w:rPr>
            <w:rStyle w:val="Hyperlink"/>
            <w:caps/>
            <w:noProof/>
          </w:rPr>
          <w:t>3.11</w:t>
        </w:r>
        <w:r w:rsidR="00EA3482">
          <w:rPr>
            <w:rFonts w:eastAsiaTheme="minorEastAsia" w:cstheme="minorBidi"/>
            <w:smallCaps w:val="0"/>
            <w:noProof/>
            <w:sz w:val="22"/>
            <w:szCs w:val="22"/>
            <w:lang w:val="en-US"/>
          </w:rPr>
          <w:tab/>
        </w:r>
        <w:r w:rsidR="00EA3482" w:rsidRPr="00DE2BD9">
          <w:rPr>
            <w:rStyle w:val="Hyperlink"/>
            <w:caps/>
            <w:noProof/>
          </w:rPr>
          <w:t>Encouraging Renewable Energy</w:t>
        </w:r>
        <w:r w:rsidR="00EA3482">
          <w:rPr>
            <w:noProof/>
            <w:webHidden/>
          </w:rPr>
          <w:tab/>
        </w:r>
        <w:r>
          <w:rPr>
            <w:noProof/>
            <w:webHidden/>
          </w:rPr>
          <w:fldChar w:fldCharType="begin"/>
        </w:r>
        <w:r w:rsidR="00EA3482">
          <w:rPr>
            <w:noProof/>
            <w:webHidden/>
          </w:rPr>
          <w:instrText xml:space="preserve"> PAGEREF _Toc399626125 \h </w:instrText>
        </w:r>
        <w:r>
          <w:rPr>
            <w:noProof/>
            <w:webHidden/>
          </w:rPr>
        </w:r>
        <w:r>
          <w:rPr>
            <w:noProof/>
            <w:webHidden/>
          </w:rPr>
          <w:fldChar w:fldCharType="separate"/>
        </w:r>
        <w:r w:rsidR="00C32B27">
          <w:rPr>
            <w:noProof/>
            <w:webHidden/>
          </w:rPr>
          <w:t>36</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26" w:history="1">
        <w:r w:rsidR="00EA3482" w:rsidRPr="00DE2BD9">
          <w:rPr>
            <w:rStyle w:val="Hyperlink"/>
            <w:caps/>
            <w:noProof/>
          </w:rPr>
          <w:t>3.12</w:t>
        </w:r>
        <w:r w:rsidR="00EA3482">
          <w:rPr>
            <w:rFonts w:eastAsiaTheme="minorEastAsia" w:cstheme="minorBidi"/>
            <w:smallCaps w:val="0"/>
            <w:noProof/>
            <w:sz w:val="22"/>
            <w:szCs w:val="22"/>
            <w:lang w:val="en-US"/>
          </w:rPr>
          <w:tab/>
        </w:r>
        <w:r w:rsidR="00EA3482" w:rsidRPr="00DE2BD9">
          <w:rPr>
            <w:rStyle w:val="Hyperlink"/>
            <w:caps/>
            <w:noProof/>
          </w:rPr>
          <w:t>Line Losses and T&amp;D Losses</w:t>
        </w:r>
        <w:r w:rsidR="00EA3482">
          <w:rPr>
            <w:noProof/>
            <w:webHidden/>
          </w:rPr>
          <w:tab/>
        </w:r>
        <w:r>
          <w:rPr>
            <w:noProof/>
            <w:webHidden/>
          </w:rPr>
          <w:fldChar w:fldCharType="begin"/>
        </w:r>
        <w:r w:rsidR="00EA3482">
          <w:rPr>
            <w:noProof/>
            <w:webHidden/>
          </w:rPr>
          <w:instrText xml:space="preserve"> PAGEREF _Toc399626126 \h </w:instrText>
        </w:r>
        <w:r>
          <w:rPr>
            <w:noProof/>
            <w:webHidden/>
          </w:rPr>
        </w:r>
        <w:r>
          <w:rPr>
            <w:noProof/>
            <w:webHidden/>
          </w:rPr>
          <w:fldChar w:fldCharType="separate"/>
        </w:r>
        <w:r w:rsidR="00C32B27">
          <w:rPr>
            <w:noProof/>
            <w:webHidden/>
          </w:rPr>
          <w:t>37</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27" w:history="1">
        <w:r w:rsidR="00EA3482" w:rsidRPr="00DE2BD9">
          <w:rPr>
            <w:rStyle w:val="Hyperlink"/>
            <w:caps/>
            <w:noProof/>
          </w:rPr>
          <w:t>3.13</w:t>
        </w:r>
        <w:r w:rsidR="00EA3482">
          <w:rPr>
            <w:rFonts w:eastAsiaTheme="minorEastAsia" w:cstheme="minorBidi"/>
            <w:smallCaps w:val="0"/>
            <w:noProof/>
            <w:sz w:val="22"/>
            <w:szCs w:val="22"/>
            <w:lang w:val="en-US"/>
          </w:rPr>
          <w:tab/>
        </w:r>
        <w:r w:rsidR="00EA3482" w:rsidRPr="00DE2BD9">
          <w:rPr>
            <w:rStyle w:val="Hyperlink"/>
            <w:caps/>
            <w:noProof/>
          </w:rPr>
          <w:t>Infrastructure</w:t>
        </w:r>
        <w:r w:rsidR="00EA3482">
          <w:rPr>
            <w:noProof/>
            <w:webHidden/>
          </w:rPr>
          <w:tab/>
        </w:r>
        <w:r>
          <w:rPr>
            <w:noProof/>
            <w:webHidden/>
          </w:rPr>
          <w:fldChar w:fldCharType="begin"/>
        </w:r>
        <w:r w:rsidR="00EA3482">
          <w:rPr>
            <w:noProof/>
            <w:webHidden/>
          </w:rPr>
          <w:instrText xml:space="preserve"> PAGEREF _Toc399626127 \h </w:instrText>
        </w:r>
        <w:r>
          <w:rPr>
            <w:noProof/>
            <w:webHidden/>
          </w:rPr>
        </w:r>
        <w:r>
          <w:rPr>
            <w:noProof/>
            <w:webHidden/>
          </w:rPr>
          <w:fldChar w:fldCharType="separate"/>
        </w:r>
        <w:r w:rsidR="00C32B27">
          <w:rPr>
            <w:noProof/>
            <w:webHidden/>
          </w:rPr>
          <w:t>44</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28" w:history="1">
        <w:r w:rsidR="00EA3482" w:rsidRPr="00DE2BD9">
          <w:rPr>
            <w:rStyle w:val="Hyperlink"/>
            <w:caps/>
            <w:noProof/>
          </w:rPr>
          <w:t>3.14</w:t>
        </w:r>
        <w:r w:rsidR="00EA3482">
          <w:rPr>
            <w:rFonts w:eastAsiaTheme="minorEastAsia" w:cstheme="minorBidi"/>
            <w:smallCaps w:val="0"/>
            <w:noProof/>
            <w:sz w:val="22"/>
            <w:szCs w:val="22"/>
            <w:lang w:val="en-US"/>
          </w:rPr>
          <w:tab/>
        </w:r>
        <w:r w:rsidR="00EA3482" w:rsidRPr="00DE2BD9">
          <w:rPr>
            <w:rStyle w:val="Hyperlink"/>
            <w:caps/>
            <w:noProof/>
          </w:rPr>
          <w:t>IMPROPER BEHAVIOUR OF THE EMPLOYEES</w:t>
        </w:r>
        <w:r w:rsidR="00EA3482">
          <w:rPr>
            <w:noProof/>
            <w:webHidden/>
          </w:rPr>
          <w:tab/>
        </w:r>
        <w:r>
          <w:rPr>
            <w:noProof/>
            <w:webHidden/>
          </w:rPr>
          <w:fldChar w:fldCharType="begin"/>
        </w:r>
        <w:r w:rsidR="00EA3482">
          <w:rPr>
            <w:noProof/>
            <w:webHidden/>
          </w:rPr>
          <w:instrText xml:space="preserve"> PAGEREF _Toc399626128 \h </w:instrText>
        </w:r>
        <w:r>
          <w:rPr>
            <w:noProof/>
            <w:webHidden/>
          </w:rPr>
        </w:r>
        <w:r>
          <w:rPr>
            <w:noProof/>
            <w:webHidden/>
          </w:rPr>
          <w:fldChar w:fldCharType="separate"/>
        </w:r>
        <w:r w:rsidR="00C32B27">
          <w:rPr>
            <w:noProof/>
            <w:webHidden/>
          </w:rPr>
          <w:t>46</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29" w:history="1">
        <w:r w:rsidR="00EA3482" w:rsidRPr="00DE2BD9">
          <w:rPr>
            <w:rStyle w:val="Hyperlink"/>
            <w:caps/>
            <w:noProof/>
          </w:rPr>
          <w:t>3.15</w:t>
        </w:r>
        <w:r w:rsidR="00EA3482">
          <w:rPr>
            <w:rFonts w:eastAsiaTheme="minorEastAsia" w:cstheme="minorBidi"/>
            <w:smallCaps w:val="0"/>
            <w:noProof/>
            <w:sz w:val="22"/>
            <w:szCs w:val="22"/>
            <w:lang w:val="en-US"/>
          </w:rPr>
          <w:tab/>
        </w:r>
        <w:r w:rsidR="00EA3482" w:rsidRPr="00DE2BD9">
          <w:rPr>
            <w:rStyle w:val="Hyperlink"/>
            <w:caps/>
            <w:noProof/>
          </w:rPr>
          <w:t>Additional Subsidy</w:t>
        </w:r>
        <w:r w:rsidR="00EA3482">
          <w:rPr>
            <w:noProof/>
            <w:webHidden/>
          </w:rPr>
          <w:tab/>
        </w:r>
        <w:r>
          <w:rPr>
            <w:noProof/>
            <w:webHidden/>
          </w:rPr>
          <w:fldChar w:fldCharType="begin"/>
        </w:r>
        <w:r w:rsidR="00EA3482">
          <w:rPr>
            <w:noProof/>
            <w:webHidden/>
          </w:rPr>
          <w:instrText xml:space="preserve"> PAGEREF _Toc399626129 \h </w:instrText>
        </w:r>
        <w:r>
          <w:rPr>
            <w:noProof/>
            <w:webHidden/>
          </w:rPr>
        </w:r>
        <w:r>
          <w:rPr>
            <w:noProof/>
            <w:webHidden/>
          </w:rPr>
          <w:fldChar w:fldCharType="separate"/>
        </w:r>
        <w:r w:rsidR="00C32B27">
          <w:rPr>
            <w:noProof/>
            <w:webHidden/>
          </w:rPr>
          <w:t>47</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30" w:history="1">
        <w:r w:rsidR="00EA3482" w:rsidRPr="00DE2BD9">
          <w:rPr>
            <w:rStyle w:val="Hyperlink"/>
            <w:caps/>
            <w:noProof/>
          </w:rPr>
          <w:t>3.16</w:t>
        </w:r>
        <w:r w:rsidR="00EA3482">
          <w:rPr>
            <w:rFonts w:eastAsiaTheme="minorEastAsia" w:cstheme="minorBidi"/>
            <w:smallCaps w:val="0"/>
            <w:noProof/>
            <w:sz w:val="22"/>
            <w:szCs w:val="22"/>
            <w:lang w:val="en-US"/>
          </w:rPr>
          <w:tab/>
        </w:r>
        <w:r w:rsidR="00EA3482" w:rsidRPr="00DE2BD9">
          <w:rPr>
            <w:rStyle w:val="Hyperlink"/>
            <w:caps/>
            <w:noProof/>
          </w:rPr>
          <w:t>Financial Restructuring Plan (FRP)</w:t>
        </w:r>
        <w:r w:rsidR="00EA3482">
          <w:rPr>
            <w:noProof/>
            <w:webHidden/>
          </w:rPr>
          <w:tab/>
        </w:r>
        <w:r>
          <w:rPr>
            <w:noProof/>
            <w:webHidden/>
          </w:rPr>
          <w:fldChar w:fldCharType="begin"/>
        </w:r>
        <w:r w:rsidR="00EA3482">
          <w:rPr>
            <w:noProof/>
            <w:webHidden/>
          </w:rPr>
          <w:instrText xml:space="preserve"> PAGEREF _Toc399626130 \h </w:instrText>
        </w:r>
        <w:r>
          <w:rPr>
            <w:noProof/>
            <w:webHidden/>
          </w:rPr>
        </w:r>
        <w:r>
          <w:rPr>
            <w:noProof/>
            <w:webHidden/>
          </w:rPr>
          <w:fldChar w:fldCharType="separate"/>
        </w:r>
        <w:r w:rsidR="00C32B27">
          <w:rPr>
            <w:noProof/>
            <w:webHidden/>
          </w:rPr>
          <w:t>48</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31" w:history="1">
        <w:r w:rsidR="00EA3482" w:rsidRPr="00DE2BD9">
          <w:rPr>
            <w:rStyle w:val="Hyperlink"/>
            <w:caps/>
            <w:noProof/>
          </w:rPr>
          <w:t>3.17</w:t>
        </w:r>
        <w:r w:rsidR="00EA3482">
          <w:rPr>
            <w:rFonts w:eastAsiaTheme="minorEastAsia" w:cstheme="minorBidi"/>
            <w:smallCaps w:val="0"/>
            <w:noProof/>
            <w:sz w:val="22"/>
            <w:szCs w:val="22"/>
            <w:lang w:val="en-US"/>
          </w:rPr>
          <w:tab/>
        </w:r>
        <w:r w:rsidR="00EA3482" w:rsidRPr="00DE2BD9">
          <w:rPr>
            <w:rStyle w:val="Hyperlink"/>
            <w:caps/>
            <w:noProof/>
          </w:rPr>
          <w:t>Energy and Tariff Hike</w:t>
        </w:r>
        <w:r w:rsidR="00EA3482">
          <w:rPr>
            <w:noProof/>
            <w:webHidden/>
          </w:rPr>
          <w:tab/>
        </w:r>
        <w:r>
          <w:rPr>
            <w:noProof/>
            <w:webHidden/>
          </w:rPr>
          <w:fldChar w:fldCharType="begin"/>
        </w:r>
        <w:r w:rsidR="00EA3482">
          <w:rPr>
            <w:noProof/>
            <w:webHidden/>
          </w:rPr>
          <w:instrText xml:space="preserve"> PAGEREF _Toc399626131 \h </w:instrText>
        </w:r>
        <w:r>
          <w:rPr>
            <w:noProof/>
            <w:webHidden/>
          </w:rPr>
        </w:r>
        <w:r>
          <w:rPr>
            <w:noProof/>
            <w:webHidden/>
          </w:rPr>
          <w:fldChar w:fldCharType="separate"/>
        </w:r>
        <w:r w:rsidR="00C32B27">
          <w:rPr>
            <w:noProof/>
            <w:webHidden/>
          </w:rPr>
          <w:t>49</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32" w:history="1">
        <w:r w:rsidR="00EA3482" w:rsidRPr="00DE2BD9">
          <w:rPr>
            <w:rStyle w:val="Hyperlink"/>
            <w:caps/>
            <w:noProof/>
          </w:rPr>
          <w:t>3.18</w:t>
        </w:r>
        <w:r w:rsidR="00EA3482">
          <w:rPr>
            <w:rFonts w:eastAsiaTheme="minorEastAsia" w:cstheme="minorBidi"/>
            <w:smallCaps w:val="0"/>
            <w:noProof/>
            <w:sz w:val="22"/>
            <w:szCs w:val="22"/>
            <w:lang w:val="en-US"/>
          </w:rPr>
          <w:tab/>
        </w:r>
        <w:r w:rsidR="00EA3482" w:rsidRPr="00DE2BD9">
          <w:rPr>
            <w:rStyle w:val="Hyperlink"/>
            <w:caps/>
            <w:noProof/>
          </w:rPr>
          <w:t>Effective Date for Applicability of tariff Order of FY 2012-13</w:t>
        </w:r>
        <w:r w:rsidR="00EA3482">
          <w:rPr>
            <w:noProof/>
            <w:webHidden/>
          </w:rPr>
          <w:tab/>
        </w:r>
        <w:r>
          <w:rPr>
            <w:noProof/>
            <w:webHidden/>
          </w:rPr>
          <w:fldChar w:fldCharType="begin"/>
        </w:r>
        <w:r w:rsidR="00EA3482">
          <w:rPr>
            <w:noProof/>
            <w:webHidden/>
          </w:rPr>
          <w:instrText xml:space="preserve"> PAGEREF _Toc399626132 \h </w:instrText>
        </w:r>
        <w:r>
          <w:rPr>
            <w:noProof/>
            <w:webHidden/>
          </w:rPr>
        </w:r>
        <w:r>
          <w:rPr>
            <w:noProof/>
            <w:webHidden/>
          </w:rPr>
          <w:fldChar w:fldCharType="separate"/>
        </w:r>
        <w:r w:rsidR="00C32B27">
          <w:rPr>
            <w:noProof/>
            <w:webHidden/>
          </w:rPr>
          <w:t>52</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33" w:history="1">
        <w:r w:rsidR="00EA3482" w:rsidRPr="00DE2BD9">
          <w:rPr>
            <w:rStyle w:val="Hyperlink"/>
            <w:caps/>
            <w:noProof/>
          </w:rPr>
          <w:t>3.19</w:t>
        </w:r>
        <w:r w:rsidR="00EA3482">
          <w:rPr>
            <w:rFonts w:eastAsiaTheme="minorEastAsia" w:cstheme="minorBidi"/>
            <w:smallCaps w:val="0"/>
            <w:noProof/>
            <w:sz w:val="22"/>
            <w:szCs w:val="22"/>
            <w:lang w:val="en-US"/>
          </w:rPr>
          <w:tab/>
        </w:r>
        <w:r w:rsidR="00EA3482" w:rsidRPr="00DE2BD9">
          <w:rPr>
            <w:rStyle w:val="Hyperlink"/>
            <w:caps/>
            <w:noProof/>
          </w:rPr>
          <w:t>RostERing and Quality of Power</w:t>
        </w:r>
        <w:r w:rsidR="00EA3482">
          <w:rPr>
            <w:noProof/>
            <w:webHidden/>
          </w:rPr>
          <w:tab/>
        </w:r>
        <w:r>
          <w:rPr>
            <w:noProof/>
            <w:webHidden/>
          </w:rPr>
          <w:fldChar w:fldCharType="begin"/>
        </w:r>
        <w:r w:rsidR="00EA3482">
          <w:rPr>
            <w:noProof/>
            <w:webHidden/>
          </w:rPr>
          <w:instrText xml:space="preserve"> PAGEREF _Toc399626133 \h </w:instrText>
        </w:r>
        <w:r>
          <w:rPr>
            <w:noProof/>
            <w:webHidden/>
          </w:rPr>
        </w:r>
        <w:r>
          <w:rPr>
            <w:noProof/>
            <w:webHidden/>
          </w:rPr>
          <w:fldChar w:fldCharType="separate"/>
        </w:r>
        <w:r w:rsidR="00C32B27">
          <w:rPr>
            <w:noProof/>
            <w:webHidden/>
          </w:rPr>
          <w:t>54</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34" w:history="1">
        <w:r w:rsidR="00EA3482" w:rsidRPr="00DE2BD9">
          <w:rPr>
            <w:rStyle w:val="Hyperlink"/>
            <w:caps/>
            <w:noProof/>
          </w:rPr>
          <w:t>3.20</w:t>
        </w:r>
        <w:r w:rsidR="00EA3482">
          <w:rPr>
            <w:rFonts w:eastAsiaTheme="minorEastAsia" w:cstheme="minorBidi"/>
            <w:smallCaps w:val="0"/>
            <w:noProof/>
            <w:sz w:val="22"/>
            <w:szCs w:val="22"/>
            <w:lang w:val="en-US"/>
          </w:rPr>
          <w:tab/>
        </w:r>
        <w:r w:rsidR="00EA3482" w:rsidRPr="00DE2BD9">
          <w:rPr>
            <w:rStyle w:val="Hyperlink"/>
            <w:caps/>
            <w:noProof/>
          </w:rPr>
          <w:t>Time of Day Tariff</w:t>
        </w:r>
        <w:r w:rsidR="00EA3482">
          <w:rPr>
            <w:noProof/>
            <w:webHidden/>
          </w:rPr>
          <w:tab/>
        </w:r>
        <w:r>
          <w:rPr>
            <w:noProof/>
            <w:webHidden/>
          </w:rPr>
          <w:fldChar w:fldCharType="begin"/>
        </w:r>
        <w:r w:rsidR="00EA3482">
          <w:rPr>
            <w:noProof/>
            <w:webHidden/>
          </w:rPr>
          <w:instrText xml:space="preserve"> PAGEREF _Toc399626134 \h </w:instrText>
        </w:r>
        <w:r>
          <w:rPr>
            <w:noProof/>
            <w:webHidden/>
          </w:rPr>
        </w:r>
        <w:r>
          <w:rPr>
            <w:noProof/>
            <w:webHidden/>
          </w:rPr>
          <w:fldChar w:fldCharType="separate"/>
        </w:r>
        <w:r w:rsidR="00C32B27">
          <w:rPr>
            <w:noProof/>
            <w:webHidden/>
          </w:rPr>
          <w:t>56</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35" w:history="1">
        <w:r w:rsidR="00EA3482" w:rsidRPr="00DE2BD9">
          <w:rPr>
            <w:rStyle w:val="Hyperlink"/>
            <w:caps/>
            <w:noProof/>
          </w:rPr>
          <w:t>3.21</w:t>
        </w:r>
        <w:r w:rsidR="00EA3482">
          <w:rPr>
            <w:rFonts w:eastAsiaTheme="minorEastAsia" w:cstheme="minorBidi"/>
            <w:smallCaps w:val="0"/>
            <w:noProof/>
            <w:sz w:val="22"/>
            <w:szCs w:val="22"/>
            <w:lang w:val="en-US"/>
          </w:rPr>
          <w:tab/>
        </w:r>
        <w:r w:rsidR="00EA3482" w:rsidRPr="00DE2BD9">
          <w:rPr>
            <w:rStyle w:val="Hyperlink"/>
            <w:caps/>
            <w:noProof/>
          </w:rPr>
          <w:t>Billable Demand Multiplier</w:t>
        </w:r>
        <w:r w:rsidR="00EA3482">
          <w:rPr>
            <w:noProof/>
            <w:webHidden/>
          </w:rPr>
          <w:tab/>
        </w:r>
        <w:r>
          <w:rPr>
            <w:noProof/>
            <w:webHidden/>
          </w:rPr>
          <w:fldChar w:fldCharType="begin"/>
        </w:r>
        <w:r w:rsidR="00EA3482">
          <w:rPr>
            <w:noProof/>
            <w:webHidden/>
          </w:rPr>
          <w:instrText xml:space="preserve"> PAGEREF _Toc399626135 \h </w:instrText>
        </w:r>
        <w:r>
          <w:rPr>
            <w:noProof/>
            <w:webHidden/>
          </w:rPr>
        </w:r>
        <w:r>
          <w:rPr>
            <w:noProof/>
            <w:webHidden/>
          </w:rPr>
          <w:fldChar w:fldCharType="separate"/>
        </w:r>
        <w:r w:rsidR="00C32B27">
          <w:rPr>
            <w:noProof/>
            <w:webHidden/>
          </w:rPr>
          <w:t>62</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36" w:history="1">
        <w:r w:rsidR="00EA3482" w:rsidRPr="00DE2BD9">
          <w:rPr>
            <w:rStyle w:val="Hyperlink"/>
            <w:caps/>
            <w:noProof/>
          </w:rPr>
          <w:t>3.22</w:t>
        </w:r>
        <w:r w:rsidR="00EA3482">
          <w:rPr>
            <w:rFonts w:eastAsiaTheme="minorEastAsia" w:cstheme="minorBidi"/>
            <w:smallCaps w:val="0"/>
            <w:noProof/>
            <w:sz w:val="22"/>
            <w:szCs w:val="22"/>
            <w:lang w:val="en-US"/>
          </w:rPr>
          <w:tab/>
        </w:r>
        <w:r w:rsidR="00EA3482" w:rsidRPr="00DE2BD9">
          <w:rPr>
            <w:rStyle w:val="Hyperlink"/>
            <w:caps/>
            <w:noProof/>
          </w:rPr>
          <w:t>TARIFF FOR Domestic Category</w:t>
        </w:r>
        <w:r w:rsidR="00EA3482">
          <w:rPr>
            <w:noProof/>
            <w:webHidden/>
          </w:rPr>
          <w:tab/>
        </w:r>
        <w:r>
          <w:rPr>
            <w:noProof/>
            <w:webHidden/>
          </w:rPr>
          <w:fldChar w:fldCharType="begin"/>
        </w:r>
        <w:r w:rsidR="00EA3482">
          <w:rPr>
            <w:noProof/>
            <w:webHidden/>
          </w:rPr>
          <w:instrText xml:space="preserve"> PAGEREF _Toc399626136 \h </w:instrText>
        </w:r>
        <w:r>
          <w:rPr>
            <w:noProof/>
            <w:webHidden/>
          </w:rPr>
        </w:r>
        <w:r>
          <w:rPr>
            <w:noProof/>
            <w:webHidden/>
          </w:rPr>
          <w:fldChar w:fldCharType="separate"/>
        </w:r>
        <w:r w:rsidR="00C32B27">
          <w:rPr>
            <w:noProof/>
            <w:webHidden/>
          </w:rPr>
          <w:t>63</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37" w:history="1">
        <w:r w:rsidR="00EA3482" w:rsidRPr="00DE2BD9">
          <w:rPr>
            <w:rStyle w:val="Hyperlink"/>
            <w:caps/>
            <w:noProof/>
          </w:rPr>
          <w:t>3.23</w:t>
        </w:r>
        <w:r w:rsidR="00EA3482">
          <w:rPr>
            <w:rFonts w:eastAsiaTheme="minorEastAsia" w:cstheme="minorBidi"/>
            <w:smallCaps w:val="0"/>
            <w:noProof/>
            <w:sz w:val="22"/>
            <w:szCs w:val="22"/>
            <w:lang w:val="en-US"/>
          </w:rPr>
          <w:tab/>
        </w:r>
        <w:r w:rsidR="00EA3482" w:rsidRPr="00DE2BD9">
          <w:rPr>
            <w:rStyle w:val="Hyperlink"/>
            <w:caps/>
            <w:noProof/>
          </w:rPr>
          <w:t>Powerloom Consumers falling under LMV-6 Category</w:t>
        </w:r>
        <w:r w:rsidR="00EA3482">
          <w:rPr>
            <w:noProof/>
            <w:webHidden/>
          </w:rPr>
          <w:tab/>
        </w:r>
        <w:r>
          <w:rPr>
            <w:noProof/>
            <w:webHidden/>
          </w:rPr>
          <w:fldChar w:fldCharType="begin"/>
        </w:r>
        <w:r w:rsidR="00EA3482">
          <w:rPr>
            <w:noProof/>
            <w:webHidden/>
          </w:rPr>
          <w:instrText xml:space="preserve"> PAGEREF _Toc399626137 \h </w:instrText>
        </w:r>
        <w:r>
          <w:rPr>
            <w:noProof/>
            <w:webHidden/>
          </w:rPr>
        </w:r>
        <w:r>
          <w:rPr>
            <w:noProof/>
            <w:webHidden/>
          </w:rPr>
          <w:fldChar w:fldCharType="separate"/>
        </w:r>
        <w:r w:rsidR="00C32B27">
          <w:rPr>
            <w:noProof/>
            <w:webHidden/>
          </w:rPr>
          <w:t>65</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38" w:history="1">
        <w:r w:rsidR="00EA3482" w:rsidRPr="00DE2BD9">
          <w:rPr>
            <w:rStyle w:val="Hyperlink"/>
            <w:caps/>
            <w:noProof/>
          </w:rPr>
          <w:t>3.24</w:t>
        </w:r>
        <w:r w:rsidR="00EA3482">
          <w:rPr>
            <w:rFonts w:eastAsiaTheme="minorEastAsia" w:cstheme="minorBidi"/>
            <w:smallCaps w:val="0"/>
            <w:noProof/>
            <w:sz w:val="22"/>
            <w:szCs w:val="22"/>
            <w:lang w:val="en-US"/>
          </w:rPr>
          <w:tab/>
        </w:r>
        <w:r w:rsidR="00EA3482" w:rsidRPr="00DE2BD9">
          <w:rPr>
            <w:rStyle w:val="Hyperlink"/>
            <w:caps/>
            <w:noProof/>
          </w:rPr>
          <w:t>TARIFF FOR BPL Category</w:t>
        </w:r>
        <w:r w:rsidR="00EA3482">
          <w:rPr>
            <w:noProof/>
            <w:webHidden/>
          </w:rPr>
          <w:tab/>
        </w:r>
        <w:r>
          <w:rPr>
            <w:noProof/>
            <w:webHidden/>
          </w:rPr>
          <w:fldChar w:fldCharType="begin"/>
        </w:r>
        <w:r w:rsidR="00EA3482">
          <w:rPr>
            <w:noProof/>
            <w:webHidden/>
          </w:rPr>
          <w:instrText xml:space="preserve"> PAGEREF _Toc399626138 \h </w:instrText>
        </w:r>
        <w:r>
          <w:rPr>
            <w:noProof/>
            <w:webHidden/>
          </w:rPr>
        </w:r>
        <w:r>
          <w:rPr>
            <w:noProof/>
            <w:webHidden/>
          </w:rPr>
          <w:fldChar w:fldCharType="separate"/>
        </w:r>
        <w:r w:rsidR="00C32B27">
          <w:rPr>
            <w:noProof/>
            <w:webHidden/>
          </w:rPr>
          <w:t>67</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39" w:history="1">
        <w:r w:rsidR="00EA3482" w:rsidRPr="00DE2BD9">
          <w:rPr>
            <w:rStyle w:val="Hyperlink"/>
            <w:caps/>
            <w:noProof/>
          </w:rPr>
          <w:t>3.25</w:t>
        </w:r>
        <w:r w:rsidR="00EA3482">
          <w:rPr>
            <w:rFonts w:eastAsiaTheme="minorEastAsia" w:cstheme="minorBidi"/>
            <w:smallCaps w:val="0"/>
            <w:noProof/>
            <w:sz w:val="22"/>
            <w:szCs w:val="22"/>
            <w:lang w:val="en-US"/>
          </w:rPr>
          <w:tab/>
        </w:r>
        <w:r w:rsidR="00EA3482" w:rsidRPr="00DE2BD9">
          <w:rPr>
            <w:rStyle w:val="Hyperlink"/>
            <w:caps/>
            <w:noProof/>
          </w:rPr>
          <w:t>Rate Schedule LMV-10</w:t>
        </w:r>
        <w:r w:rsidR="00EA3482">
          <w:rPr>
            <w:noProof/>
            <w:webHidden/>
          </w:rPr>
          <w:tab/>
        </w:r>
        <w:r>
          <w:rPr>
            <w:noProof/>
            <w:webHidden/>
          </w:rPr>
          <w:fldChar w:fldCharType="begin"/>
        </w:r>
        <w:r w:rsidR="00EA3482">
          <w:rPr>
            <w:noProof/>
            <w:webHidden/>
          </w:rPr>
          <w:instrText xml:space="preserve"> PAGEREF _Toc399626139 \h </w:instrText>
        </w:r>
        <w:r>
          <w:rPr>
            <w:noProof/>
            <w:webHidden/>
          </w:rPr>
        </w:r>
        <w:r>
          <w:rPr>
            <w:noProof/>
            <w:webHidden/>
          </w:rPr>
          <w:fldChar w:fldCharType="separate"/>
        </w:r>
        <w:r w:rsidR="00C32B27">
          <w:rPr>
            <w:noProof/>
            <w:webHidden/>
          </w:rPr>
          <w:t>69</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40" w:history="1">
        <w:r w:rsidR="00EA3482" w:rsidRPr="00DE2BD9">
          <w:rPr>
            <w:rStyle w:val="Hyperlink"/>
            <w:caps/>
            <w:noProof/>
          </w:rPr>
          <w:t>3.26</w:t>
        </w:r>
        <w:r w:rsidR="00EA3482">
          <w:rPr>
            <w:rFonts w:eastAsiaTheme="minorEastAsia" w:cstheme="minorBidi"/>
            <w:smallCaps w:val="0"/>
            <w:noProof/>
            <w:sz w:val="22"/>
            <w:szCs w:val="22"/>
            <w:lang w:val="en-US"/>
          </w:rPr>
          <w:tab/>
        </w:r>
        <w:r w:rsidR="00EA3482" w:rsidRPr="00DE2BD9">
          <w:rPr>
            <w:rStyle w:val="Hyperlink"/>
            <w:caps/>
            <w:noProof/>
          </w:rPr>
          <w:t>Ashrams</w:t>
        </w:r>
        <w:r w:rsidR="00EA3482">
          <w:rPr>
            <w:noProof/>
            <w:webHidden/>
          </w:rPr>
          <w:tab/>
        </w:r>
        <w:r>
          <w:rPr>
            <w:noProof/>
            <w:webHidden/>
          </w:rPr>
          <w:fldChar w:fldCharType="begin"/>
        </w:r>
        <w:r w:rsidR="00EA3482">
          <w:rPr>
            <w:noProof/>
            <w:webHidden/>
          </w:rPr>
          <w:instrText xml:space="preserve"> PAGEREF _Toc399626140 \h </w:instrText>
        </w:r>
        <w:r>
          <w:rPr>
            <w:noProof/>
            <w:webHidden/>
          </w:rPr>
        </w:r>
        <w:r>
          <w:rPr>
            <w:noProof/>
            <w:webHidden/>
          </w:rPr>
          <w:fldChar w:fldCharType="separate"/>
        </w:r>
        <w:r w:rsidR="00C32B27">
          <w:rPr>
            <w:noProof/>
            <w:webHidden/>
          </w:rPr>
          <w:t>70</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41" w:history="1">
        <w:r w:rsidR="00EA3482" w:rsidRPr="00DE2BD9">
          <w:rPr>
            <w:rStyle w:val="Hyperlink"/>
            <w:caps/>
            <w:noProof/>
          </w:rPr>
          <w:t>3.27</w:t>
        </w:r>
        <w:r w:rsidR="00EA3482">
          <w:rPr>
            <w:rFonts w:eastAsiaTheme="minorEastAsia" w:cstheme="minorBidi"/>
            <w:smallCaps w:val="0"/>
            <w:noProof/>
            <w:sz w:val="22"/>
            <w:szCs w:val="22"/>
            <w:lang w:val="en-US"/>
          </w:rPr>
          <w:tab/>
        </w:r>
        <w:r w:rsidR="00EA3482" w:rsidRPr="00DE2BD9">
          <w:rPr>
            <w:rStyle w:val="Hyperlink"/>
            <w:caps/>
            <w:noProof/>
          </w:rPr>
          <w:t>High Cost of Power Purchase</w:t>
        </w:r>
        <w:r w:rsidR="00EA3482">
          <w:rPr>
            <w:noProof/>
            <w:webHidden/>
          </w:rPr>
          <w:tab/>
        </w:r>
        <w:r>
          <w:rPr>
            <w:noProof/>
            <w:webHidden/>
          </w:rPr>
          <w:fldChar w:fldCharType="begin"/>
        </w:r>
        <w:r w:rsidR="00EA3482">
          <w:rPr>
            <w:noProof/>
            <w:webHidden/>
          </w:rPr>
          <w:instrText xml:space="preserve"> PAGEREF _Toc399626141 \h </w:instrText>
        </w:r>
        <w:r>
          <w:rPr>
            <w:noProof/>
            <w:webHidden/>
          </w:rPr>
        </w:r>
        <w:r>
          <w:rPr>
            <w:noProof/>
            <w:webHidden/>
          </w:rPr>
          <w:fldChar w:fldCharType="separate"/>
        </w:r>
        <w:r w:rsidR="00C32B27">
          <w:rPr>
            <w:noProof/>
            <w:webHidden/>
          </w:rPr>
          <w:t>71</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42" w:history="1">
        <w:r w:rsidR="00EA3482" w:rsidRPr="00DE2BD9">
          <w:rPr>
            <w:rStyle w:val="Hyperlink"/>
            <w:caps/>
            <w:noProof/>
          </w:rPr>
          <w:t>3.28</w:t>
        </w:r>
        <w:r w:rsidR="00EA3482">
          <w:rPr>
            <w:rFonts w:eastAsiaTheme="minorEastAsia" w:cstheme="minorBidi"/>
            <w:smallCaps w:val="0"/>
            <w:noProof/>
            <w:sz w:val="22"/>
            <w:szCs w:val="22"/>
            <w:lang w:val="en-US"/>
          </w:rPr>
          <w:tab/>
        </w:r>
        <w:r w:rsidR="00EA3482" w:rsidRPr="00DE2BD9">
          <w:rPr>
            <w:rStyle w:val="Hyperlink"/>
            <w:caps/>
            <w:noProof/>
          </w:rPr>
          <w:t>capacity of substations</w:t>
        </w:r>
        <w:r w:rsidR="00EA3482">
          <w:rPr>
            <w:noProof/>
            <w:webHidden/>
          </w:rPr>
          <w:tab/>
        </w:r>
        <w:r>
          <w:rPr>
            <w:noProof/>
            <w:webHidden/>
          </w:rPr>
          <w:fldChar w:fldCharType="begin"/>
        </w:r>
        <w:r w:rsidR="00EA3482">
          <w:rPr>
            <w:noProof/>
            <w:webHidden/>
          </w:rPr>
          <w:instrText xml:space="preserve"> PAGEREF _Toc399626142 \h </w:instrText>
        </w:r>
        <w:r>
          <w:rPr>
            <w:noProof/>
            <w:webHidden/>
          </w:rPr>
        </w:r>
        <w:r>
          <w:rPr>
            <w:noProof/>
            <w:webHidden/>
          </w:rPr>
          <w:fldChar w:fldCharType="separate"/>
        </w:r>
        <w:r w:rsidR="00C32B27">
          <w:rPr>
            <w:noProof/>
            <w:webHidden/>
          </w:rPr>
          <w:t>73</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43" w:history="1">
        <w:r w:rsidR="00EA3482" w:rsidRPr="00DE2BD9">
          <w:rPr>
            <w:rStyle w:val="Hyperlink"/>
            <w:caps/>
            <w:noProof/>
          </w:rPr>
          <w:t>3.29</w:t>
        </w:r>
        <w:r w:rsidR="00EA3482">
          <w:rPr>
            <w:rFonts w:eastAsiaTheme="minorEastAsia" w:cstheme="minorBidi"/>
            <w:smallCaps w:val="0"/>
            <w:noProof/>
            <w:sz w:val="22"/>
            <w:szCs w:val="22"/>
            <w:lang w:val="en-US"/>
          </w:rPr>
          <w:tab/>
        </w:r>
        <w:r w:rsidR="00EA3482" w:rsidRPr="00DE2BD9">
          <w:rPr>
            <w:rStyle w:val="Hyperlink"/>
            <w:caps/>
            <w:noProof/>
          </w:rPr>
          <w:t>Late Payment</w:t>
        </w:r>
        <w:r w:rsidR="00EA3482">
          <w:rPr>
            <w:noProof/>
            <w:webHidden/>
          </w:rPr>
          <w:tab/>
        </w:r>
        <w:r>
          <w:rPr>
            <w:noProof/>
            <w:webHidden/>
          </w:rPr>
          <w:fldChar w:fldCharType="begin"/>
        </w:r>
        <w:r w:rsidR="00EA3482">
          <w:rPr>
            <w:noProof/>
            <w:webHidden/>
          </w:rPr>
          <w:instrText xml:space="preserve"> PAGEREF _Toc399626143 \h </w:instrText>
        </w:r>
        <w:r>
          <w:rPr>
            <w:noProof/>
            <w:webHidden/>
          </w:rPr>
        </w:r>
        <w:r>
          <w:rPr>
            <w:noProof/>
            <w:webHidden/>
          </w:rPr>
          <w:fldChar w:fldCharType="separate"/>
        </w:r>
        <w:r w:rsidR="00C32B27">
          <w:rPr>
            <w:noProof/>
            <w:webHidden/>
          </w:rPr>
          <w:t>74</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44" w:history="1">
        <w:r w:rsidR="00EA3482" w:rsidRPr="00DE2BD9">
          <w:rPr>
            <w:rStyle w:val="Hyperlink"/>
            <w:caps/>
            <w:noProof/>
          </w:rPr>
          <w:t>3.30</w:t>
        </w:r>
        <w:r w:rsidR="00EA3482">
          <w:rPr>
            <w:rFonts w:eastAsiaTheme="minorEastAsia" w:cstheme="minorBidi"/>
            <w:smallCaps w:val="0"/>
            <w:noProof/>
            <w:sz w:val="22"/>
            <w:szCs w:val="22"/>
            <w:lang w:val="en-US"/>
          </w:rPr>
          <w:tab/>
        </w:r>
        <w:r w:rsidR="00EA3482" w:rsidRPr="00DE2BD9">
          <w:rPr>
            <w:rStyle w:val="Hyperlink"/>
            <w:caps/>
            <w:noProof/>
          </w:rPr>
          <w:t>TARIFF LINKED TO NUMBER OF HOURS OF SUPPLY</w:t>
        </w:r>
        <w:r w:rsidR="00EA3482">
          <w:rPr>
            <w:noProof/>
            <w:webHidden/>
          </w:rPr>
          <w:tab/>
        </w:r>
        <w:r>
          <w:rPr>
            <w:noProof/>
            <w:webHidden/>
          </w:rPr>
          <w:fldChar w:fldCharType="begin"/>
        </w:r>
        <w:r w:rsidR="00EA3482">
          <w:rPr>
            <w:noProof/>
            <w:webHidden/>
          </w:rPr>
          <w:instrText xml:space="preserve"> PAGEREF _Toc399626144 \h </w:instrText>
        </w:r>
        <w:r>
          <w:rPr>
            <w:noProof/>
            <w:webHidden/>
          </w:rPr>
        </w:r>
        <w:r>
          <w:rPr>
            <w:noProof/>
            <w:webHidden/>
          </w:rPr>
          <w:fldChar w:fldCharType="separate"/>
        </w:r>
        <w:r w:rsidR="00C32B27">
          <w:rPr>
            <w:noProof/>
            <w:webHidden/>
          </w:rPr>
          <w:t>75</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45" w:history="1">
        <w:r w:rsidR="00EA3482" w:rsidRPr="00DE2BD9">
          <w:rPr>
            <w:rStyle w:val="Hyperlink"/>
            <w:caps/>
            <w:noProof/>
          </w:rPr>
          <w:t>3.31</w:t>
        </w:r>
        <w:r w:rsidR="00EA3482">
          <w:rPr>
            <w:rFonts w:eastAsiaTheme="minorEastAsia" w:cstheme="minorBidi"/>
            <w:smallCaps w:val="0"/>
            <w:noProof/>
            <w:sz w:val="22"/>
            <w:szCs w:val="22"/>
            <w:lang w:val="en-US"/>
          </w:rPr>
          <w:tab/>
        </w:r>
        <w:r w:rsidR="00EA3482" w:rsidRPr="00DE2BD9">
          <w:rPr>
            <w:rStyle w:val="Hyperlink"/>
            <w:caps/>
            <w:noProof/>
          </w:rPr>
          <w:t>Fixed Charge and Energy Charge</w:t>
        </w:r>
        <w:r w:rsidR="00EA3482">
          <w:rPr>
            <w:noProof/>
            <w:webHidden/>
          </w:rPr>
          <w:tab/>
        </w:r>
        <w:r>
          <w:rPr>
            <w:noProof/>
            <w:webHidden/>
          </w:rPr>
          <w:fldChar w:fldCharType="begin"/>
        </w:r>
        <w:r w:rsidR="00EA3482">
          <w:rPr>
            <w:noProof/>
            <w:webHidden/>
          </w:rPr>
          <w:instrText xml:space="preserve"> PAGEREF _Toc399626145 \h </w:instrText>
        </w:r>
        <w:r>
          <w:rPr>
            <w:noProof/>
            <w:webHidden/>
          </w:rPr>
        </w:r>
        <w:r>
          <w:rPr>
            <w:noProof/>
            <w:webHidden/>
          </w:rPr>
          <w:fldChar w:fldCharType="separate"/>
        </w:r>
        <w:r w:rsidR="00C32B27">
          <w:rPr>
            <w:noProof/>
            <w:webHidden/>
          </w:rPr>
          <w:t>77</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46" w:history="1">
        <w:r w:rsidR="00EA3482" w:rsidRPr="00DE2BD9">
          <w:rPr>
            <w:rStyle w:val="Hyperlink"/>
            <w:caps/>
            <w:noProof/>
          </w:rPr>
          <w:t>3.32</w:t>
        </w:r>
        <w:r w:rsidR="00EA3482">
          <w:rPr>
            <w:rFonts w:eastAsiaTheme="minorEastAsia" w:cstheme="minorBidi"/>
            <w:smallCaps w:val="0"/>
            <w:noProof/>
            <w:sz w:val="22"/>
            <w:szCs w:val="22"/>
            <w:lang w:val="en-US"/>
          </w:rPr>
          <w:tab/>
        </w:r>
        <w:r w:rsidR="00EA3482" w:rsidRPr="00DE2BD9">
          <w:rPr>
            <w:rStyle w:val="Hyperlink"/>
            <w:caps/>
            <w:noProof/>
          </w:rPr>
          <w:t>Load Factor Rebate</w:t>
        </w:r>
        <w:r w:rsidR="00EA3482">
          <w:rPr>
            <w:noProof/>
            <w:webHidden/>
          </w:rPr>
          <w:tab/>
        </w:r>
        <w:r>
          <w:rPr>
            <w:noProof/>
            <w:webHidden/>
          </w:rPr>
          <w:fldChar w:fldCharType="begin"/>
        </w:r>
        <w:r w:rsidR="00EA3482">
          <w:rPr>
            <w:noProof/>
            <w:webHidden/>
          </w:rPr>
          <w:instrText xml:space="preserve"> PAGEREF _Toc399626146 \h </w:instrText>
        </w:r>
        <w:r>
          <w:rPr>
            <w:noProof/>
            <w:webHidden/>
          </w:rPr>
        </w:r>
        <w:r>
          <w:rPr>
            <w:noProof/>
            <w:webHidden/>
          </w:rPr>
          <w:fldChar w:fldCharType="separate"/>
        </w:r>
        <w:r w:rsidR="00C32B27">
          <w:rPr>
            <w:noProof/>
            <w:webHidden/>
          </w:rPr>
          <w:t>83</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47" w:history="1">
        <w:r w:rsidR="00EA3482" w:rsidRPr="00DE2BD9">
          <w:rPr>
            <w:rStyle w:val="Hyperlink"/>
            <w:caps/>
            <w:noProof/>
          </w:rPr>
          <w:t>3.33</w:t>
        </w:r>
        <w:r w:rsidR="00EA3482">
          <w:rPr>
            <w:rFonts w:eastAsiaTheme="minorEastAsia" w:cstheme="minorBidi"/>
            <w:smallCaps w:val="0"/>
            <w:noProof/>
            <w:sz w:val="22"/>
            <w:szCs w:val="22"/>
            <w:lang w:val="en-US"/>
          </w:rPr>
          <w:tab/>
        </w:r>
        <w:r w:rsidR="00EA3482" w:rsidRPr="00DE2BD9">
          <w:rPr>
            <w:rStyle w:val="Hyperlink"/>
            <w:caps/>
            <w:noProof/>
          </w:rPr>
          <w:t>TARIFFS FOR Rural Domestic / Agricultural Category</w:t>
        </w:r>
        <w:r w:rsidR="00EA3482">
          <w:rPr>
            <w:noProof/>
            <w:webHidden/>
          </w:rPr>
          <w:tab/>
        </w:r>
        <w:r>
          <w:rPr>
            <w:noProof/>
            <w:webHidden/>
          </w:rPr>
          <w:fldChar w:fldCharType="begin"/>
        </w:r>
        <w:r w:rsidR="00EA3482">
          <w:rPr>
            <w:noProof/>
            <w:webHidden/>
          </w:rPr>
          <w:instrText xml:space="preserve"> PAGEREF _Toc399626147 \h </w:instrText>
        </w:r>
        <w:r>
          <w:rPr>
            <w:noProof/>
            <w:webHidden/>
          </w:rPr>
        </w:r>
        <w:r>
          <w:rPr>
            <w:noProof/>
            <w:webHidden/>
          </w:rPr>
          <w:fldChar w:fldCharType="separate"/>
        </w:r>
        <w:r w:rsidR="00C32B27">
          <w:rPr>
            <w:noProof/>
            <w:webHidden/>
          </w:rPr>
          <w:t>86</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48" w:history="1">
        <w:r w:rsidR="00EA3482" w:rsidRPr="00DE2BD9">
          <w:rPr>
            <w:rStyle w:val="Hyperlink"/>
            <w:caps/>
            <w:noProof/>
          </w:rPr>
          <w:t>3.34</w:t>
        </w:r>
        <w:r w:rsidR="00EA3482">
          <w:rPr>
            <w:rFonts w:eastAsiaTheme="minorEastAsia" w:cstheme="minorBidi"/>
            <w:smallCaps w:val="0"/>
            <w:noProof/>
            <w:sz w:val="22"/>
            <w:szCs w:val="22"/>
            <w:lang w:val="en-US"/>
          </w:rPr>
          <w:tab/>
        </w:r>
        <w:r w:rsidR="00EA3482" w:rsidRPr="00DE2BD9">
          <w:rPr>
            <w:rStyle w:val="Hyperlink"/>
            <w:caps/>
            <w:noProof/>
          </w:rPr>
          <w:t>Tariff Structure</w:t>
        </w:r>
        <w:r w:rsidR="00EA3482">
          <w:rPr>
            <w:noProof/>
            <w:webHidden/>
          </w:rPr>
          <w:tab/>
        </w:r>
        <w:r>
          <w:rPr>
            <w:noProof/>
            <w:webHidden/>
          </w:rPr>
          <w:fldChar w:fldCharType="begin"/>
        </w:r>
        <w:r w:rsidR="00EA3482">
          <w:rPr>
            <w:noProof/>
            <w:webHidden/>
          </w:rPr>
          <w:instrText xml:space="preserve"> PAGEREF _Toc399626148 \h </w:instrText>
        </w:r>
        <w:r>
          <w:rPr>
            <w:noProof/>
            <w:webHidden/>
          </w:rPr>
        </w:r>
        <w:r>
          <w:rPr>
            <w:noProof/>
            <w:webHidden/>
          </w:rPr>
          <w:fldChar w:fldCharType="separate"/>
        </w:r>
        <w:r w:rsidR="00C32B27">
          <w:rPr>
            <w:noProof/>
            <w:webHidden/>
          </w:rPr>
          <w:t>88</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49" w:history="1">
        <w:r w:rsidR="00EA3482" w:rsidRPr="00DE2BD9">
          <w:rPr>
            <w:rStyle w:val="Hyperlink"/>
            <w:caps/>
            <w:noProof/>
          </w:rPr>
          <w:t>3.35</w:t>
        </w:r>
        <w:r w:rsidR="00EA3482">
          <w:rPr>
            <w:rFonts w:eastAsiaTheme="minorEastAsia" w:cstheme="minorBidi"/>
            <w:smallCaps w:val="0"/>
            <w:noProof/>
            <w:sz w:val="22"/>
            <w:szCs w:val="22"/>
            <w:lang w:val="en-US"/>
          </w:rPr>
          <w:tab/>
        </w:r>
        <w:r w:rsidR="00EA3482" w:rsidRPr="00DE2BD9">
          <w:rPr>
            <w:rStyle w:val="Hyperlink"/>
            <w:caps/>
            <w:noProof/>
          </w:rPr>
          <w:t>Rate Revision of category LMV 1 (b)</w:t>
        </w:r>
        <w:r w:rsidR="00EA3482">
          <w:rPr>
            <w:noProof/>
            <w:webHidden/>
          </w:rPr>
          <w:tab/>
        </w:r>
        <w:r>
          <w:rPr>
            <w:noProof/>
            <w:webHidden/>
          </w:rPr>
          <w:fldChar w:fldCharType="begin"/>
        </w:r>
        <w:r w:rsidR="00EA3482">
          <w:rPr>
            <w:noProof/>
            <w:webHidden/>
          </w:rPr>
          <w:instrText xml:space="preserve"> PAGEREF _Toc399626149 \h </w:instrText>
        </w:r>
        <w:r>
          <w:rPr>
            <w:noProof/>
            <w:webHidden/>
          </w:rPr>
        </w:r>
        <w:r>
          <w:rPr>
            <w:noProof/>
            <w:webHidden/>
          </w:rPr>
          <w:fldChar w:fldCharType="separate"/>
        </w:r>
        <w:r w:rsidR="00C32B27">
          <w:rPr>
            <w:noProof/>
            <w:webHidden/>
          </w:rPr>
          <w:t>90</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50" w:history="1">
        <w:r w:rsidR="00EA3482" w:rsidRPr="00DE2BD9">
          <w:rPr>
            <w:rStyle w:val="Hyperlink"/>
            <w:caps/>
            <w:noProof/>
          </w:rPr>
          <w:t>3.36</w:t>
        </w:r>
        <w:r w:rsidR="00EA3482">
          <w:rPr>
            <w:rFonts w:eastAsiaTheme="minorEastAsia" w:cstheme="minorBidi"/>
            <w:smallCaps w:val="0"/>
            <w:noProof/>
            <w:sz w:val="22"/>
            <w:szCs w:val="22"/>
            <w:lang w:val="en-US"/>
          </w:rPr>
          <w:tab/>
        </w:r>
        <w:r w:rsidR="00EA3482" w:rsidRPr="00DE2BD9">
          <w:rPr>
            <w:rStyle w:val="Hyperlink"/>
            <w:caps/>
            <w:noProof/>
          </w:rPr>
          <w:t>SYSTEM LOADING CHARGES</w:t>
        </w:r>
        <w:r w:rsidR="00EA3482">
          <w:rPr>
            <w:noProof/>
            <w:webHidden/>
          </w:rPr>
          <w:tab/>
        </w:r>
        <w:r>
          <w:rPr>
            <w:noProof/>
            <w:webHidden/>
          </w:rPr>
          <w:fldChar w:fldCharType="begin"/>
        </w:r>
        <w:r w:rsidR="00EA3482">
          <w:rPr>
            <w:noProof/>
            <w:webHidden/>
          </w:rPr>
          <w:instrText xml:space="preserve"> PAGEREF _Toc399626150 \h </w:instrText>
        </w:r>
        <w:r>
          <w:rPr>
            <w:noProof/>
            <w:webHidden/>
          </w:rPr>
        </w:r>
        <w:r>
          <w:rPr>
            <w:noProof/>
            <w:webHidden/>
          </w:rPr>
          <w:fldChar w:fldCharType="separate"/>
        </w:r>
        <w:r w:rsidR="00C32B27">
          <w:rPr>
            <w:noProof/>
            <w:webHidden/>
          </w:rPr>
          <w:t>94</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51" w:history="1">
        <w:r w:rsidR="00EA3482" w:rsidRPr="00DE2BD9">
          <w:rPr>
            <w:rStyle w:val="Hyperlink"/>
            <w:caps/>
            <w:noProof/>
          </w:rPr>
          <w:t>3.37</w:t>
        </w:r>
        <w:r w:rsidR="00EA3482">
          <w:rPr>
            <w:rFonts w:eastAsiaTheme="minorEastAsia" w:cstheme="minorBidi"/>
            <w:smallCaps w:val="0"/>
            <w:noProof/>
            <w:sz w:val="22"/>
            <w:szCs w:val="22"/>
            <w:lang w:val="en-US"/>
          </w:rPr>
          <w:tab/>
        </w:r>
        <w:r w:rsidR="00EA3482" w:rsidRPr="00DE2BD9">
          <w:rPr>
            <w:rStyle w:val="Hyperlink"/>
            <w:caps/>
            <w:noProof/>
          </w:rPr>
          <w:t>FIXED ASSET REGISTERS</w:t>
        </w:r>
        <w:r w:rsidR="00EA3482">
          <w:rPr>
            <w:noProof/>
            <w:webHidden/>
          </w:rPr>
          <w:tab/>
        </w:r>
        <w:r>
          <w:rPr>
            <w:noProof/>
            <w:webHidden/>
          </w:rPr>
          <w:fldChar w:fldCharType="begin"/>
        </w:r>
        <w:r w:rsidR="00EA3482">
          <w:rPr>
            <w:noProof/>
            <w:webHidden/>
          </w:rPr>
          <w:instrText xml:space="preserve"> PAGEREF _Toc399626151 \h </w:instrText>
        </w:r>
        <w:r>
          <w:rPr>
            <w:noProof/>
            <w:webHidden/>
          </w:rPr>
        </w:r>
        <w:r>
          <w:rPr>
            <w:noProof/>
            <w:webHidden/>
          </w:rPr>
          <w:fldChar w:fldCharType="separate"/>
        </w:r>
        <w:r w:rsidR="00C32B27">
          <w:rPr>
            <w:noProof/>
            <w:webHidden/>
          </w:rPr>
          <w:t>96</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52" w:history="1">
        <w:r w:rsidR="00EA3482" w:rsidRPr="00DE2BD9">
          <w:rPr>
            <w:rStyle w:val="Hyperlink"/>
            <w:caps/>
            <w:noProof/>
          </w:rPr>
          <w:t>3.38</w:t>
        </w:r>
        <w:r w:rsidR="00EA3482">
          <w:rPr>
            <w:rFonts w:eastAsiaTheme="minorEastAsia" w:cstheme="minorBidi"/>
            <w:smallCaps w:val="0"/>
            <w:noProof/>
            <w:sz w:val="22"/>
            <w:szCs w:val="22"/>
            <w:lang w:val="en-US"/>
          </w:rPr>
          <w:tab/>
        </w:r>
        <w:r w:rsidR="00EA3482" w:rsidRPr="00DE2BD9">
          <w:rPr>
            <w:rStyle w:val="Hyperlink"/>
            <w:caps/>
            <w:noProof/>
          </w:rPr>
          <w:t>TARIFF AND NON TARIFF ITEMS</w:t>
        </w:r>
        <w:r w:rsidR="00EA3482">
          <w:rPr>
            <w:noProof/>
            <w:webHidden/>
          </w:rPr>
          <w:tab/>
        </w:r>
        <w:r>
          <w:rPr>
            <w:noProof/>
            <w:webHidden/>
          </w:rPr>
          <w:fldChar w:fldCharType="begin"/>
        </w:r>
        <w:r w:rsidR="00EA3482">
          <w:rPr>
            <w:noProof/>
            <w:webHidden/>
          </w:rPr>
          <w:instrText xml:space="preserve"> PAGEREF _Toc399626152 \h </w:instrText>
        </w:r>
        <w:r>
          <w:rPr>
            <w:noProof/>
            <w:webHidden/>
          </w:rPr>
        </w:r>
        <w:r>
          <w:rPr>
            <w:noProof/>
            <w:webHidden/>
          </w:rPr>
          <w:fldChar w:fldCharType="separate"/>
        </w:r>
        <w:r w:rsidR="00C32B27">
          <w:rPr>
            <w:noProof/>
            <w:webHidden/>
          </w:rPr>
          <w:t>98</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53" w:history="1">
        <w:r w:rsidR="00EA3482" w:rsidRPr="00DE2BD9">
          <w:rPr>
            <w:rStyle w:val="Hyperlink"/>
            <w:caps/>
            <w:noProof/>
          </w:rPr>
          <w:t>3.39</w:t>
        </w:r>
        <w:r w:rsidR="00EA3482">
          <w:rPr>
            <w:rFonts w:eastAsiaTheme="minorEastAsia" w:cstheme="minorBidi"/>
            <w:smallCaps w:val="0"/>
            <w:noProof/>
            <w:sz w:val="22"/>
            <w:szCs w:val="22"/>
            <w:lang w:val="en-US"/>
          </w:rPr>
          <w:tab/>
        </w:r>
        <w:r w:rsidR="00EA3482" w:rsidRPr="00DE2BD9">
          <w:rPr>
            <w:rStyle w:val="Hyperlink"/>
            <w:caps/>
            <w:noProof/>
          </w:rPr>
          <w:t>Metering and Billing</w:t>
        </w:r>
        <w:r w:rsidR="00EA3482">
          <w:rPr>
            <w:noProof/>
            <w:webHidden/>
          </w:rPr>
          <w:tab/>
        </w:r>
        <w:r>
          <w:rPr>
            <w:noProof/>
            <w:webHidden/>
          </w:rPr>
          <w:fldChar w:fldCharType="begin"/>
        </w:r>
        <w:r w:rsidR="00EA3482">
          <w:rPr>
            <w:noProof/>
            <w:webHidden/>
          </w:rPr>
          <w:instrText xml:space="preserve"> PAGEREF _Toc399626153 \h </w:instrText>
        </w:r>
        <w:r>
          <w:rPr>
            <w:noProof/>
            <w:webHidden/>
          </w:rPr>
        </w:r>
        <w:r>
          <w:rPr>
            <w:noProof/>
            <w:webHidden/>
          </w:rPr>
          <w:fldChar w:fldCharType="separate"/>
        </w:r>
        <w:r w:rsidR="00C32B27">
          <w:rPr>
            <w:noProof/>
            <w:webHidden/>
          </w:rPr>
          <w:t>99</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54" w:history="1">
        <w:r w:rsidR="00EA3482" w:rsidRPr="00DE2BD9">
          <w:rPr>
            <w:rStyle w:val="Hyperlink"/>
            <w:caps/>
            <w:noProof/>
          </w:rPr>
          <w:t>3.40</w:t>
        </w:r>
        <w:r w:rsidR="00EA3482">
          <w:rPr>
            <w:rFonts w:eastAsiaTheme="minorEastAsia" w:cstheme="minorBidi"/>
            <w:smallCaps w:val="0"/>
            <w:noProof/>
            <w:sz w:val="22"/>
            <w:szCs w:val="22"/>
            <w:lang w:val="en-US"/>
          </w:rPr>
          <w:tab/>
        </w:r>
        <w:r w:rsidR="00EA3482" w:rsidRPr="00DE2BD9">
          <w:rPr>
            <w:rStyle w:val="Hyperlink"/>
            <w:caps/>
            <w:noProof/>
          </w:rPr>
          <w:t>Electricity Duty and iNTEREST ON sECURITY dEPOSITS</w:t>
        </w:r>
        <w:r w:rsidR="00EA3482">
          <w:rPr>
            <w:noProof/>
            <w:webHidden/>
          </w:rPr>
          <w:tab/>
        </w:r>
        <w:r>
          <w:rPr>
            <w:noProof/>
            <w:webHidden/>
          </w:rPr>
          <w:fldChar w:fldCharType="begin"/>
        </w:r>
        <w:r w:rsidR="00EA3482">
          <w:rPr>
            <w:noProof/>
            <w:webHidden/>
          </w:rPr>
          <w:instrText xml:space="preserve"> PAGEREF _Toc399626154 \h </w:instrText>
        </w:r>
        <w:r>
          <w:rPr>
            <w:noProof/>
            <w:webHidden/>
          </w:rPr>
        </w:r>
        <w:r>
          <w:rPr>
            <w:noProof/>
            <w:webHidden/>
          </w:rPr>
          <w:fldChar w:fldCharType="separate"/>
        </w:r>
        <w:r w:rsidR="00C32B27">
          <w:rPr>
            <w:noProof/>
            <w:webHidden/>
          </w:rPr>
          <w:t>106</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55" w:history="1">
        <w:r w:rsidR="00EA3482" w:rsidRPr="00DE2BD9">
          <w:rPr>
            <w:rStyle w:val="Hyperlink"/>
            <w:caps/>
            <w:noProof/>
          </w:rPr>
          <w:t>3.41</w:t>
        </w:r>
        <w:r w:rsidR="00EA3482">
          <w:rPr>
            <w:rFonts w:eastAsiaTheme="minorEastAsia" w:cstheme="minorBidi"/>
            <w:smallCaps w:val="0"/>
            <w:noProof/>
            <w:sz w:val="22"/>
            <w:szCs w:val="22"/>
            <w:lang w:val="en-US"/>
          </w:rPr>
          <w:tab/>
        </w:r>
        <w:r w:rsidR="00EA3482" w:rsidRPr="00DE2BD9">
          <w:rPr>
            <w:rStyle w:val="Hyperlink"/>
            <w:caps/>
            <w:noProof/>
          </w:rPr>
          <w:t>Regulatory Surcharge</w:t>
        </w:r>
        <w:r w:rsidR="00EA3482">
          <w:rPr>
            <w:noProof/>
            <w:webHidden/>
          </w:rPr>
          <w:tab/>
        </w:r>
        <w:r>
          <w:rPr>
            <w:noProof/>
            <w:webHidden/>
          </w:rPr>
          <w:fldChar w:fldCharType="begin"/>
        </w:r>
        <w:r w:rsidR="00EA3482">
          <w:rPr>
            <w:noProof/>
            <w:webHidden/>
          </w:rPr>
          <w:instrText xml:space="preserve"> PAGEREF _Toc399626155 \h </w:instrText>
        </w:r>
        <w:r>
          <w:rPr>
            <w:noProof/>
            <w:webHidden/>
          </w:rPr>
        </w:r>
        <w:r>
          <w:rPr>
            <w:noProof/>
            <w:webHidden/>
          </w:rPr>
          <w:fldChar w:fldCharType="separate"/>
        </w:r>
        <w:r w:rsidR="00C32B27">
          <w:rPr>
            <w:noProof/>
            <w:webHidden/>
          </w:rPr>
          <w:t>110</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56" w:history="1">
        <w:r w:rsidR="00EA3482" w:rsidRPr="00DE2BD9">
          <w:rPr>
            <w:rStyle w:val="Hyperlink"/>
            <w:caps/>
            <w:noProof/>
          </w:rPr>
          <w:t>3.42</w:t>
        </w:r>
        <w:r w:rsidR="00EA3482">
          <w:rPr>
            <w:rFonts w:eastAsiaTheme="minorEastAsia" w:cstheme="minorBidi"/>
            <w:smallCaps w:val="0"/>
            <w:noProof/>
            <w:sz w:val="22"/>
            <w:szCs w:val="22"/>
            <w:lang w:val="en-US"/>
          </w:rPr>
          <w:tab/>
        </w:r>
        <w:r w:rsidR="00EA3482" w:rsidRPr="00DE2BD9">
          <w:rPr>
            <w:rStyle w:val="Hyperlink"/>
            <w:caps/>
            <w:noProof/>
          </w:rPr>
          <w:t>Cross Subsidy and CROSS SUBSIDY Surcharge</w:t>
        </w:r>
        <w:r w:rsidR="00EA3482">
          <w:rPr>
            <w:noProof/>
            <w:webHidden/>
          </w:rPr>
          <w:tab/>
        </w:r>
        <w:r>
          <w:rPr>
            <w:noProof/>
            <w:webHidden/>
          </w:rPr>
          <w:fldChar w:fldCharType="begin"/>
        </w:r>
        <w:r w:rsidR="00EA3482">
          <w:rPr>
            <w:noProof/>
            <w:webHidden/>
          </w:rPr>
          <w:instrText xml:space="preserve"> PAGEREF _Toc399626156 \h </w:instrText>
        </w:r>
        <w:r>
          <w:rPr>
            <w:noProof/>
            <w:webHidden/>
          </w:rPr>
        </w:r>
        <w:r>
          <w:rPr>
            <w:noProof/>
            <w:webHidden/>
          </w:rPr>
          <w:fldChar w:fldCharType="separate"/>
        </w:r>
        <w:r w:rsidR="00C32B27">
          <w:rPr>
            <w:noProof/>
            <w:webHidden/>
          </w:rPr>
          <w:t>113</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57" w:history="1">
        <w:r w:rsidR="00EA3482" w:rsidRPr="00DE2BD9">
          <w:rPr>
            <w:rStyle w:val="Hyperlink"/>
            <w:caps/>
            <w:noProof/>
          </w:rPr>
          <w:t>3.43</w:t>
        </w:r>
        <w:r w:rsidR="00EA3482">
          <w:rPr>
            <w:rFonts w:eastAsiaTheme="minorEastAsia" w:cstheme="minorBidi"/>
            <w:smallCaps w:val="0"/>
            <w:noProof/>
            <w:sz w:val="22"/>
            <w:szCs w:val="22"/>
            <w:lang w:val="en-US"/>
          </w:rPr>
          <w:tab/>
        </w:r>
        <w:r w:rsidR="00EA3482" w:rsidRPr="00DE2BD9">
          <w:rPr>
            <w:rStyle w:val="Hyperlink"/>
            <w:caps/>
            <w:noProof/>
          </w:rPr>
          <w:t>Rebate in Tariff</w:t>
        </w:r>
        <w:r w:rsidR="00EA3482">
          <w:rPr>
            <w:noProof/>
            <w:webHidden/>
          </w:rPr>
          <w:tab/>
        </w:r>
        <w:r>
          <w:rPr>
            <w:noProof/>
            <w:webHidden/>
          </w:rPr>
          <w:fldChar w:fldCharType="begin"/>
        </w:r>
        <w:r w:rsidR="00EA3482">
          <w:rPr>
            <w:noProof/>
            <w:webHidden/>
          </w:rPr>
          <w:instrText xml:space="preserve"> PAGEREF _Toc399626157 \h </w:instrText>
        </w:r>
        <w:r>
          <w:rPr>
            <w:noProof/>
            <w:webHidden/>
          </w:rPr>
        </w:r>
        <w:r>
          <w:rPr>
            <w:noProof/>
            <w:webHidden/>
          </w:rPr>
          <w:fldChar w:fldCharType="separate"/>
        </w:r>
        <w:r w:rsidR="00C32B27">
          <w:rPr>
            <w:noProof/>
            <w:webHidden/>
          </w:rPr>
          <w:t>116</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58" w:history="1">
        <w:r w:rsidR="00EA3482" w:rsidRPr="00DE2BD9">
          <w:rPr>
            <w:rStyle w:val="Hyperlink"/>
            <w:caps/>
            <w:noProof/>
          </w:rPr>
          <w:t>3.44</w:t>
        </w:r>
        <w:r w:rsidR="00EA3482">
          <w:rPr>
            <w:rFonts w:eastAsiaTheme="minorEastAsia" w:cstheme="minorBidi"/>
            <w:smallCaps w:val="0"/>
            <w:noProof/>
            <w:sz w:val="22"/>
            <w:szCs w:val="22"/>
            <w:lang w:val="en-US"/>
          </w:rPr>
          <w:tab/>
        </w:r>
        <w:r w:rsidR="00EA3482" w:rsidRPr="00DE2BD9">
          <w:rPr>
            <w:rStyle w:val="Hyperlink"/>
            <w:caps/>
            <w:noProof/>
          </w:rPr>
          <w:t>Open Access</w:t>
        </w:r>
        <w:r w:rsidR="00EA3482">
          <w:rPr>
            <w:noProof/>
            <w:webHidden/>
          </w:rPr>
          <w:tab/>
        </w:r>
        <w:r>
          <w:rPr>
            <w:noProof/>
            <w:webHidden/>
          </w:rPr>
          <w:fldChar w:fldCharType="begin"/>
        </w:r>
        <w:r w:rsidR="00EA3482">
          <w:rPr>
            <w:noProof/>
            <w:webHidden/>
          </w:rPr>
          <w:instrText xml:space="preserve"> PAGEREF _Toc399626158 \h </w:instrText>
        </w:r>
        <w:r>
          <w:rPr>
            <w:noProof/>
            <w:webHidden/>
          </w:rPr>
        </w:r>
        <w:r>
          <w:rPr>
            <w:noProof/>
            <w:webHidden/>
          </w:rPr>
          <w:fldChar w:fldCharType="separate"/>
        </w:r>
        <w:r w:rsidR="00C32B27">
          <w:rPr>
            <w:noProof/>
            <w:webHidden/>
          </w:rPr>
          <w:t>120</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59" w:history="1">
        <w:r w:rsidR="00EA3482" w:rsidRPr="00DE2BD9">
          <w:rPr>
            <w:rStyle w:val="Hyperlink"/>
            <w:caps/>
            <w:noProof/>
          </w:rPr>
          <w:t>3.45</w:t>
        </w:r>
        <w:r w:rsidR="00EA3482">
          <w:rPr>
            <w:rFonts w:eastAsiaTheme="minorEastAsia" w:cstheme="minorBidi"/>
            <w:smallCaps w:val="0"/>
            <w:noProof/>
            <w:sz w:val="22"/>
            <w:szCs w:val="22"/>
            <w:lang w:val="en-US"/>
          </w:rPr>
          <w:tab/>
        </w:r>
        <w:r w:rsidR="00EA3482" w:rsidRPr="00DE2BD9">
          <w:rPr>
            <w:rStyle w:val="Hyperlink"/>
            <w:caps/>
            <w:noProof/>
          </w:rPr>
          <w:t>Public participaton</w:t>
        </w:r>
        <w:r w:rsidR="00EA3482">
          <w:rPr>
            <w:noProof/>
            <w:webHidden/>
          </w:rPr>
          <w:tab/>
        </w:r>
        <w:r>
          <w:rPr>
            <w:noProof/>
            <w:webHidden/>
          </w:rPr>
          <w:fldChar w:fldCharType="begin"/>
        </w:r>
        <w:r w:rsidR="00EA3482">
          <w:rPr>
            <w:noProof/>
            <w:webHidden/>
          </w:rPr>
          <w:instrText xml:space="preserve"> PAGEREF _Toc399626159 \h </w:instrText>
        </w:r>
        <w:r>
          <w:rPr>
            <w:noProof/>
            <w:webHidden/>
          </w:rPr>
        </w:r>
        <w:r>
          <w:rPr>
            <w:noProof/>
            <w:webHidden/>
          </w:rPr>
          <w:fldChar w:fldCharType="separate"/>
        </w:r>
        <w:r w:rsidR="00C32B27">
          <w:rPr>
            <w:noProof/>
            <w:webHidden/>
          </w:rPr>
          <w:t>123</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60" w:history="1">
        <w:r w:rsidR="00EA3482" w:rsidRPr="00DE2BD9">
          <w:rPr>
            <w:rStyle w:val="Hyperlink"/>
            <w:caps/>
            <w:noProof/>
          </w:rPr>
          <w:t>3.46</w:t>
        </w:r>
        <w:r w:rsidR="00EA3482">
          <w:rPr>
            <w:rFonts w:eastAsiaTheme="minorEastAsia" w:cstheme="minorBidi"/>
            <w:smallCaps w:val="0"/>
            <w:noProof/>
            <w:sz w:val="22"/>
            <w:szCs w:val="22"/>
            <w:lang w:val="en-US"/>
          </w:rPr>
          <w:tab/>
        </w:r>
        <w:r w:rsidR="00EA3482" w:rsidRPr="00DE2BD9">
          <w:rPr>
            <w:rStyle w:val="Hyperlink"/>
            <w:caps/>
            <w:noProof/>
          </w:rPr>
          <w:t>New Sub-category for telecom towers within Commercial Category</w:t>
        </w:r>
        <w:r w:rsidR="00EA3482">
          <w:rPr>
            <w:noProof/>
            <w:webHidden/>
          </w:rPr>
          <w:tab/>
        </w:r>
        <w:r>
          <w:rPr>
            <w:noProof/>
            <w:webHidden/>
          </w:rPr>
          <w:fldChar w:fldCharType="begin"/>
        </w:r>
        <w:r w:rsidR="00EA3482">
          <w:rPr>
            <w:noProof/>
            <w:webHidden/>
          </w:rPr>
          <w:instrText xml:space="preserve"> PAGEREF _Toc399626160 \h </w:instrText>
        </w:r>
        <w:r>
          <w:rPr>
            <w:noProof/>
            <w:webHidden/>
          </w:rPr>
        </w:r>
        <w:r>
          <w:rPr>
            <w:noProof/>
            <w:webHidden/>
          </w:rPr>
          <w:fldChar w:fldCharType="separate"/>
        </w:r>
        <w:r w:rsidR="00C32B27">
          <w:rPr>
            <w:noProof/>
            <w:webHidden/>
          </w:rPr>
          <w:t>124</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61" w:history="1">
        <w:r w:rsidR="00EA3482" w:rsidRPr="00DE2BD9">
          <w:rPr>
            <w:rStyle w:val="Hyperlink"/>
            <w:caps/>
            <w:noProof/>
          </w:rPr>
          <w:t>3.47</w:t>
        </w:r>
        <w:r w:rsidR="00EA3482">
          <w:rPr>
            <w:rFonts w:eastAsiaTheme="minorEastAsia" w:cstheme="minorBidi"/>
            <w:smallCaps w:val="0"/>
            <w:noProof/>
            <w:sz w:val="22"/>
            <w:szCs w:val="22"/>
            <w:lang w:val="en-US"/>
          </w:rPr>
          <w:tab/>
        </w:r>
        <w:r w:rsidR="00EA3482" w:rsidRPr="00DE2BD9">
          <w:rPr>
            <w:rStyle w:val="Hyperlink"/>
            <w:caps/>
            <w:noProof/>
          </w:rPr>
          <w:t>Minimum Consumption Guarantee</w:t>
        </w:r>
        <w:r w:rsidR="00EA3482">
          <w:rPr>
            <w:noProof/>
            <w:webHidden/>
          </w:rPr>
          <w:tab/>
        </w:r>
        <w:r>
          <w:rPr>
            <w:noProof/>
            <w:webHidden/>
          </w:rPr>
          <w:fldChar w:fldCharType="begin"/>
        </w:r>
        <w:r w:rsidR="00EA3482">
          <w:rPr>
            <w:noProof/>
            <w:webHidden/>
          </w:rPr>
          <w:instrText xml:space="preserve"> PAGEREF _Toc399626161 \h </w:instrText>
        </w:r>
        <w:r>
          <w:rPr>
            <w:noProof/>
            <w:webHidden/>
          </w:rPr>
        </w:r>
        <w:r>
          <w:rPr>
            <w:noProof/>
            <w:webHidden/>
          </w:rPr>
          <w:fldChar w:fldCharType="separate"/>
        </w:r>
        <w:r w:rsidR="00C32B27">
          <w:rPr>
            <w:noProof/>
            <w:webHidden/>
          </w:rPr>
          <w:t>126</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62" w:history="1">
        <w:r w:rsidR="00EA3482" w:rsidRPr="00DE2BD9">
          <w:rPr>
            <w:rStyle w:val="Hyperlink"/>
            <w:caps/>
            <w:noProof/>
          </w:rPr>
          <w:t>3.48</w:t>
        </w:r>
        <w:r w:rsidR="00EA3482">
          <w:rPr>
            <w:rFonts w:eastAsiaTheme="minorEastAsia" w:cstheme="minorBidi"/>
            <w:smallCaps w:val="0"/>
            <w:noProof/>
            <w:sz w:val="22"/>
            <w:szCs w:val="22"/>
            <w:lang w:val="en-US"/>
          </w:rPr>
          <w:tab/>
        </w:r>
        <w:r w:rsidR="00EA3482" w:rsidRPr="00DE2BD9">
          <w:rPr>
            <w:rStyle w:val="Hyperlink"/>
            <w:caps/>
            <w:noProof/>
          </w:rPr>
          <w:t>OTHER GENERAL ISSUES</w:t>
        </w:r>
        <w:r w:rsidR="00EA3482">
          <w:rPr>
            <w:noProof/>
            <w:webHidden/>
          </w:rPr>
          <w:tab/>
        </w:r>
        <w:r>
          <w:rPr>
            <w:noProof/>
            <w:webHidden/>
          </w:rPr>
          <w:fldChar w:fldCharType="begin"/>
        </w:r>
        <w:r w:rsidR="00EA3482">
          <w:rPr>
            <w:noProof/>
            <w:webHidden/>
          </w:rPr>
          <w:instrText xml:space="preserve"> PAGEREF _Toc399626162 \h </w:instrText>
        </w:r>
        <w:r>
          <w:rPr>
            <w:noProof/>
            <w:webHidden/>
          </w:rPr>
        </w:r>
        <w:r>
          <w:rPr>
            <w:noProof/>
            <w:webHidden/>
          </w:rPr>
          <w:fldChar w:fldCharType="separate"/>
        </w:r>
        <w:r w:rsidR="00C32B27">
          <w:rPr>
            <w:noProof/>
            <w:webHidden/>
          </w:rPr>
          <w:t>128</w:t>
        </w:r>
        <w:r>
          <w:rPr>
            <w:noProof/>
            <w:webHidden/>
          </w:rPr>
          <w:fldChar w:fldCharType="end"/>
        </w:r>
      </w:hyperlink>
    </w:p>
    <w:p w:rsidR="00EA3482" w:rsidRDefault="005D68E7">
      <w:pPr>
        <w:pStyle w:val="TOC1"/>
        <w:rPr>
          <w:rFonts w:eastAsiaTheme="minorEastAsia" w:cstheme="minorBidi"/>
          <w:bCs w:val="0"/>
          <w:caps w:val="0"/>
          <w:noProof/>
          <w:sz w:val="22"/>
          <w:szCs w:val="22"/>
          <w:lang w:val="en-US"/>
        </w:rPr>
      </w:pPr>
      <w:hyperlink w:anchor="_Toc399626163" w:history="1">
        <w:r w:rsidR="00EA3482" w:rsidRPr="00DE2BD9">
          <w:rPr>
            <w:rStyle w:val="Hyperlink"/>
            <w:noProof/>
          </w:rPr>
          <w:t>4</w:t>
        </w:r>
        <w:r w:rsidR="00EA3482">
          <w:rPr>
            <w:rFonts w:eastAsiaTheme="minorEastAsia" w:cstheme="minorBidi"/>
            <w:bCs w:val="0"/>
            <w:caps w:val="0"/>
            <w:noProof/>
            <w:sz w:val="22"/>
            <w:szCs w:val="22"/>
            <w:lang w:val="en-US"/>
          </w:rPr>
          <w:tab/>
        </w:r>
        <w:r w:rsidR="00EA3482" w:rsidRPr="00DE2BD9">
          <w:rPr>
            <w:rStyle w:val="Hyperlink"/>
            <w:noProof/>
          </w:rPr>
          <w:t>TRUING UP OF AGGREGATE REVENUE REQUIREMENT FY 2008-09</w:t>
        </w:r>
        <w:r w:rsidR="00EA3482">
          <w:rPr>
            <w:noProof/>
            <w:webHidden/>
          </w:rPr>
          <w:tab/>
        </w:r>
        <w:r>
          <w:rPr>
            <w:noProof/>
            <w:webHidden/>
          </w:rPr>
          <w:fldChar w:fldCharType="begin"/>
        </w:r>
        <w:r w:rsidR="00EA3482">
          <w:rPr>
            <w:noProof/>
            <w:webHidden/>
          </w:rPr>
          <w:instrText xml:space="preserve"> PAGEREF _Toc399626163 \h </w:instrText>
        </w:r>
        <w:r>
          <w:rPr>
            <w:noProof/>
            <w:webHidden/>
          </w:rPr>
        </w:r>
        <w:r>
          <w:rPr>
            <w:noProof/>
            <w:webHidden/>
          </w:rPr>
          <w:fldChar w:fldCharType="separate"/>
        </w:r>
        <w:r w:rsidR="00C32B27">
          <w:rPr>
            <w:noProof/>
            <w:webHidden/>
          </w:rPr>
          <w:t>130</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64" w:history="1">
        <w:r w:rsidR="00EA3482" w:rsidRPr="00DE2BD9">
          <w:rPr>
            <w:rStyle w:val="Hyperlink"/>
            <w:noProof/>
          </w:rPr>
          <w:t>4.1</w:t>
        </w:r>
        <w:r w:rsidR="00EA3482">
          <w:rPr>
            <w:rFonts w:eastAsiaTheme="minorEastAsia" w:cstheme="minorBidi"/>
            <w:smallCaps w:val="0"/>
            <w:noProof/>
            <w:sz w:val="22"/>
            <w:szCs w:val="22"/>
            <w:lang w:val="en-US"/>
          </w:rPr>
          <w:tab/>
        </w:r>
        <w:r w:rsidR="00EA3482" w:rsidRPr="00DE2BD9">
          <w:rPr>
            <w:rStyle w:val="Hyperlink"/>
            <w:noProof/>
          </w:rPr>
          <w:t>INTRODUCTION</w:t>
        </w:r>
        <w:r w:rsidR="00EA3482">
          <w:rPr>
            <w:noProof/>
            <w:webHidden/>
          </w:rPr>
          <w:tab/>
        </w:r>
        <w:r>
          <w:rPr>
            <w:noProof/>
            <w:webHidden/>
          </w:rPr>
          <w:fldChar w:fldCharType="begin"/>
        </w:r>
        <w:r w:rsidR="00EA3482">
          <w:rPr>
            <w:noProof/>
            <w:webHidden/>
          </w:rPr>
          <w:instrText xml:space="preserve"> PAGEREF _Toc399626164 \h </w:instrText>
        </w:r>
        <w:r>
          <w:rPr>
            <w:noProof/>
            <w:webHidden/>
          </w:rPr>
        </w:r>
        <w:r>
          <w:rPr>
            <w:noProof/>
            <w:webHidden/>
          </w:rPr>
          <w:fldChar w:fldCharType="separate"/>
        </w:r>
        <w:r w:rsidR="00C32B27">
          <w:rPr>
            <w:noProof/>
            <w:webHidden/>
          </w:rPr>
          <w:t>130</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65" w:history="1">
        <w:r w:rsidR="00EA3482" w:rsidRPr="00DE2BD9">
          <w:rPr>
            <w:rStyle w:val="Hyperlink"/>
            <w:noProof/>
          </w:rPr>
          <w:t>4.2</w:t>
        </w:r>
        <w:r w:rsidR="00EA3482">
          <w:rPr>
            <w:rFonts w:eastAsiaTheme="minorEastAsia" w:cstheme="minorBidi"/>
            <w:smallCaps w:val="0"/>
            <w:noProof/>
            <w:sz w:val="22"/>
            <w:szCs w:val="22"/>
            <w:lang w:val="en-US"/>
          </w:rPr>
          <w:tab/>
        </w:r>
        <w:r w:rsidR="00EA3482" w:rsidRPr="00DE2BD9">
          <w:rPr>
            <w:rStyle w:val="Hyperlink"/>
            <w:noProof/>
          </w:rPr>
          <w:t>POWER PURCHASE QUANTUM AND COST FOR FY 2008-09</w:t>
        </w:r>
        <w:r w:rsidR="00EA3482">
          <w:rPr>
            <w:noProof/>
            <w:webHidden/>
          </w:rPr>
          <w:tab/>
        </w:r>
        <w:r>
          <w:rPr>
            <w:noProof/>
            <w:webHidden/>
          </w:rPr>
          <w:fldChar w:fldCharType="begin"/>
        </w:r>
        <w:r w:rsidR="00EA3482">
          <w:rPr>
            <w:noProof/>
            <w:webHidden/>
          </w:rPr>
          <w:instrText xml:space="preserve"> PAGEREF _Toc399626165 \h </w:instrText>
        </w:r>
        <w:r>
          <w:rPr>
            <w:noProof/>
            <w:webHidden/>
          </w:rPr>
        </w:r>
        <w:r>
          <w:rPr>
            <w:noProof/>
            <w:webHidden/>
          </w:rPr>
          <w:fldChar w:fldCharType="separate"/>
        </w:r>
        <w:r w:rsidR="00C32B27">
          <w:rPr>
            <w:noProof/>
            <w:webHidden/>
          </w:rPr>
          <w:t>130</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66" w:history="1">
        <w:r w:rsidR="00EA3482" w:rsidRPr="00DE2BD9">
          <w:rPr>
            <w:rStyle w:val="Hyperlink"/>
            <w:noProof/>
          </w:rPr>
          <w:t>4.3</w:t>
        </w:r>
        <w:r w:rsidR="00EA3482">
          <w:rPr>
            <w:rFonts w:eastAsiaTheme="minorEastAsia" w:cstheme="minorBidi"/>
            <w:smallCaps w:val="0"/>
            <w:noProof/>
            <w:sz w:val="22"/>
            <w:szCs w:val="22"/>
            <w:lang w:val="en-US"/>
          </w:rPr>
          <w:tab/>
        </w:r>
        <w:r w:rsidR="00EA3482" w:rsidRPr="00DE2BD9">
          <w:rPr>
            <w:rStyle w:val="Hyperlink"/>
            <w:noProof/>
          </w:rPr>
          <w:t>TRANSMISSION CHARGES</w:t>
        </w:r>
        <w:r w:rsidR="00EA3482">
          <w:rPr>
            <w:noProof/>
            <w:webHidden/>
          </w:rPr>
          <w:tab/>
        </w:r>
        <w:r>
          <w:rPr>
            <w:noProof/>
            <w:webHidden/>
          </w:rPr>
          <w:fldChar w:fldCharType="begin"/>
        </w:r>
        <w:r w:rsidR="00EA3482">
          <w:rPr>
            <w:noProof/>
            <w:webHidden/>
          </w:rPr>
          <w:instrText xml:space="preserve"> PAGEREF _Toc399626166 \h </w:instrText>
        </w:r>
        <w:r>
          <w:rPr>
            <w:noProof/>
            <w:webHidden/>
          </w:rPr>
        </w:r>
        <w:r>
          <w:rPr>
            <w:noProof/>
            <w:webHidden/>
          </w:rPr>
          <w:fldChar w:fldCharType="separate"/>
        </w:r>
        <w:r w:rsidR="00C32B27">
          <w:rPr>
            <w:noProof/>
            <w:webHidden/>
          </w:rPr>
          <w:t>131</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67" w:history="1">
        <w:r w:rsidR="00EA3482" w:rsidRPr="00DE2BD9">
          <w:rPr>
            <w:rStyle w:val="Hyperlink"/>
            <w:noProof/>
          </w:rPr>
          <w:t>4.4</w:t>
        </w:r>
        <w:r w:rsidR="00EA3482">
          <w:rPr>
            <w:rFonts w:eastAsiaTheme="minorEastAsia" w:cstheme="minorBidi"/>
            <w:smallCaps w:val="0"/>
            <w:noProof/>
            <w:sz w:val="22"/>
            <w:szCs w:val="22"/>
            <w:lang w:val="en-US"/>
          </w:rPr>
          <w:tab/>
        </w:r>
        <w:r w:rsidR="00EA3482" w:rsidRPr="00DE2BD9">
          <w:rPr>
            <w:rStyle w:val="Hyperlink"/>
            <w:noProof/>
          </w:rPr>
          <w:t>O&amp;M EXPENSES</w:t>
        </w:r>
        <w:r w:rsidR="00EA3482">
          <w:rPr>
            <w:noProof/>
            <w:webHidden/>
          </w:rPr>
          <w:tab/>
        </w:r>
        <w:r>
          <w:rPr>
            <w:noProof/>
            <w:webHidden/>
          </w:rPr>
          <w:fldChar w:fldCharType="begin"/>
        </w:r>
        <w:r w:rsidR="00EA3482">
          <w:rPr>
            <w:noProof/>
            <w:webHidden/>
          </w:rPr>
          <w:instrText xml:space="preserve"> PAGEREF _Toc399626167 \h </w:instrText>
        </w:r>
        <w:r>
          <w:rPr>
            <w:noProof/>
            <w:webHidden/>
          </w:rPr>
        </w:r>
        <w:r>
          <w:rPr>
            <w:noProof/>
            <w:webHidden/>
          </w:rPr>
          <w:fldChar w:fldCharType="separate"/>
        </w:r>
        <w:r w:rsidR="00C32B27">
          <w:rPr>
            <w:noProof/>
            <w:webHidden/>
          </w:rPr>
          <w:t>133</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68" w:history="1">
        <w:r w:rsidR="00EA3482" w:rsidRPr="00DE2BD9">
          <w:rPr>
            <w:rStyle w:val="Hyperlink"/>
            <w:noProof/>
          </w:rPr>
          <w:t>4.5</w:t>
        </w:r>
        <w:r w:rsidR="00EA3482">
          <w:rPr>
            <w:rFonts w:eastAsiaTheme="minorEastAsia" w:cstheme="minorBidi"/>
            <w:smallCaps w:val="0"/>
            <w:noProof/>
            <w:sz w:val="22"/>
            <w:szCs w:val="22"/>
            <w:lang w:val="en-US"/>
          </w:rPr>
          <w:tab/>
        </w:r>
        <w:r w:rsidR="00EA3482" w:rsidRPr="00DE2BD9">
          <w:rPr>
            <w:rStyle w:val="Hyperlink"/>
            <w:noProof/>
          </w:rPr>
          <w:t>INTEREST AND FINANCE CHARGES</w:t>
        </w:r>
        <w:r w:rsidR="00EA3482">
          <w:rPr>
            <w:noProof/>
            <w:webHidden/>
          </w:rPr>
          <w:tab/>
        </w:r>
        <w:r>
          <w:rPr>
            <w:noProof/>
            <w:webHidden/>
          </w:rPr>
          <w:fldChar w:fldCharType="begin"/>
        </w:r>
        <w:r w:rsidR="00EA3482">
          <w:rPr>
            <w:noProof/>
            <w:webHidden/>
          </w:rPr>
          <w:instrText xml:space="preserve"> PAGEREF _Toc399626168 \h </w:instrText>
        </w:r>
        <w:r>
          <w:rPr>
            <w:noProof/>
            <w:webHidden/>
          </w:rPr>
        </w:r>
        <w:r>
          <w:rPr>
            <w:noProof/>
            <w:webHidden/>
          </w:rPr>
          <w:fldChar w:fldCharType="separate"/>
        </w:r>
        <w:r w:rsidR="00C32B27">
          <w:rPr>
            <w:noProof/>
            <w:webHidden/>
          </w:rPr>
          <w:t>140</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69" w:history="1">
        <w:r w:rsidR="00EA3482" w:rsidRPr="00DE2BD9">
          <w:rPr>
            <w:rStyle w:val="Hyperlink"/>
            <w:caps/>
            <w:noProof/>
          </w:rPr>
          <w:t>4.6</w:t>
        </w:r>
        <w:r w:rsidR="00EA3482">
          <w:rPr>
            <w:rFonts w:eastAsiaTheme="minorEastAsia" w:cstheme="minorBidi"/>
            <w:smallCaps w:val="0"/>
            <w:noProof/>
            <w:sz w:val="22"/>
            <w:szCs w:val="22"/>
            <w:lang w:val="en-US"/>
          </w:rPr>
          <w:tab/>
        </w:r>
        <w:r w:rsidR="00EA3482" w:rsidRPr="00DE2BD9">
          <w:rPr>
            <w:rStyle w:val="Hyperlink"/>
            <w:caps/>
            <w:noProof/>
          </w:rPr>
          <w:t>Depreciation</w:t>
        </w:r>
        <w:r w:rsidR="00EA3482">
          <w:rPr>
            <w:noProof/>
            <w:webHidden/>
          </w:rPr>
          <w:tab/>
        </w:r>
        <w:r>
          <w:rPr>
            <w:noProof/>
            <w:webHidden/>
          </w:rPr>
          <w:fldChar w:fldCharType="begin"/>
        </w:r>
        <w:r w:rsidR="00EA3482">
          <w:rPr>
            <w:noProof/>
            <w:webHidden/>
          </w:rPr>
          <w:instrText xml:space="preserve"> PAGEREF _Toc399626169 \h </w:instrText>
        </w:r>
        <w:r>
          <w:rPr>
            <w:noProof/>
            <w:webHidden/>
          </w:rPr>
        </w:r>
        <w:r>
          <w:rPr>
            <w:noProof/>
            <w:webHidden/>
          </w:rPr>
          <w:fldChar w:fldCharType="separate"/>
        </w:r>
        <w:r w:rsidR="00C32B27">
          <w:rPr>
            <w:noProof/>
            <w:webHidden/>
          </w:rPr>
          <w:t>149</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70" w:history="1">
        <w:r w:rsidR="00EA3482" w:rsidRPr="00DE2BD9">
          <w:rPr>
            <w:rStyle w:val="Hyperlink"/>
            <w:noProof/>
          </w:rPr>
          <w:t>4.7</w:t>
        </w:r>
        <w:r w:rsidR="00EA3482">
          <w:rPr>
            <w:rFonts w:eastAsiaTheme="minorEastAsia" w:cstheme="minorBidi"/>
            <w:smallCaps w:val="0"/>
            <w:noProof/>
            <w:sz w:val="22"/>
            <w:szCs w:val="22"/>
            <w:lang w:val="en-US"/>
          </w:rPr>
          <w:tab/>
        </w:r>
        <w:r w:rsidR="00EA3482" w:rsidRPr="00DE2BD9">
          <w:rPr>
            <w:rStyle w:val="Hyperlink"/>
            <w:noProof/>
          </w:rPr>
          <w:t>PRIOR PERIOD EXPENSES</w:t>
        </w:r>
        <w:r w:rsidR="00EA3482">
          <w:rPr>
            <w:noProof/>
            <w:webHidden/>
          </w:rPr>
          <w:tab/>
        </w:r>
        <w:r>
          <w:rPr>
            <w:noProof/>
            <w:webHidden/>
          </w:rPr>
          <w:fldChar w:fldCharType="begin"/>
        </w:r>
        <w:r w:rsidR="00EA3482">
          <w:rPr>
            <w:noProof/>
            <w:webHidden/>
          </w:rPr>
          <w:instrText xml:space="preserve"> PAGEREF _Toc399626170 \h </w:instrText>
        </w:r>
        <w:r>
          <w:rPr>
            <w:noProof/>
            <w:webHidden/>
          </w:rPr>
        </w:r>
        <w:r>
          <w:rPr>
            <w:noProof/>
            <w:webHidden/>
          </w:rPr>
          <w:fldChar w:fldCharType="separate"/>
        </w:r>
        <w:r w:rsidR="00C32B27">
          <w:rPr>
            <w:noProof/>
            <w:webHidden/>
          </w:rPr>
          <w:t>153</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71" w:history="1">
        <w:r w:rsidR="00EA3482" w:rsidRPr="00DE2BD9">
          <w:rPr>
            <w:rStyle w:val="Hyperlink"/>
            <w:noProof/>
          </w:rPr>
          <w:t>4.8</w:t>
        </w:r>
        <w:r w:rsidR="00EA3482">
          <w:rPr>
            <w:rFonts w:eastAsiaTheme="minorEastAsia" w:cstheme="minorBidi"/>
            <w:smallCaps w:val="0"/>
            <w:noProof/>
            <w:sz w:val="22"/>
            <w:szCs w:val="22"/>
            <w:lang w:val="en-US"/>
          </w:rPr>
          <w:tab/>
        </w:r>
        <w:r w:rsidR="00EA3482" w:rsidRPr="00DE2BD9">
          <w:rPr>
            <w:rStyle w:val="Hyperlink"/>
            <w:noProof/>
          </w:rPr>
          <w:t>OTHER EXPENSES</w:t>
        </w:r>
        <w:r w:rsidR="00EA3482">
          <w:rPr>
            <w:noProof/>
            <w:webHidden/>
          </w:rPr>
          <w:tab/>
        </w:r>
        <w:r>
          <w:rPr>
            <w:noProof/>
            <w:webHidden/>
          </w:rPr>
          <w:fldChar w:fldCharType="begin"/>
        </w:r>
        <w:r w:rsidR="00EA3482">
          <w:rPr>
            <w:noProof/>
            <w:webHidden/>
          </w:rPr>
          <w:instrText xml:space="preserve"> PAGEREF _Toc399626171 \h </w:instrText>
        </w:r>
        <w:r>
          <w:rPr>
            <w:noProof/>
            <w:webHidden/>
          </w:rPr>
        </w:r>
        <w:r>
          <w:rPr>
            <w:noProof/>
            <w:webHidden/>
          </w:rPr>
          <w:fldChar w:fldCharType="separate"/>
        </w:r>
        <w:r w:rsidR="00C32B27">
          <w:rPr>
            <w:noProof/>
            <w:webHidden/>
          </w:rPr>
          <w:t>156</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72" w:history="1">
        <w:r w:rsidR="00EA3482" w:rsidRPr="00DE2BD9">
          <w:rPr>
            <w:rStyle w:val="Hyperlink"/>
            <w:noProof/>
          </w:rPr>
          <w:t>4.9</w:t>
        </w:r>
        <w:r w:rsidR="00EA3482">
          <w:rPr>
            <w:rFonts w:eastAsiaTheme="minorEastAsia" w:cstheme="minorBidi"/>
            <w:smallCaps w:val="0"/>
            <w:noProof/>
            <w:sz w:val="22"/>
            <w:szCs w:val="22"/>
            <w:lang w:val="en-US"/>
          </w:rPr>
          <w:tab/>
        </w:r>
        <w:r w:rsidR="00EA3482" w:rsidRPr="00DE2BD9">
          <w:rPr>
            <w:rStyle w:val="Hyperlink"/>
            <w:noProof/>
          </w:rPr>
          <w:t>PROVISION FOR BAD AND DOUBTFUL DEBT</w:t>
        </w:r>
        <w:r w:rsidR="00EA3482">
          <w:rPr>
            <w:noProof/>
            <w:webHidden/>
          </w:rPr>
          <w:tab/>
        </w:r>
        <w:r>
          <w:rPr>
            <w:noProof/>
            <w:webHidden/>
          </w:rPr>
          <w:fldChar w:fldCharType="begin"/>
        </w:r>
        <w:r w:rsidR="00EA3482">
          <w:rPr>
            <w:noProof/>
            <w:webHidden/>
          </w:rPr>
          <w:instrText xml:space="preserve"> PAGEREF _Toc399626172 \h </w:instrText>
        </w:r>
        <w:r>
          <w:rPr>
            <w:noProof/>
            <w:webHidden/>
          </w:rPr>
        </w:r>
        <w:r>
          <w:rPr>
            <w:noProof/>
            <w:webHidden/>
          </w:rPr>
          <w:fldChar w:fldCharType="separate"/>
        </w:r>
        <w:r w:rsidR="00C32B27">
          <w:rPr>
            <w:noProof/>
            <w:webHidden/>
          </w:rPr>
          <w:t>156</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73" w:history="1">
        <w:r w:rsidR="00EA3482" w:rsidRPr="00DE2BD9">
          <w:rPr>
            <w:rStyle w:val="Hyperlink"/>
            <w:caps/>
            <w:noProof/>
          </w:rPr>
          <w:t>4.10</w:t>
        </w:r>
        <w:r w:rsidR="00EA3482">
          <w:rPr>
            <w:rFonts w:eastAsiaTheme="minorEastAsia" w:cstheme="minorBidi"/>
            <w:smallCaps w:val="0"/>
            <w:noProof/>
            <w:sz w:val="22"/>
            <w:szCs w:val="22"/>
            <w:lang w:val="en-US"/>
          </w:rPr>
          <w:tab/>
        </w:r>
        <w:r w:rsidR="00EA3482" w:rsidRPr="00DE2BD9">
          <w:rPr>
            <w:rStyle w:val="Hyperlink"/>
            <w:caps/>
            <w:noProof/>
          </w:rPr>
          <w:t>Return on equity</w:t>
        </w:r>
        <w:r w:rsidR="00EA3482">
          <w:rPr>
            <w:noProof/>
            <w:webHidden/>
          </w:rPr>
          <w:tab/>
        </w:r>
        <w:r>
          <w:rPr>
            <w:noProof/>
            <w:webHidden/>
          </w:rPr>
          <w:fldChar w:fldCharType="begin"/>
        </w:r>
        <w:r w:rsidR="00EA3482">
          <w:rPr>
            <w:noProof/>
            <w:webHidden/>
          </w:rPr>
          <w:instrText xml:space="preserve"> PAGEREF _Toc399626173 \h </w:instrText>
        </w:r>
        <w:r>
          <w:rPr>
            <w:noProof/>
            <w:webHidden/>
          </w:rPr>
        </w:r>
        <w:r>
          <w:rPr>
            <w:noProof/>
            <w:webHidden/>
          </w:rPr>
          <w:fldChar w:fldCharType="separate"/>
        </w:r>
        <w:r w:rsidR="00C32B27">
          <w:rPr>
            <w:noProof/>
            <w:webHidden/>
          </w:rPr>
          <w:t>159</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74" w:history="1">
        <w:r w:rsidR="00EA3482" w:rsidRPr="00DE2BD9">
          <w:rPr>
            <w:rStyle w:val="Hyperlink"/>
            <w:noProof/>
          </w:rPr>
          <w:t>4.11</w:t>
        </w:r>
        <w:r w:rsidR="00EA3482">
          <w:rPr>
            <w:rFonts w:eastAsiaTheme="minorEastAsia" w:cstheme="minorBidi"/>
            <w:smallCaps w:val="0"/>
            <w:noProof/>
            <w:sz w:val="22"/>
            <w:szCs w:val="22"/>
            <w:lang w:val="en-US"/>
          </w:rPr>
          <w:tab/>
        </w:r>
        <w:r w:rsidR="00EA3482" w:rsidRPr="00DE2BD9">
          <w:rPr>
            <w:rStyle w:val="Hyperlink"/>
            <w:noProof/>
          </w:rPr>
          <w:t>REVENUE SIDE TRUING UP</w:t>
        </w:r>
        <w:r w:rsidR="00EA3482">
          <w:rPr>
            <w:noProof/>
            <w:webHidden/>
          </w:rPr>
          <w:tab/>
        </w:r>
        <w:r>
          <w:rPr>
            <w:noProof/>
            <w:webHidden/>
          </w:rPr>
          <w:fldChar w:fldCharType="begin"/>
        </w:r>
        <w:r w:rsidR="00EA3482">
          <w:rPr>
            <w:noProof/>
            <w:webHidden/>
          </w:rPr>
          <w:instrText xml:space="preserve"> PAGEREF _Toc399626174 \h </w:instrText>
        </w:r>
        <w:r>
          <w:rPr>
            <w:noProof/>
            <w:webHidden/>
          </w:rPr>
        </w:r>
        <w:r>
          <w:rPr>
            <w:noProof/>
            <w:webHidden/>
          </w:rPr>
          <w:fldChar w:fldCharType="separate"/>
        </w:r>
        <w:r w:rsidR="00C32B27">
          <w:rPr>
            <w:noProof/>
            <w:webHidden/>
          </w:rPr>
          <w:t>160</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75" w:history="1">
        <w:r w:rsidR="00EA3482" w:rsidRPr="00DE2BD9">
          <w:rPr>
            <w:rStyle w:val="Hyperlink"/>
            <w:caps/>
            <w:noProof/>
          </w:rPr>
          <w:t>4.12</w:t>
        </w:r>
        <w:r w:rsidR="00EA3482">
          <w:rPr>
            <w:rFonts w:eastAsiaTheme="minorEastAsia" w:cstheme="minorBidi"/>
            <w:smallCaps w:val="0"/>
            <w:noProof/>
            <w:sz w:val="22"/>
            <w:szCs w:val="22"/>
            <w:lang w:val="en-US"/>
          </w:rPr>
          <w:tab/>
        </w:r>
        <w:r w:rsidR="00EA3482" w:rsidRPr="00DE2BD9">
          <w:rPr>
            <w:rStyle w:val="Hyperlink"/>
            <w:caps/>
            <w:noProof/>
          </w:rPr>
          <w:t>AGGREGATE REVenue requirement and revenue gap/ (surplus) for fY 2008-09 after truing up</w:t>
        </w:r>
        <w:r w:rsidR="00EA3482">
          <w:rPr>
            <w:noProof/>
            <w:webHidden/>
          </w:rPr>
          <w:tab/>
        </w:r>
        <w:r>
          <w:rPr>
            <w:noProof/>
            <w:webHidden/>
          </w:rPr>
          <w:fldChar w:fldCharType="begin"/>
        </w:r>
        <w:r w:rsidR="00EA3482">
          <w:rPr>
            <w:noProof/>
            <w:webHidden/>
          </w:rPr>
          <w:instrText xml:space="preserve"> PAGEREF _Toc399626175 \h </w:instrText>
        </w:r>
        <w:r>
          <w:rPr>
            <w:noProof/>
            <w:webHidden/>
          </w:rPr>
        </w:r>
        <w:r>
          <w:rPr>
            <w:noProof/>
            <w:webHidden/>
          </w:rPr>
          <w:fldChar w:fldCharType="separate"/>
        </w:r>
        <w:r w:rsidR="00C32B27">
          <w:rPr>
            <w:noProof/>
            <w:webHidden/>
          </w:rPr>
          <w:t>162</w:t>
        </w:r>
        <w:r>
          <w:rPr>
            <w:noProof/>
            <w:webHidden/>
          </w:rPr>
          <w:fldChar w:fldCharType="end"/>
        </w:r>
      </w:hyperlink>
    </w:p>
    <w:p w:rsidR="00EA3482" w:rsidRDefault="005D68E7">
      <w:pPr>
        <w:pStyle w:val="TOC1"/>
        <w:rPr>
          <w:rFonts w:eastAsiaTheme="minorEastAsia" w:cstheme="minorBidi"/>
          <w:bCs w:val="0"/>
          <w:caps w:val="0"/>
          <w:noProof/>
          <w:sz w:val="22"/>
          <w:szCs w:val="22"/>
          <w:lang w:val="en-US"/>
        </w:rPr>
      </w:pPr>
      <w:hyperlink w:anchor="_Toc399626176" w:history="1">
        <w:r w:rsidR="00EA3482" w:rsidRPr="00DE2BD9">
          <w:rPr>
            <w:rStyle w:val="Hyperlink"/>
            <w:noProof/>
          </w:rPr>
          <w:t>5</w:t>
        </w:r>
        <w:r w:rsidR="00EA3482">
          <w:rPr>
            <w:rFonts w:eastAsiaTheme="minorEastAsia" w:cstheme="minorBidi"/>
            <w:bCs w:val="0"/>
            <w:caps w:val="0"/>
            <w:noProof/>
            <w:sz w:val="22"/>
            <w:szCs w:val="22"/>
            <w:lang w:val="en-US"/>
          </w:rPr>
          <w:tab/>
        </w:r>
        <w:r w:rsidR="00EA3482" w:rsidRPr="00DE2BD9">
          <w:rPr>
            <w:rStyle w:val="Hyperlink"/>
            <w:noProof/>
          </w:rPr>
          <w:t>TRUING UP OF AGGREGATE REVENUE REQUIREMENT FOR FY 2009-10</w:t>
        </w:r>
        <w:r w:rsidR="00EA3482">
          <w:rPr>
            <w:noProof/>
            <w:webHidden/>
          </w:rPr>
          <w:tab/>
        </w:r>
        <w:r>
          <w:rPr>
            <w:noProof/>
            <w:webHidden/>
          </w:rPr>
          <w:fldChar w:fldCharType="begin"/>
        </w:r>
        <w:r w:rsidR="00EA3482">
          <w:rPr>
            <w:noProof/>
            <w:webHidden/>
          </w:rPr>
          <w:instrText xml:space="preserve"> PAGEREF _Toc399626176 \h </w:instrText>
        </w:r>
        <w:r>
          <w:rPr>
            <w:noProof/>
            <w:webHidden/>
          </w:rPr>
        </w:r>
        <w:r>
          <w:rPr>
            <w:noProof/>
            <w:webHidden/>
          </w:rPr>
          <w:fldChar w:fldCharType="separate"/>
        </w:r>
        <w:r w:rsidR="00C32B27">
          <w:rPr>
            <w:noProof/>
            <w:webHidden/>
          </w:rPr>
          <w:t>164</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77" w:history="1">
        <w:r w:rsidR="00EA3482" w:rsidRPr="00DE2BD9">
          <w:rPr>
            <w:rStyle w:val="Hyperlink"/>
            <w:noProof/>
          </w:rPr>
          <w:t>5.1</w:t>
        </w:r>
        <w:r w:rsidR="00EA3482">
          <w:rPr>
            <w:rFonts w:eastAsiaTheme="minorEastAsia" w:cstheme="minorBidi"/>
            <w:smallCaps w:val="0"/>
            <w:noProof/>
            <w:sz w:val="22"/>
            <w:szCs w:val="22"/>
            <w:lang w:val="en-US"/>
          </w:rPr>
          <w:tab/>
        </w:r>
        <w:r w:rsidR="00EA3482" w:rsidRPr="00DE2BD9">
          <w:rPr>
            <w:rStyle w:val="Hyperlink"/>
            <w:noProof/>
          </w:rPr>
          <w:t>INTRODUCTION</w:t>
        </w:r>
        <w:r w:rsidR="00EA3482">
          <w:rPr>
            <w:noProof/>
            <w:webHidden/>
          </w:rPr>
          <w:tab/>
        </w:r>
        <w:r>
          <w:rPr>
            <w:noProof/>
            <w:webHidden/>
          </w:rPr>
          <w:fldChar w:fldCharType="begin"/>
        </w:r>
        <w:r w:rsidR="00EA3482">
          <w:rPr>
            <w:noProof/>
            <w:webHidden/>
          </w:rPr>
          <w:instrText xml:space="preserve"> PAGEREF _Toc399626177 \h </w:instrText>
        </w:r>
        <w:r>
          <w:rPr>
            <w:noProof/>
            <w:webHidden/>
          </w:rPr>
        </w:r>
        <w:r>
          <w:rPr>
            <w:noProof/>
            <w:webHidden/>
          </w:rPr>
          <w:fldChar w:fldCharType="separate"/>
        </w:r>
        <w:r w:rsidR="00C32B27">
          <w:rPr>
            <w:noProof/>
            <w:webHidden/>
          </w:rPr>
          <w:t>164</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78" w:history="1">
        <w:r w:rsidR="00EA3482" w:rsidRPr="00DE2BD9">
          <w:rPr>
            <w:rStyle w:val="Hyperlink"/>
            <w:noProof/>
          </w:rPr>
          <w:t>5.2</w:t>
        </w:r>
        <w:r w:rsidR="00EA3482">
          <w:rPr>
            <w:rFonts w:eastAsiaTheme="minorEastAsia" w:cstheme="minorBidi"/>
            <w:smallCaps w:val="0"/>
            <w:noProof/>
            <w:sz w:val="22"/>
            <w:szCs w:val="22"/>
            <w:lang w:val="en-US"/>
          </w:rPr>
          <w:tab/>
        </w:r>
        <w:r w:rsidR="00EA3482" w:rsidRPr="00DE2BD9">
          <w:rPr>
            <w:rStyle w:val="Hyperlink"/>
            <w:noProof/>
          </w:rPr>
          <w:t>POWER PURCHASE QUANTUM AND COST FOR FY 2009-10</w:t>
        </w:r>
        <w:r w:rsidR="00EA3482">
          <w:rPr>
            <w:noProof/>
            <w:webHidden/>
          </w:rPr>
          <w:tab/>
        </w:r>
        <w:r>
          <w:rPr>
            <w:noProof/>
            <w:webHidden/>
          </w:rPr>
          <w:fldChar w:fldCharType="begin"/>
        </w:r>
        <w:r w:rsidR="00EA3482">
          <w:rPr>
            <w:noProof/>
            <w:webHidden/>
          </w:rPr>
          <w:instrText xml:space="preserve"> PAGEREF _Toc399626178 \h </w:instrText>
        </w:r>
        <w:r>
          <w:rPr>
            <w:noProof/>
            <w:webHidden/>
          </w:rPr>
        </w:r>
        <w:r>
          <w:rPr>
            <w:noProof/>
            <w:webHidden/>
          </w:rPr>
          <w:fldChar w:fldCharType="separate"/>
        </w:r>
        <w:r w:rsidR="00C32B27">
          <w:rPr>
            <w:noProof/>
            <w:webHidden/>
          </w:rPr>
          <w:t>164</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79" w:history="1">
        <w:r w:rsidR="00EA3482" w:rsidRPr="00DE2BD9">
          <w:rPr>
            <w:rStyle w:val="Hyperlink"/>
            <w:noProof/>
          </w:rPr>
          <w:t>5.3</w:t>
        </w:r>
        <w:r w:rsidR="00EA3482">
          <w:rPr>
            <w:rFonts w:eastAsiaTheme="minorEastAsia" w:cstheme="minorBidi"/>
            <w:smallCaps w:val="0"/>
            <w:noProof/>
            <w:sz w:val="22"/>
            <w:szCs w:val="22"/>
            <w:lang w:val="en-US"/>
          </w:rPr>
          <w:tab/>
        </w:r>
        <w:r w:rsidR="00EA3482" w:rsidRPr="00DE2BD9">
          <w:rPr>
            <w:rStyle w:val="Hyperlink"/>
            <w:noProof/>
          </w:rPr>
          <w:t>TRANSMISSION CHARGES</w:t>
        </w:r>
        <w:r w:rsidR="00EA3482">
          <w:rPr>
            <w:noProof/>
            <w:webHidden/>
          </w:rPr>
          <w:tab/>
        </w:r>
        <w:r>
          <w:rPr>
            <w:noProof/>
            <w:webHidden/>
          </w:rPr>
          <w:fldChar w:fldCharType="begin"/>
        </w:r>
        <w:r w:rsidR="00EA3482">
          <w:rPr>
            <w:noProof/>
            <w:webHidden/>
          </w:rPr>
          <w:instrText xml:space="preserve"> PAGEREF _Toc399626179 \h </w:instrText>
        </w:r>
        <w:r>
          <w:rPr>
            <w:noProof/>
            <w:webHidden/>
          </w:rPr>
        </w:r>
        <w:r>
          <w:rPr>
            <w:noProof/>
            <w:webHidden/>
          </w:rPr>
          <w:fldChar w:fldCharType="separate"/>
        </w:r>
        <w:r w:rsidR="00C32B27">
          <w:rPr>
            <w:noProof/>
            <w:webHidden/>
          </w:rPr>
          <w:t>165</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80" w:history="1">
        <w:r w:rsidR="00EA3482" w:rsidRPr="00DE2BD9">
          <w:rPr>
            <w:rStyle w:val="Hyperlink"/>
            <w:noProof/>
          </w:rPr>
          <w:t>5.4</w:t>
        </w:r>
        <w:r w:rsidR="00EA3482">
          <w:rPr>
            <w:rFonts w:eastAsiaTheme="minorEastAsia" w:cstheme="minorBidi"/>
            <w:smallCaps w:val="0"/>
            <w:noProof/>
            <w:sz w:val="22"/>
            <w:szCs w:val="22"/>
            <w:lang w:val="en-US"/>
          </w:rPr>
          <w:tab/>
        </w:r>
        <w:r w:rsidR="00EA3482" w:rsidRPr="00DE2BD9">
          <w:rPr>
            <w:rStyle w:val="Hyperlink"/>
            <w:noProof/>
          </w:rPr>
          <w:t>O&amp;M EXPENSES</w:t>
        </w:r>
        <w:r w:rsidR="00EA3482">
          <w:rPr>
            <w:noProof/>
            <w:webHidden/>
          </w:rPr>
          <w:tab/>
        </w:r>
        <w:r>
          <w:rPr>
            <w:noProof/>
            <w:webHidden/>
          </w:rPr>
          <w:fldChar w:fldCharType="begin"/>
        </w:r>
        <w:r w:rsidR="00EA3482">
          <w:rPr>
            <w:noProof/>
            <w:webHidden/>
          </w:rPr>
          <w:instrText xml:space="preserve"> PAGEREF _Toc399626180 \h </w:instrText>
        </w:r>
        <w:r>
          <w:rPr>
            <w:noProof/>
            <w:webHidden/>
          </w:rPr>
        </w:r>
        <w:r>
          <w:rPr>
            <w:noProof/>
            <w:webHidden/>
          </w:rPr>
          <w:fldChar w:fldCharType="separate"/>
        </w:r>
        <w:r w:rsidR="00C32B27">
          <w:rPr>
            <w:noProof/>
            <w:webHidden/>
          </w:rPr>
          <w:t>167</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81" w:history="1">
        <w:r w:rsidR="00EA3482" w:rsidRPr="00DE2BD9">
          <w:rPr>
            <w:rStyle w:val="Hyperlink"/>
            <w:noProof/>
          </w:rPr>
          <w:t>5.5</w:t>
        </w:r>
        <w:r w:rsidR="00EA3482">
          <w:rPr>
            <w:rFonts w:eastAsiaTheme="minorEastAsia" w:cstheme="minorBidi"/>
            <w:smallCaps w:val="0"/>
            <w:noProof/>
            <w:sz w:val="22"/>
            <w:szCs w:val="22"/>
            <w:lang w:val="en-US"/>
          </w:rPr>
          <w:tab/>
        </w:r>
        <w:r w:rsidR="00EA3482" w:rsidRPr="00DE2BD9">
          <w:rPr>
            <w:rStyle w:val="Hyperlink"/>
            <w:noProof/>
          </w:rPr>
          <w:t>INTEREST AND FINANCE CHARGES</w:t>
        </w:r>
        <w:r w:rsidR="00EA3482">
          <w:rPr>
            <w:noProof/>
            <w:webHidden/>
          </w:rPr>
          <w:tab/>
        </w:r>
        <w:r>
          <w:rPr>
            <w:noProof/>
            <w:webHidden/>
          </w:rPr>
          <w:fldChar w:fldCharType="begin"/>
        </w:r>
        <w:r w:rsidR="00EA3482">
          <w:rPr>
            <w:noProof/>
            <w:webHidden/>
          </w:rPr>
          <w:instrText xml:space="preserve"> PAGEREF _Toc399626181 \h </w:instrText>
        </w:r>
        <w:r>
          <w:rPr>
            <w:noProof/>
            <w:webHidden/>
          </w:rPr>
        </w:r>
        <w:r>
          <w:rPr>
            <w:noProof/>
            <w:webHidden/>
          </w:rPr>
          <w:fldChar w:fldCharType="separate"/>
        </w:r>
        <w:r w:rsidR="00C32B27">
          <w:rPr>
            <w:noProof/>
            <w:webHidden/>
          </w:rPr>
          <w:t>171</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82" w:history="1">
        <w:r w:rsidR="00EA3482" w:rsidRPr="00DE2BD9">
          <w:rPr>
            <w:rStyle w:val="Hyperlink"/>
            <w:caps/>
            <w:noProof/>
          </w:rPr>
          <w:t>5.6</w:t>
        </w:r>
        <w:r w:rsidR="00EA3482">
          <w:rPr>
            <w:rFonts w:eastAsiaTheme="minorEastAsia" w:cstheme="minorBidi"/>
            <w:smallCaps w:val="0"/>
            <w:noProof/>
            <w:sz w:val="22"/>
            <w:szCs w:val="22"/>
            <w:lang w:val="en-US"/>
          </w:rPr>
          <w:tab/>
        </w:r>
        <w:r w:rsidR="00EA3482" w:rsidRPr="00DE2BD9">
          <w:rPr>
            <w:rStyle w:val="Hyperlink"/>
            <w:caps/>
            <w:noProof/>
          </w:rPr>
          <w:t>Depreciation</w:t>
        </w:r>
        <w:r w:rsidR="00EA3482">
          <w:rPr>
            <w:noProof/>
            <w:webHidden/>
          </w:rPr>
          <w:tab/>
        </w:r>
        <w:r>
          <w:rPr>
            <w:noProof/>
            <w:webHidden/>
          </w:rPr>
          <w:fldChar w:fldCharType="begin"/>
        </w:r>
        <w:r w:rsidR="00EA3482">
          <w:rPr>
            <w:noProof/>
            <w:webHidden/>
          </w:rPr>
          <w:instrText xml:space="preserve"> PAGEREF _Toc399626182 \h </w:instrText>
        </w:r>
        <w:r>
          <w:rPr>
            <w:noProof/>
            <w:webHidden/>
          </w:rPr>
        </w:r>
        <w:r>
          <w:rPr>
            <w:noProof/>
            <w:webHidden/>
          </w:rPr>
          <w:fldChar w:fldCharType="separate"/>
        </w:r>
        <w:r w:rsidR="00C32B27">
          <w:rPr>
            <w:noProof/>
            <w:webHidden/>
          </w:rPr>
          <w:t>180</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83" w:history="1">
        <w:r w:rsidR="00EA3482" w:rsidRPr="00DE2BD9">
          <w:rPr>
            <w:rStyle w:val="Hyperlink"/>
            <w:noProof/>
          </w:rPr>
          <w:t>5.7</w:t>
        </w:r>
        <w:r w:rsidR="00EA3482">
          <w:rPr>
            <w:rFonts w:eastAsiaTheme="minorEastAsia" w:cstheme="minorBidi"/>
            <w:smallCaps w:val="0"/>
            <w:noProof/>
            <w:sz w:val="22"/>
            <w:szCs w:val="22"/>
            <w:lang w:val="en-US"/>
          </w:rPr>
          <w:tab/>
        </w:r>
        <w:r w:rsidR="00EA3482" w:rsidRPr="00DE2BD9">
          <w:rPr>
            <w:rStyle w:val="Hyperlink"/>
            <w:noProof/>
          </w:rPr>
          <w:t>PRIOR PERIOD EXPENSES</w:t>
        </w:r>
        <w:r w:rsidR="00EA3482">
          <w:rPr>
            <w:noProof/>
            <w:webHidden/>
          </w:rPr>
          <w:tab/>
        </w:r>
        <w:r>
          <w:rPr>
            <w:noProof/>
            <w:webHidden/>
          </w:rPr>
          <w:fldChar w:fldCharType="begin"/>
        </w:r>
        <w:r w:rsidR="00EA3482">
          <w:rPr>
            <w:noProof/>
            <w:webHidden/>
          </w:rPr>
          <w:instrText xml:space="preserve"> PAGEREF _Toc399626183 \h </w:instrText>
        </w:r>
        <w:r>
          <w:rPr>
            <w:noProof/>
            <w:webHidden/>
          </w:rPr>
        </w:r>
        <w:r>
          <w:rPr>
            <w:noProof/>
            <w:webHidden/>
          </w:rPr>
          <w:fldChar w:fldCharType="separate"/>
        </w:r>
        <w:r w:rsidR="00C32B27">
          <w:rPr>
            <w:noProof/>
            <w:webHidden/>
          </w:rPr>
          <w:t>183</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84" w:history="1">
        <w:r w:rsidR="00EA3482" w:rsidRPr="00DE2BD9">
          <w:rPr>
            <w:rStyle w:val="Hyperlink"/>
            <w:noProof/>
          </w:rPr>
          <w:t>5.8</w:t>
        </w:r>
        <w:r w:rsidR="00EA3482">
          <w:rPr>
            <w:rFonts w:eastAsiaTheme="minorEastAsia" w:cstheme="minorBidi"/>
            <w:smallCaps w:val="0"/>
            <w:noProof/>
            <w:sz w:val="22"/>
            <w:szCs w:val="22"/>
            <w:lang w:val="en-US"/>
          </w:rPr>
          <w:tab/>
        </w:r>
        <w:r w:rsidR="00EA3482" w:rsidRPr="00DE2BD9">
          <w:rPr>
            <w:rStyle w:val="Hyperlink"/>
            <w:noProof/>
          </w:rPr>
          <w:t>OTHER EXPENSES</w:t>
        </w:r>
        <w:r w:rsidR="00EA3482">
          <w:rPr>
            <w:noProof/>
            <w:webHidden/>
          </w:rPr>
          <w:tab/>
        </w:r>
        <w:r>
          <w:rPr>
            <w:noProof/>
            <w:webHidden/>
          </w:rPr>
          <w:fldChar w:fldCharType="begin"/>
        </w:r>
        <w:r w:rsidR="00EA3482">
          <w:rPr>
            <w:noProof/>
            <w:webHidden/>
          </w:rPr>
          <w:instrText xml:space="preserve"> PAGEREF _Toc399626184 \h </w:instrText>
        </w:r>
        <w:r>
          <w:rPr>
            <w:noProof/>
            <w:webHidden/>
          </w:rPr>
        </w:r>
        <w:r>
          <w:rPr>
            <w:noProof/>
            <w:webHidden/>
          </w:rPr>
          <w:fldChar w:fldCharType="separate"/>
        </w:r>
        <w:r w:rsidR="00C32B27">
          <w:rPr>
            <w:noProof/>
            <w:webHidden/>
          </w:rPr>
          <w:t>185</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85" w:history="1">
        <w:r w:rsidR="00EA3482" w:rsidRPr="00DE2BD9">
          <w:rPr>
            <w:rStyle w:val="Hyperlink"/>
            <w:noProof/>
          </w:rPr>
          <w:t>5.9</w:t>
        </w:r>
        <w:r w:rsidR="00EA3482">
          <w:rPr>
            <w:rFonts w:eastAsiaTheme="minorEastAsia" w:cstheme="minorBidi"/>
            <w:smallCaps w:val="0"/>
            <w:noProof/>
            <w:sz w:val="22"/>
            <w:szCs w:val="22"/>
            <w:lang w:val="en-US"/>
          </w:rPr>
          <w:tab/>
        </w:r>
        <w:r w:rsidR="00EA3482" w:rsidRPr="00DE2BD9">
          <w:rPr>
            <w:rStyle w:val="Hyperlink"/>
            <w:noProof/>
          </w:rPr>
          <w:t>PROVISION FOR BAD AND DOUBTFUL DEBT</w:t>
        </w:r>
        <w:r w:rsidR="00EA3482">
          <w:rPr>
            <w:noProof/>
            <w:webHidden/>
          </w:rPr>
          <w:tab/>
        </w:r>
        <w:r>
          <w:rPr>
            <w:noProof/>
            <w:webHidden/>
          </w:rPr>
          <w:fldChar w:fldCharType="begin"/>
        </w:r>
        <w:r w:rsidR="00EA3482">
          <w:rPr>
            <w:noProof/>
            <w:webHidden/>
          </w:rPr>
          <w:instrText xml:space="preserve"> PAGEREF _Toc399626185 \h </w:instrText>
        </w:r>
        <w:r>
          <w:rPr>
            <w:noProof/>
            <w:webHidden/>
          </w:rPr>
        </w:r>
        <w:r>
          <w:rPr>
            <w:noProof/>
            <w:webHidden/>
          </w:rPr>
          <w:fldChar w:fldCharType="separate"/>
        </w:r>
        <w:r w:rsidR="00C32B27">
          <w:rPr>
            <w:noProof/>
            <w:webHidden/>
          </w:rPr>
          <w:t>186</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86" w:history="1">
        <w:r w:rsidR="00EA3482" w:rsidRPr="00DE2BD9">
          <w:rPr>
            <w:rStyle w:val="Hyperlink"/>
            <w:caps/>
            <w:noProof/>
          </w:rPr>
          <w:t>5.10</w:t>
        </w:r>
        <w:r w:rsidR="00EA3482">
          <w:rPr>
            <w:rFonts w:eastAsiaTheme="minorEastAsia" w:cstheme="minorBidi"/>
            <w:smallCaps w:val="0"/>
            <w:noProof/>
            <w:sz w:val="22"/>
            <w:szCs w:val="22"/>
            <w:lang w:val="en-US"/>
          </w:rPr>
          <w:tab/>
        </w:r>
        <w:r w:rsidR="00EA3482" w:rsidRPr="00DE2BD9">
          <w:rPr>
            <w:rStyle w:val="Hyperlink"/>
            <w:caps/>
            <w:noProof/>
          </w:rPr>
          <w:t>REturn on equity</w:t>
        </w:r>
        <w:r w:rsidR="00EA3482">
          <w:rPr>
            <w:noProof/>
            <w:webHidden/>
          </w:rPr>
          <w:tab/>
        </w:r>
        <w:r>
          <w:rPr>
            <w:noProof/>
            <w:webHidden/>
          </w:rPr>
          <w:fldChar w:fldCharType="begin"/>
        </w:r>
        <w:r w:rsidR="00EA3482">
          <w:rPr>
            <w:noProof/>
            <w:webHidden/>
          </w:rPr>
          <w:instrText xml:space="preserve"> PAGEREF _Toc399626186 \h </w:instrText>
        </w:r>
        <w:r>
          <w:rPr>
            <w:noProof/>
            <w:webHidden/>
          </w:rPr>
        </w:r>
        <w:r>
          <w:rPr>
            <w:noProof/>
            <w:webHidden/>
          </w:rPr>
          <w:fldChar w:fldCharType="separate"/>
        </w:r>
        <w:r w:rsidR="00C32B27">
          <w:rPr>
            <w:noProof/>
            <w:webHidden/>
          </w:rPr>
          <w:t>187</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87" w:history="1">
        <w:r w:rsidR="00EA3482" w:rsidRPr="00DE2BD9">
          <w:rPr>
            <w:rStyle w:val="Hyperlink"/>
            <w:noProof/>
          </w:rPr>
          <w:t>5.11</w:t>
        </w:r>
        <w:r w:rsidR="00EA3482">
          <w:rPr>
            <w:rFonts w:eastAsiaTheme="minorEastAsia" w:cstheme="minorBidi"/>
            <w:smallCaps w:val="0"/>
            <w:noProof/>
            <w:sz w:val="22"/>
            <w:szCs w:val="22"/>
            <w:lang w:val="en-US"/>
          </w:rPr>
          <w:tab/>
        </w:r>
        <w:r w:rsidR="00EA3482" w:rsidRPr="00DE2BD9">
          <w:rPr>
            <w:rStyle w:val="Hyperlink"/>
            <w:noProof/>
          </w:rPr>
          <w:t>REVENUE SIDE TRUING UP</w:t>
        </w:r>
        <w:r w:rsidR="00EA3482">
          <w:rPr>
            <w:noProof/>
            <w:webHidden/>
          </w:rPr>
          <w:tab/>
        </w:r>
        <w:r>
          <w:rPr>
            <w:noProof/>
            <w:webHidden/>
          </w:rPr>
          <w:fldChar w:fldCharType="begin"/>
        </w:r>
        <w:r w:rsidR="00EA3482">
          <w:rPr>
            <w:noProof/>
            <w:webHidden/>
          </w:rPr>
          <w:instrText xml:space="preserve"> PAGEREF _Toc399626187 \h </w:instrText>
        </w:r>
        <w:r>
          <w:rPr>
            <w:noProof/>
            <w:webHidden/>
          </w:rPr>
        </w:r>
        <w:r>
          <w:rPr>
            <w:noProof/>
            <w:webHidden/>
          </w:rPr>
          <w:fldChar w:fldCharType="separate"/>
        </w:r>
        <w:r w:rsidR="00C32B27">
          <w:rPr>
            <w:noProof/>
            <w:webHidden/>
          </w:rPr>
          <w:t>187</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88" w:history="1">
        <w:r w:rsidR="00EA3482" w:rsidRPr="00DE2BD9">
          <w:rPr>
            <w:rStyle w:val="Hyperlink"/>
            <w:caps/>
            <w:noProof/>
          </w:rPr>
          <w:t>5.12</w:t>
        </w:r>
        <w:r w:rsidR="00EA3482">
          <w:rPr>
            <w:rFonts w:eastAsiaTheme="minorEastAsia" w:cstheme="minorBidi"/>
            <w:smallCaps w:val="0"/>
            <w:noProof/>
            <w:sz w:val="22"/>
            <w:szCs w:val="22"/>
            <w:lang w:val="en-US"/>
          </w:rPr>
          <w:tab/>
        </w:r>
        <w:r w:rsidR="00EA3482" w:rsidRPr="00DE2BD9">
          <w:rPr>
            <w:rStyle w:val="Hyperlink"/>
            <w:caps/>
            <w:noProof/>
          </w:rPr>
          <w:t>AGGREGATE REVenue requirement and revenue gap/ (surplus) for fY 2009-10 after truing up</w:t>
        </w:r>
        <w:r w:rsidR="00EA3482">
          <w:rPr>
            <w:noProof/>
            <w:webHidden/>
          </w:rPr>
          <w:tab/>
        </w:r>
        <w:r>
          <w:rPr>
            <w:noProof/>
            <w:webHidden/>
          </w:rPr>
          <w:fldChar w:fldCharType="begin"/>
        </w:r>
        <w:r w:rsidR="00EA3482">
          <w:rPr>
            <w:noProof/>
            <w:webHidden/>
          </w:rPr>
          <w:instrText xml:space="preserve"> PAGEREF _Toc399626188 \h </w:instrText>
        </w:r>
        <w:r>
          <w:rPr>
            <w:noProof/>
            <w:webHidden/>
          </w:rPr>
        </w:r>
        <w:r>
          <w:rPr>
            <w:noProof/>
            <w:webHidden/>
          </w:rPr>
          <w:fldChar w:fldCharType="separate"/>
        </w:r>
        <w:r w:rsidR="00C32B27">
          <w:rPr>
            <w:noProof/>
            <w:webHidden/>
          </w:rPr>
          <w:t>189</w:t>
        </w:r>
        <w:r>
          <w:rPr>
            <w:noProof/>
            <w:webHidden/>
          </w:rPr>
          <w:fldChar w:fldCharType="end"/>
        </w:r>
      </w:hyperlink>
    </w:p>
    <w:p w:rsidR="00EA3482" w:rsidRDefault="005D68E7">
      <w:pPr>
        <w:pStyle w:val="TOC1"/>
        <w:rPr>
          <w:rFonts w:eastAsiaTheme="minorEastAsia" w:cstheme="minorBidi"/>
          <w:bCs w:val="0"/>
          <w:caps w:val="0"/>
          <w:noProof/>
          <w:sz w:val="22"/>
          <w:szCs w:val="22"/>
          <w:lang w:val="en-US"/>
        </w:rPr>
      </w:pPr>
      <w:hyperlink w:anchor="_Toc399626189" w:history="1">
        <w:r w:rsidR="00EA3482" w:rsidRPr="00DE2BD9">
          <w:rPr>
            <w:rStyle w:val="Hyperlink"/>
            <w:noProof/>
          </w:rPr>
          <w:t>6</w:t>
        </w:r>
        <w:r w:rsidR="00EA3482">
          <w:rPr>
            <w:rFonts w:eastAsiaTheme="minorEastAsia" w:cstheme="minorBidi"/>
            <w:bCs w:val="0"/>
            <w:caps w:val="0"/>
            <w:noProof/>
            <w:sz w:val="22"/>
            <w:szCs w:val="22"/>
            <w:lang w:val="en-US"/>
          </w:rPr>
          <w:tab/>
        </w:r>
        <w:r w:rsidR="00EA3482" w:rsidRPr="00DE2BD9">
          <w:rPr>
            <w:rStyle w:val="Hyperlink"/>
            <w:noProof/>
          </w:rPr>
          <w:t>TRUING UP OF AGGREGATE REVENUE REQUIREMENT FOR FY 2010-11</w:t>
        </w:r>
        <w:r w:rsidR="00EA3482">
          <w:rPr>
            <w:noProof/>
            <w:webHidden/>
          </w:rPr>
          <w:tab/>
        </w:r>
        <w:r>
          <w:rPr>
            <w:noProof/>
            <w:webHidden/>
          </w:rPr>
          <w:fldChar w:fldCharType="begin"/>
        </w:r>
        <w:r w:rsidR="00EA3482">
          <w:rPr>
            <w:noProof/>
            <w:webHidden/>
          </w:rPr>
          <w:instrText xml:space="preserve"> PAGEREF _Toc399626189 \h </w:instrText>
        </w:r>
        <w:r>
          <w:rPr>
            <w:noProof/>
            <w:webHidden/>
          </w:rPr>
        </w:r>
        <w:r>
          <w:rPr>
            <w:noProof/>
            <w:webHidden/>
          </w:rPr>
          <w:fldChar w:fldCharType="separate"/>
        </w:r>
        <w:r w:rsidR="00C32B27">
          <w:rPr>
            <w:noProof/>
            <w:webHidden/>
          </w:rPr>
          <w:t>191</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90" w:history="1">
        <w:r w:rsidR="00EA3482" w:rsidRPr="00DE2BD9">
          <w:rPr>
            <w:rStyle w:val="Hyperlink"/>
            <w:noProof/>
          </w:rPr>
          <w:t>6.1</w:t>
        </w:r>
        <w:r w:rsidR="00EA3482">
          <w:rPr>
            <w:rFonts w:eastAsiaTheme="minorEastAsia" w:cstheme="minorBidi"/>
            <w:smallCaps w:val="0"/>
            <w:noProof/>
            <w:sz w:val="22"/>
            <w:szCs w:val="22"/>
            <w:lang w:val="en-US"/>
          </w:rPr>
          <w:tab/>
        </w:r>
        <w:r w:rsidR="00EA3482" w:rsidRPr="00DE2BD9">
          <w:rPr>
            <w:rStyle w:val="Hyperlink"/>
            <w:noProof/>
          </w:rPr>
          <w:t>BACKGROUND</w:t>
        </w:r>
        <w:r w:rsidR="00EA3482">
          <w:rPr>
            <w:noProof/>
            <w:webHidden/>
          </w:rPr>
          <w:tab/>
        </w:r>
        <w:r>
          <w:rPr>
            <w:noProof/>
            <w:webHidden/>
          </w:rPr>
          <w:fldChar w:fldCharType="begin"/>
        </w:r>
        <w:r w:rsidR="00EA3482">
          <w:rPr>
            <w:noProof/>
            <w:webHidden/>
          </w:rPr>
          <w:instrText xml:space="preserve"> PAGEREF _Toc399626190 \h </w:instrText>
        </w:r>
        <w:r>
          <w:rPr>
            <w:noProof/>
            <w:webHidden/>
          </w:rPr>
        </w:r>
        <w:r>
          <w:rPr>
            <w:noProof/>
            <w:webHidden/>
          </w:rPr>
          <w:fldChar w:fldCharType="separate"/>
        </w:r>
        <w:r w:rsidR="00C32B27">
          <w:rPr>
            <w:noProof/>
            <w:webHidden/>
          </w:rPr>
          <w:t>191</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91" w:history="1">
        <w:r w:rsidR="00EA3482" w:rsidRPr="00DE2BD9">
          <w:rPr>
            <w:rStyle w:val="Hyperlink"/>
            <w:noProof/>
          </w:rPr>
          <w:t>6.2</w:t>
        </w:r>
        <w:r w:rsidR="00EA3482">
          <w:rPr>
            <w:rFonts w:eastAsiaTheme="minorEastAsia" w:cstheme="minorBidi"/>
            <w:smallCaps w:val="0"/>
            <w:noProof/>
            <w:sz w:val="22"/>
            <w:szCs w:val="22"/>
            <w:lang w:val="en-US"/>
          </w:rPr>
          <w:tab/>
        </w:r>
        <w:r w:rsidR="00EA3482" w:rsidRPr="00DE2BD9">
          <w:rPr>
            <w:rStyle w:val="Hyperlink"/>
            <w:noProof/>
          </w:rPr>
          <w:t>POWER PURCHASE QUANTUM AND COST FOR FY 2010-11</w:t>
        </w:r>
        <w:r w:rsidR="00EA3482">
          <w:rPr>
            <w:noProof/>
            <w:webHidden/>
          </w:rPr>
          <w:tab/>
        </w:r>
        <w:r>
          <w:rPr>
            <w:noProof/>
            <w:webHidden/>
          </w:rPr>
          <w:fldChar w:fldCharType="begin"/>
        </w:r>
        <w:r w:rsidR="00EA3482">
          <w:rPr>
            <w:noProof/>
            <w:webHidden/>
          </w:rPr>
          <w:instrText xml:space="preserve"> PAGEREF _Toc399626191 \h </w:instrText>
        </w:r>
        <w:r>
          <w:rPr>
            <w:noProof/>
            <w:webHidden/>
          </w:rPr>
        </w:r>
        <w:r>
          <w:rPr>
            <w:noProof/>
            <w:webHidden/>
          </w:rPr>
          <w:fldChar w:fldCharType="separate"/>
        </w:r>
        <w:r w:rsidR="00C32B27">
          <w:rPr>
            <w:noProof/>
            <w:webHidden/>
          </w:rPr>
          <w:t>191</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92" w:history="1">
        <w:r w:rsidR="00EA3482" w:rsidRPr="00DE2BD9">
          <w:rPr>
            <w:rStyle w:val="Hyperlink"/>
            <w:noProof/>
          </w:rPr>
          <w:t>6.3</w:t>
        </w:r>
        <w:r w:rsidR="00EA3482">
          <w:rPr>
            <w:rFonts w:eastAsiaTheme="minorEastAsia" w:cstheme="minorBidi"/>
            <w:smallCaps w:val="0"/>
            <w:noProof/>
            <w:sz w:val="22"/>
            <w:szCs w:val="22"/>
            <w:lang w:val="en-US"/>
          </w:rPr>
          <w:tab/>
        </w:r>
        <w:r w:rsidR="00EA3482" w:rsidRPr="00DE2BD9">
          <w:rPr>
            <w:rStyle w:val="Hyperlink"/>
            <w:noProof/>
          </w:rPr>
          <w:t>TRANSMISSION CHARGES</w:t>
        </w:r>
        <w:r w:rsidR="00EA3482">
          <w:rPr>
            <w:noProof/>
            <w:webHidden/>
          </w:rPr>
          <w:tab/>
        </w:r>
        <w:r>
          <w:rPr>
            <w:noProof/>
            <w:webHidden/>
          </w:rPr>
          <w:fldChar w:fldCharType="begin"/>
        </w:r>
        <w:r w:rsidR="00EA3482">
          <w:rPr>
            <w:noProof/>
            <w:webHidden/>
          </w:rPr>
          <w:instrText xml:space="preserve"> PAGEREF _Toc399626192 \h </w:instrText>
        </w:r>
        <w:r>
          <w:rPr>
            <w:noProof/>
            <w:webHidden/>
          </w:rPr>
        </w:r>
        <w:r>
          <w:rPr>
            <w:noProof/>
            <w:webHidden/>
          </w:rPr>
          <w:fldChar w:fldCharType="separate"/>
        </w:r>
        <w:r w:rsidR="00C32B27">
          <w:rPr>
            <w:noProof/>
            <w:webHidden/>
          </w:rPr>
          <w:t>192</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93" w:history="1">
        <w:r w:rsidR="00EA3482" w:rsidRPr="00DE2BD9">
          <w:rPr>
            <w:rStyle w:val="Hyperlink"/>
            <w:noProof/>
          </w:rPr>
          <w:t>6.4</w:t>
        </w:r>
        <w:r w:rsidR="00EA3482">
          <w:rPr>
            <w:rFonts w:eastAsiaTheme="minorEastAsia" w:cstheme="minorBidi"/>
            <w:smallCaps w:val="0"/>
            <w:noProof/>
            <w:sz w:val="22"/>
            <w:szCs w:val="22"/>
            <w:lang w:val="en-US"/>
          </w:rPr>
          <w:tab/>
        </w:r>
        <w:r w:rsidR="00EA3482" w:rsidRPr="00DE2BD9">
          <w:rPr>
            <w:rStyle w:val="Hyperlink"/>
            <w:noProof/>
          </w:rPr>
          <w:t>O&amp;M EXPENSES</w:t>
        </w:r>
        <w:r w:rsidR="00EA3482">
          <w:rPr>
            <w:noProof/>
            <w:webHidden/>
          </w:rPr>
          <w:tab/>
        </w:r>
        <w:r>
          <w:rPr>
            <w:noProof/>
            <w:webHidden/>
          </w:rPr>
          <w:fldChar w:fldCharType="begin"/>
        </w:r>
        <w:r w:rsidR="00EA3482">
          <w:rPr>
            <w:noProof/>
            <w:webHidden/>
          </w:rPr>
          <w:instrText xml:space="preserve"> PAGEREF _Toc399626193 \h </w:instrText>
        </w:r>
        <w:r>
          <w:rPr>
            <w:noProof/>
            <w:webHidden/>
          </w:rPr>
        </w:r>
        <w:r>
          <w:rPr>
            <w:noProof/>
            <w:webHidden/>
          </w:rPr>
          <w:fldChar w:fldCharType="separate"/>
        </w:r>
        <w:r w:rsidR="00C32B27">
          <w:rPr>
            <w:noProof/>
            <w:webHidden/>
          </w:rPr>
          <w:t>194</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94" w:history="1">
        <w:r w:rsidR="00EA3482" w:rsidRPr="00DE2BD9">
          <w:rPr>
            <w:rStyle w:val="Hyperlink"/>
            <w:noProof/>
          </w:rPr>
          <w:t>6.5</w:t>
        </w:r>
        <w:r w:rsidR="00EA3482">
          <w:rPr>
            <w:rFonts w:eastAsiaTheme="minorEastAsia" w:cstheme="minorBidi"/>
            <w:smallCaps w:val="0"/>
            <w:noProof/>
            <w:sz w:val="22"/>
            <w:szCs w:val="22"/>
            <w:lang w:val="en-US"/>
          </w:rPr>
          <w:tab/>
        </w:r>
        <w:r w:rsidR="00EA3482" w:rsidRPr="00DE2BD9">
          <w:rPr>
            <w:rStyle w:val="Hyperlink"/>
            <w:noProof/>
          </w:rPr>
          <w:t>INTEREST AND FINANCE CHARGES</w:t>
        </w:r>
        <w:r w:rsidR="00EA3482">
          <w:rPr>
            <w:noProof/>
            <w:webHidden/>
          </w:rPr>
          <w:tab/>
        </w:r>
        <w:r>
          <w:rPr>
            <w:noProof/>
            <w:webHidden/>
          </w:rPr>
          <w:fldChar w:fldCharType="begin"/>
        </w:r>
        <w:r w:rsidR="00EA3482">
          <w:rPr>
            <w:noProof/>
            <w:webHidden/>
          </w:rPr>
          <w:instrText xml:space="preserve"> PAGEREF _Toc399626194 \h </w:instrText>
        </w:r>
        <w:r>
          <w:rPr>
            <w:noProof/>
            <w:webHidden/>
          </w:rPr>
        </w:r>
        <w:r>
          <w:rPr>
            <w:noProof/>
            <w:webHidden/>
          </w:rPr>
          <w:fldChar w:fldCharType="separate"/>
        </w:r>
        <w:r w:rsidR="00C32B27">
          <w:rPr>
            <w:noProof/>
            <w:webHidden/>
          </w:rPr>
          <w:t>197</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95" w:history="1">
        <w:r w:rsidR="00EA3482" w:rsidRPr="00DE2BD9">
          <w:rPr>
            <w:rStyle w:val="Hyperlink"/>
            <w:caps/>
            <w:noProof/>
          </w:rPr>
          <w:t>6.6</w:t>
        </w:r>
        <w:r w:rsidR="00EA3482">
          <w:rPr>
            <w:rFonts w:eastAsiaTheme="minorEastAsia" w:cstheme="minorBidi"/>
            <w:smallCaps w:val="0"/>
            <w:noProof/>
            <w:sz w:val="22"/>
            <w:szCs w:val="22"/>
            <w:lang w:val="en-US"/>
          </w:rPr>
          <w:tab/>
        </w:r>
        <w:r w:rsidR="00EA3482" w:rsidRPr="00DE2BD9">
          <w:rPr>
            <w:rStyle w:val="Hyperlink"/>
            <w:caps/>
            <w:noProof/>
          </w:rPr>
          <w:t>Depreciation</w:t>
        </w:r>
        <w:r w:rsidR="00EA3482">
          <w:rPr>
            <w:noProof/>
            <w:webHidden/>
          </w:rPr>
          <w:tab/>
        </w:r>
        <w:r>
          <w:rPr>
            <w:noProof/>
            <w:webHidden/>
          </w:rPr>
          <w:fldChar w:fldCharType="begin"/>
        </w:r>
        <w:r w:rsidR="00EA3482">
          <w:rPr>
            <w:noProof/>
            <w:webHidden/>
          </w:rPr>
          <w:instrText xml:space="preserve"> PAGEREF _Toc399626195 \h </w:instrText>
        </w:r>
        <w:r>
          <w:rPr>
            <w:noProof/>
            <w:webHidden/>
          </w:rPr>
        </w:r>
        <w:r>
          <w:rPr>
            <w:noProof/>
            <w:webHidden/>
          </w:rPr>
          <w:fldChar w:fldCharType="separate"/>
        </w:r>
        <w:r w:rsidR="00C32B27">
          <w:rPr>
            <w:noProof/>
            <w:webHidden/>
          </w:rPr>
          <w:t>205</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96" w:history="1">
        <w:r w:rsidR="00EA3482" w:rsidRPr="00DE2BD9">
          <w:rPr>
            <w:rStyle w:val="Hyperlink"/>
            <w:noProof/>
          </w:rPr>
          <w:t>6.7</w:t>
        </w:r>
        <w:r w:rsidR="00EA3482">
          <w:rPr>
            <w:rFonts w:eastAsiaTheme="minorEastAsia" w:cstheme="minorBidi"/>
            <w:smallCaps w:val="0"/>
            <w:noProof/>
            <w:sz w:val="22"/>
            <w:szCs w:val="22"/>
            <w:lang w:val="en-US"/>
          </w:rPr>
          <w:tab/>
        </w:r>
        <w:r w:rsidR="00EA3482" w:rsidRPr="00DE2BD9">
          <w:rPr>
            <w:rStyle w:val="Hyperlink"/>
            <w:noProof/>
          </w:rPr>
          <w:t>PRIOR PERIOD EXPENSES</w:t>
        </w:r>
        <w:r w:rsidR="00EA3482">
          <w:rPr>
            <w:noProof/>
            <w:webHidden/>
          </w:rPr>
          <w:tab/>
        </w:r>
        <w:r>
          <w:rPr>
            <w:noProof/>
            <w:webHidden/>
          </w:rPr>
          <w:fldChar w:fldCharType="begin"/>
        </w:r>
        <w:r w:rsidR="00EA3482">
          <w:rPr>
            <w:noProof/>
            <w:webHidden/>
          </w:rPr>
          <w:instrText xml:space="preserve"> PAGEREF _Toc399626196 \h </w:instrText>
        </w:r>
        <w:r>
          <w:rPr>
            <w:noProof/>
            <w:webHidden/>
          </w:rPr>
        </w:r>
        <w:r>
          <w:rPr>
            <w:noProof/>
            <w:webHidden/>
          </w:rPr>
          <w:fldChar w:fldCharType="separate"/>
        </w:r>
        <w:r w:rsidR="00C32B27">
          <w:rPr>
            <w:noProof/>
            <w:webHidden/>
          </w:rPr>
          <w:t>208</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97" w:history="1">
        <w:r w:rsidR="00EA3482" w:rsidRPr="00DE2BD9">
          <w:rPr>
            <w:rStyle w:val="Hyperlink"/>
            <w:noProof/>
          </w:rPr>
          <w:t>6.8</w:t>
        </w:r>
        <w:r w:rsidR="00EA3482">
          <w:rPr>
            <w:rFonts w:eastAsiaTheme="minorEastAsia" w:cstheme="minorBidi"/>
            <w:smallCaps w:val="0"/>
            <w:noProof/>
            <w:sz w:val="22"/>
            <w:szCs w:val="22"/>
            <w:lang w:val="en-US"/>
          </w:rPr>
          <w:tab/>
        </w:r>
        <w:r w:rsidR="00EA3482" w:rsidRPr="00DE2BD9">
          <w:rPr>
            <w:rStyle w:val="Hyperlink"/>
            <w:noProof/>
          </w:rPr>
          <w:t>OTHER EXPENSES</w:t>
        </w:r>
        <w:r w:rsidR="00EA3482">
          <w:rPr>
            <w:noProof/>
            <w:webHidden/>
          </w:rPr>
          <w:tab/>
        </w:r>
        <w:r>
          <w:rPr>
            <w:noProof/>
            <w:webHidden/>
          </w:rPr>
          <w:fldChar w:fldCharType="begin"/>
        </w:r>
        <w:r w:rsidR="00EA3482">
          <w:rPr>
            <w:noProof/>
            <w:webHidden/>
          </w:rPr>
          <w:instrText xml:space="preserve"> PAGEREF _Toc399626197 \h </w:instrText>
        </w:r>
        <w:r>
          <w:rPr>
            <w:noProof/>
            <w:webHidden/>
          </w:rPr>
        </w:r>
        <w:r>
          <w:rPr>
            <w:noProof/>
            <w:webHidden/>
          </w:rPr>
          <w:fldChar w:fldCharType="separate"/>
        </w:r>
        <w:r w:rsidR="00C32B27">
          <w:rPr>
            <w:noProof/>
            <w:webHidden/>
          </w:rPr>
          <w:t>210</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198" w:history="1">
        <w:r w:rsidR="00EA3482" w:rsidRPr="00DE2BD9">
          <w:rPr>
            <w:rStyle w:val="Hyperlink"/>
            <w:noProof/>
          </w:rPr>
          <w:t>6.9</w:t>
        </w:r>
        <w:r w:rsidR="00EA3482">
          <w:rPr>
            <w:rFonts w:eastAsiaTheme="minorEastAsia" w:cstheme="minorBidi"/>
            <w:smallCaps w:val="0"/>
            <w:noProof/>
            <w:sz w:val="22"/>
            <w:szCs w:val="22"/>
            <w:lang w:val="en-US"/>
          </w:rPr>
          <w:tab/>
        </w:r>
        <w:r w:rsidR="00EA3482" w:rsidRPr="00DE2BD9">
          <w:rPr>
            <w:rStyle w:val="Hyperlink"/>
            <w:noProof/>
          </w:rPr>
          <w:t>PROVISION FOR BAD AND DOUBTFUL DEBT</w:t>
        </w:r>
        <w:r w:rsidR="00EA3482">
          <w:rPr>
            <w:noProof/>
            <w:webHidden/>
          </w:rPr>
          <w:tab/>
        </w:r>
        <w:r>
          <w:rPr>
            <w:noProof/>
            <w:webHidden/>
          </w:rPr>
          <w:fldChar w:fldCharType="begin"/>
        </w:r>
        <w:r w:rsidR="00EA3482">
          <w:rPr>
            <w:noProof/>
            <w:webHidden/>
          </w:rPr>
          <w:instrText xml:space="preserve"> PAGEREF _Toc399626198 \h </w:instrText>
        </w:r>
        <w:r>
          <w:rPr>
            <w:noProof/>
            <w:webHidden/>
          </w:rPr>
        </w:r>
        <w:r>
          <w:rPr>
            <w:noProof/>
            <w:webHidden/>
          </w:rPr>
          <w:fldChar w:fldCharType="separate"/>
        </w:r>
        <w:r w:rsidR="00C32B27">
          <w:rPr>
            <w:noProof/>
            <w:webHidden/>
          </w:rPr>
          <w:t>211</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199" w:history="1">
        <w:r w:rsidR="00EA3482" w:rsidRPr="00DE2BD9">
          <w:rPr>
            <w:rStyle w:val="Hyperlink"/>
            <w:caps/>
            <w:noProof/>
          </w:rPr>
          <w:t>6.10</w:t>
        </w:r>
        <w:r w:rsidR="00EA3482">
          <w:rPr>
            <w:rFonts w:eastAsiaTheme="minorEastAsia" w:cstheme="minorBidi"/>
            <w:smallCaps w:val="0"/>
            <w:noProof/>
            <w:sz w:val="22"/>
            <w:szCs w:val="22"/>
            <w:lang w:val="en-US"/>
          </w:rPr>
          <w:tab/>
        </w:r>
        <w:r w:rsidR="00EA3482" w:rsidRPr="00DE2BD9">
          <w:rPr>
            <w:rStyle w:val="Hyperlink"/>
            <w:caps/>
            <w:noProof/>
          </w:rPr>
          <w:t>Return on equity</w:t>
        </w:r>
        <w:r w:rsidR="00EA3482">
          <w:rPr>
            <w:noProof/>
            <w:webHidden/>
          </w:rPr>
          <w:tab/>
        </w:r>
        <w:r>
          <w:rPr>
            <w:noProof/>
            <w:webHidden/>
          </w:rPr>
          <w:fldChar w:fldCharType="begin"/>
        </w:r>
        <w:r w:rsidR="00EA3482">
          <w:rPr>
            <w:noProof/>
            <w:webHidden/>
          </w:rPr>
          <w:instrText xml:space="preserve"> PAGEREF _Toc399626199 \h </w:instrText>
        </w:r>
        <w:r>
          <w:rPr>
            <w:noProof/>
            <w:webHidden/>
          </w:rPr>
        </w:r>
        <w:r>
          <w:rPr>
            <w:noProof/>
            <w:webHidden/>
          </w:rPr>
          <w:fldChar w:fldCharType="separate"/>
        </w:r>
        <w:r w:rsidR="00C32B27">
          <w:rPr>
            <w:noProof/>
            <w:webHidden/>
          </w:rPr>
          <w:t>212</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00" w:history="1">
        <w:r w:rsidR="00EA3482" w:rsidRPr="00DE2BD9">
          <w:rPr>
            <w:rStyle w:val="Hyperlink"/>
            <w:noProof/>
          </w:rPr>
          <w:t>6.11</w:t>
        </w:r>
        <w:r w:rsidR="00EA3482">
          <w:rPr>
            <w:rFonts w:eastAsiaTheme="minorEastAsia" w:cstheme="minorBidi"/>
            <w:smallCaps w:val="0"/>
            <w:noProof/>
            <w:sz w:val="22"/>
            <w:szCs w:val="22"/>
            <w:lang w:val="en-US"/>
          </w:rPr>
          <w:tab/>
        </w:r>
        <w:r w:rsidR="00EA3482" w:rsidRPr="00DE2BD9">
          <w:rPr>
            <w:rStyle w:val="Hyperlink"/>
            <w:noProof/>
          </w:rPr>
          <w:t>REVENUE SIDE TRUING UP</w:t>
        </w:r>
        <w:r w:rsidR="00EA3482">
          <w:rPr>
            <w:noProof/>
            <w:webHidden/>
          </w:rPr>
          <w:tab/>
        </w:r>
        <w:r>
          <w:rPr>
            <w:noProof/>
            <w:webHidden/>
          </w:rPr>
          <w:fldChar w:fldCharType="begin"/>
        </w:r>
        <w:r w:rsidR="00EA3482">
          <w:rPr>
            <w:noProof/>
            <w:webHidden/>
          </w:rPr>
          <w:instrText xml:space="preserve"> PAGEREF _Toc399626200 \h </w:instrText>
        </w:r>
        <w:r>
          <w:rPr>
            <w:noProof/>
            <w:webHidden/>
          </w:rPr>
        </w:r>
        <w:r>
          <w:rPr>
            <w:noProof/>
            <w:webHidden/>
          </w:rPr>
          <w:fldChar w:fldCharType="separate"/>
        </w:r>
        <w:r w:rsidR="00C32B27">
          <w:rPr>
            <w:noProof/>
            <w:webHidden/>
          </w:rPr>
          <w:t>212</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01" w:history="1">
        <w:r w:rsidR="00EA3482" w:rsidRPr="00DE2BD9">
          <w:rPr>
            <w:rStyle w:val="Hyperlink"/>
            <w:caps/>
            <w:noProof/>
          </w:rPr>
          <w:t>6.12</w:t>
        </w:r>
        <w:r w:rsidR="00EA3482">
          <w:rPr>
            <w:rFonts w:eastAsiaTheme="minorEastAsia" w:cstheme="minorBidi"/>
            <w:smallCaps w:val="0"/>
            <w:noProof/>
            <w:sz w:val="22"/>
            <w:szCs w:val="22"/>
            <w:lang w:val="en-US"/>
          </w:rPr>
          <w:tab/>
        </w:r>
        <w:r w:rsidR="00EA3482" w:rsidRPr="00DE2BD9">
          <w:rPr>
            <w:rStyle w:val="Hyperlink"/>
            <w:caps/>
            <w:noProof/>
          </w:rPr>
          <w:t>AGGREGATE REVenue requirement and revenue gap/ (surplus) for fY 2010-11 after truing up</w:t>
        </w:r>
        <w:r w:rsidR="00EA3482">
          <w:rPr>
            <w:noProof/>
            <w:webHidden/>
          </w:rPr>
          <w:tab/>
        </w:r>
        <w:r>
          <w:rPr>
            <w:noProof/>
            <w:webHidden/>
          </w:rPr>
          <w:fldChar w:fldCharType="begin"/>
        </w:r>
        <w:r w:rsidR="00EA3482">
          <w:rPr>
            <w:noProof/>
            <w:webHidden/>
          </w:rPr>
          <w:instrText xml:space="preserve"> PAGEREF _Toc399626201 \h </w:instrText>
        </w:r>
        <w:r>
          <w:rPr>
            <w:noProof/>
            <w:webHidden/>
          </w:rPr>
        </w:r>
        <w:r>
          <w:rPr>
            <w:noProof/>
            <w:webHidden/>
          </w:rPr>
          <w:fldChar w:fldCharType="separate"/>
        </w:r>
        <w:r w:rsidR="00C32B27">
          <w:rPr>
            <w:noProof/>
            <w:webHidden/>
          </w:rPr>
          <w:t>214</w:t>
        </w:r>
        <w:r>
          <w:rPr>
            <w:noProof/>
            <w:webHidden/>
          </w:rPr>
          <w:fldChar w:fldCharType="end"/>
        </w:r>
      </w:hyperlink>
    </w:p>
    <w:p w:rsidR="00EA3482" w:rsidRDefault="005D68E7">
      <w:pPr>
        <w:pStyle w:val="TOC1"/>
        <w:rPr>
          <w:rFonts w:eastAsiaTheme="minorEastAsia" w:cstheme="minorBidi"/>
          <w:bCs w:val="0"/>
          <w:caps w:val="0"/>
          <w:noProof/>
          <w:sz w:val="22"/>
          <w:szCs w:val="22"/>
          <w:lang w:val="en-US"/>
        </w:rPr>
      </w:pPr>
      <w:hyperlink w:anchor="_Toc399626202" w:history="1">
        <w:r w:rsidR="00EA3482" w:rsidRPr="00DE2BD9">
          <w:rPr>
            <w:rStyle w:val="Hyperlink"/>
            <w:noProof/>
          </w:rPr>
          <w:t>7</w:t>
        </w:r>
        <w:r w:rsidR="00EA3482">
          <w:rPr>
            <w:rFonts w:eastAsiaTheme="minorEastAsia" w:cstheme="minorBidi"/>
            <w:bCs w:val="0"/>
            <w:caps w:val="0"/>
            <w:noProof/>
            <w:sz w:val="22"/>
            <w:szCs w:val="22"/>
            <w:lang w:val="en-US"/>
          </w:rPr>
          <w:tab/>
        </w:r>
        <w:r w:rsidR="00EA3482" w:rsidRPr="00DE2BD9">
          <w:rPr>
            <w:rStyle w:val="Hyperlink"/>
            <w:noProof/>
          </w:rPr>
          <w:t>TRUING UP OF AGGREGATE REVENUE REQUIREMENT FOR FY 2011-12</w:t>
        </w:r>
        <w:r w:rsidR="00EA3482">
          <w:rPr>
            <w:noProof/>
            <w:webHidden/>
          </w:rPr>
          <w:tab/>
        </w:r>
        <w:r>
          <w:rPr>
            <w:noProof/>
            <w:webHidden/>
          </w:rPr>
          <w:fldChar w:fldCharType="begin"/>
        </w:r>
        <w:r w:rsidR="00EA3482">
          <w:rPr>
            <w:noProof/>
            <w:webHidden/>
          </w:rPr>
          <w:instrText xml:space="preserve"> PAGEREF _Toc399626202 \h </w:instrText>
        </w:r>
        <w:r>
          <w:rPr>
            <w:noProof/>
            <w:webHidden/>
          </w:rPr>
        </w:r>
        <w:r>
          <w:rPr>
            <w:noProof/>
            <w:webHidden/>
          </w:rPr>
          <w:fldChar w:fldCharType="separate"/>
        </w:r>
        <w:r w:rsidR="00C32B27">
          <w:rPr>
            <w:noProof/>
            <w:webHidden/>
          </w:rPr>
          <w:t>216</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03" w:history="1">
        <w:r w:rsidR="00EA3482" w:rsidRPr="00DE2BD9">
          <w:rPr>
            <w:rStyle w:val="Hyperlink"/>
            <w:noProof/>
          </w:rPr>
          <w:t>7.1</w:t>
        </w:r>
        <w:r w:rsidR="00EA3482">
          <w:rPr>
            <w:rFonts w:eastAsiaTheme="minorEastAsia" w:cstheme="minorBidi"/>
            <w:smallCaps w:val="0"/>
            <w:noProof/>
            <w:sz w:val="22"/>
            <w:szCs w:val="22"/>
            <w:lang w:val="en-US"/>
          </w:rPr>
          <w:tab/>
        </w:r>
        <w:r w:rsidR="00EA3482" w:rsidRPr="00DE2BD9">
          <w:rPr>
            <w:rStyle w:val="Hyperlink"/>
            <w:noProof/>
          </w:rPr>
          <w:t>INTRODUCTION</w:t>
        </w:r>
        <w:r w:rsidR="00EA3482">
          <w:rPr>
            <w:noProof/>
            <w:webHidden/>
          </w:rPr>
          <w:tab/>
        </w:r>
        <w:r>
          <w:rPr>
            <w:noProof/>
            <w:webHidden/>
          </w:rPr>
          <w:fldChar w:fldCharType="begin"/>
        </w:r>
        <w:r w:rsidR="00EA3482">
          <w:rPr>
            <w:noProof/>
            <w:webHidden/>
          </w:rPr>
          <w:instrText xml:space="preserve"> PAGEREF _Toc399626203 \h </w:instrText>
        </w:r>
        <w:r>
          <w:rPr>
            <w:noProof/>
            <w:webHidden/>
          </w:rPr>
        </w:r>
        <w:r>
          <w:rPr>
            <w:noProof/>
            <w:webHidden/>
          </w:rPr>
          <w:fldChar w:fldCharType="separate"/>
        </w:r>
        <w:r w:rsidR="00C32B27">
          <w:rPr>
            <w:noProof/>
            <w:webHidden/>
          </w:rPr>
          <w:t>216</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04" w:history="1">
        <w:r w:rsidR="00EA3482" w:rsidRPr="00DE2BD9">
          <w:rPr>
            <w:rStyle w:val="Hyperlink"/>
            <w:noProof/>
          </w:rPr>
          <w:t>7.2</w:t>
        </w:r>
        <w:r w:rsidR="00EA3482">
          <w:rPr>
            <w:rFonts w:eastAsiaTheme="minorEastAsia" w:cstheme="minorBidi"/>
            <w:smallCaps w:val="0"/>
            <w:noProof/>
            <w:sz w:val="22"/>
            <w:szCs w:val="22"/>
            <w:lang w:val="en-US"/>
          </w:rPr>
          <w:tab/>
        </w:r>
        <w:r w:rsidR="00EA3482" w:rsidRPr="00DE2BD9">
          <w:rPr>
            <w:rStyle w:val="Hyperlink"/>
            <w:noProof/>
          </w:rPr>
          <w:t>POWER PURCHASE QUANTUM AND COST FOR FY 2011-12</w:t>
        </w:r>
        <w:r w:rsidR="00EA3482">
          <w:rPr>
            <w:noProof/>
            <w:webHidden/>
          </w:rPr>
          <w:tab/>
        </w:r>
        <w:r>
          <w:rPr>
            <w:noProof/>
            <w:webHidden/>
          </w:rPr>
          <w:fldChar w:fldCharType="begin"/>
        </w:r>
        <w:r w:rsidR="00EA3482">
          <w:rPr>
            <w:noProof/>
            <w:webHidden/>
          </w:rPr>
          <w:instrText xml:space="preserve"> PAGEREF _Toc399626204 \h </w:instrText>
        </w:r>
        <w:r>
          <w:rPr>
            <w:noProof/>
            <w:webHidden/>
          </w:rPr>
        </w:r>
        <w:r>
          <w:rPr>
            <w:noProof/>
            <w:webHidden/>
          </w:rPr>
          <w:fldChar w:fldCharType="separate"/>
        </w:r>
        <w:r w:rsidR="00C32B27">
          <w:rPr>
            <w:noProof/>
            <w:webHidden/>
          </w:rPr>
          <w:t>216</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05" w:history="1">
        <w:r w:rsidR="00EA3482" w:rsidRPr="00DE2BD9">
          <w:rPr>
            <w:rStyle w:val="Hyperlink"/>
            <w:noProof/>
          </w:rPr>
          <w:t>7.3</w:t>
        </w:r>
        <w:r w:rsidR="00EA3482">
          <w:rPr>
            <w:rFonts w:eastAsiaTheme="minorEastAsia" w:cstheme="minorBidi"/>
            <w:smallCaps w:val="0"/>
            <w:noProof/>
            <w:sz w:val="22"/>
            <w:szCs w:val="22"/>
            <w:lang w:val="en-US"/>
          </w:rPr>
          <w:tab/>
        </w:r>
        <w:r w:rsidR="00EA3482" w:rsidRPr="00DE2BD9">
          <w:rPr>
            <w:rStyle w:val="Hyperlink"/>
            <w:noProof/>
          </w:rPr>
          <w:t>TRANSMISSION CHARGES</w:t>
        </w:r>
        <w:r w:rsidR="00EA3482">
          <w:rPr>
            <w:noProof/>
            <w:webHidden/>
          </w:rPr>
          <w:tab/>
        </w:r>
        <w:r>
          <w:rPr>
            <w:noProof/>
            <w:webHidden/>
          </w:rPr>
          <w:fldChar w:fldCharType="begin"/>
        </w:r>
        <w:r w:rsidR="00EA3482">
          <w:rPr>
            <w:noProof/>
            <w:webHidden/>
          </w:rPr>
          <w:instrText xml:space="preserve"> PAGEREF _Toc399626205 \h </w:instrText>
        </w:r>
        <w:r>
          <w:rPr>
            <w:noProof/>
            <w:webHidden/>
          </w:rPr>
        </w:r>
        <w:r>
          <w:rPr>
            <w:noProof/>
            <w:webHidden/>
          </w:rPr>
          <w:fldChar w:fldCharType="separate"/>
        </w:r>
        <w:r w:rsidR="00C32B27">
          <w:rPr>
            <w:noProof/>
            <w:webHidden/>
          </w:rPr>
          <w:t>217</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06" w:history="1">
        <w:r w:rsidR="00EA3482" w:rsidRPr="00DE2BD9">
          <w:rPr>
            <w:rStyle w:val="Hyperlink"/>
            <w:noProof/>
          </w:rPr>
          <w:t>7.4</w:t>
        </w:r>
        <w:r w:rsidR="00EA3482">
          <w:rPr>
            <w:rFonts w:eastAsiaTheme="minorEastAsia" w:cstheme="minorBidi"/>
            <w:smallCaps w:val="0"/>
            <w:noProof/>
            <w:sz w:val="22"/>
            <w:szCs w:val="22"/>
            <w:lang w:val="en-US"/>
          </w:rPr>
          <w:tab/>
        </w:r>
        <w:r w:rsidR="00EA3482" w:rsidRPr="00DE2BD9">
          <w:rPr>
            <w:rStyle w:val="Hyperlink"/>
            <w:noProof/>
          </w:rPr>
          <w:t>O&amp;M EXPENSES</w:t>
        </w:r>
        <w:r w:rsidR="00EA3482">
          <w:rPr>
            <w:noProof/>
            <w:webHidden/>
          </w:rPr>
          <w:tab/>
        </w:r>
        <w:r>
          <w:rPr>
            <w:noProof/>
            <w:webHidden/>
          </w:rPr>
          <w:fldChar w:fldCharType="begin"/>
        </w:r>
        <w:r w:rsidR="00EA3482">
          <w:rPr>
            <w:noProof/>
            <w:webHidden/>
          </w:rPr>
          <w:instrText xml:space="preserve"> PAGEREF _Toc399626206 \h </w:instrText>
        </w:r>
        <w:r>
          <w:rPr>
            <w:noProof/>
            <w:webHidden/>
          </w:rPr>
        </w:r>
        <w:r>
          <w:rPr>
            <w:noProof/>
            <w:webHidden/>
          </w:rPr>
          <w:fldChar w:fldCharType="separate"/>
        </w:r>
        <w:r w:rsidR="00C32B27">
          <w:rPr>
            <w:noProof/>
            <w:webHidden/>
          </w:rPr>
          <w:t>218</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07" w:history="1">
        <w:r w:rsidR="00EA3482" w:rsidRPr="00DE2BD9">
          <w:rPr>
            <w:rStyle w:val="Hyperlink"/>
            <w:noProof/>
          </w:rPr>
          <w:t>7.5</w:t>
        </w:r>
        <w:r w:rsidR="00EA3482">
          <w:rPr>
            <w:rFonts w:eastAsiaTheme="minorEastAsia" w:cstheme="minorBidi"/>
            <w:smallCaps w:val="0"/>
            <w:noProof/>
            <w:sz w:val="22"/>
            <w:szCs w:val="22"/>
            <w:lang w:val="en-US"/>
          </w:rPr>
          <w:tab/>
        </w:r>
        <w:r w:rsidR="00EA3482" w:rsidRPr="00DE2BD9">
          <w:rPr>
            <w:rStyle w:val="Hyperlink"/>
            <w:noProof/>
          </w:rPr>
          <w:t>INTEREST AND FINANCE CHARGES</w:t>
        </w:r>
        <w:r w:rsidR="00EA3482">
          <w:rPr>
            <w:noProof/>
            <w:webHidden/>
          </w:rPr>
          <w:tab/>
        </w:r>
        <w:r>
          <w:rPr>
            <w:noProof/>
            <w:webHidden/>
          </w:rPr>
          <w:fldChar w:fldCharType="begin"/>
        </w:r>
        <w:r w:rsidR="00EA3482">
          <w:rPr>
            <w:noProof/>
            <w:webHidden/>
          </w:rPr>
          <w:instrText xml:space="preserve"> PAGEREF _Toc399626207 \h </w:instrText>
        </w:r>
        <w:r>
          <w:rPr>
            <w:noProof/>
            <w:webHidden/>
          </w:rPr>
        </w:r>
        <w:r>
          <w:rPr>
            <w:noProof/>
            <w:webHidden/>
          </w:rPr>
          <w:fldChar w:fldCharType="separate"/>
        </w:r>
        <w:r w:rsidR="00C32B27">
          <w:rPr>
            <w:noProof/>
            <w:webHidden/>
          </w:rPr>
          <w:t>222</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08" w:history="1">
        <w:r w:rsidR="00EA3482" w:rsidRPr="00DE2BD9">
          <w:rPr>
            <w:rStyle w:val="Hyperlink"/>
            <w:caps/>
            <w:noProof/>
          </w:rPr>
          <w:t>7.6</w:t>
        </w:r>
        <w:r w:rsidR="00EA3482">
          <w:rPr>
            <w:rFonts w:eastAsiaTheme="minorEastAsia" w:cstheme="minorBidi"/>
            <w:smallCaps w:val="0"/>
            <w:noProof/>
            <w:sz w:val="22"/>
            <w:szCs w:val="22"/>
            <w:lang w:val="en-US"/>
          </w:rPr>
          <w:tab/>
        </w:r>
        <w:r w:rsidR="00EA3482" w:rsidRPr="00DE2BD9">
          <w:rPr>
            <w:rStyle w:val="Hyperlink"/>
            <w:caps/>
            <w:noProof/>
          </w:rPr>
          <w:t>Depreciation</w:t>
        </w:r>
        <w:r w:rsidR="00EA3482">
          <w:rPr>
            <w:noProof/>
            <w:webHidden/>
          </w:rPr>
          <w:tab/>
        </w:r>
        <w:r>
          <w:rPr>
            <w:noProof/>
            <w:webHidden/>
          </w:rPr>
          <w:fldChar w:fldCharType="begin"/>
        </w:r>
        <w:r w:rsidR="00EA3482">
          <w:rPr>
            <w:noProof/>
            <w:webHidden/>
          </w:rPr>
          <w:instrText xml:space="preserve"> PAGEREF _Toc399626208 \h </w:instrText>
        </w:r>
        <w:r>
          <w:rPr>
            <w:noProof/>
            <w:webHidden/>
          </w:rPr>
        </w:r>
        <w:r>
          <w:rPr>
            <w:noProof/>
            <w:webHidden/>
          </w:rPr>
          <w:fldChar w:fldCharType="separate"/>
        </w:r>
        <w:r w:rsidR="00C32B27">
          <w:rPr>
            <w:noProof/>
            <w:webHidden/>
          </w:rPr>
          <w:t>230</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09" w:history="1">
        <w:r w:rsidR="00EA3482" w:rsidRPr="00DE2BD9">
          <w:rPr>
            <w:rStyle w:val="Hyperlink"/>
            <w:noProof/>
          </w:rPr>
          <w:t>7.7</w:t>
        </w:r>
        <w:r w:rsidR="00EA3482">
          <w:rPr>
            <w:rFonts w:eastAsiaTheme="minorEastAsia" w:cstheme="minorBidi"/>
            <w:smallCaps w:val="0"/>
            <w:noProof/>
            <w:sz w:val="22"/>
            <w:szCs w:val="22"/>
            <w:lang w:val="en-US"/>
          </w:rPr>
          <w:tab/>
        </w:r>
        <w:r w:rsidR="00EA3482" w:rsidRPr="00DE2BD9">
          <w:rPr>
            <w:rStyle w:val="Hyperlink"/>
            <w:noProof/>
          </w:rPr>
          <w:t>PRIOR PERIOD EXPENSES</w:t>
        </w:r>
        <w:r w:rsidR="00EA3482">
          <w:rPr>
            <w:noProof/>
            <w:webHidden/>
          </w:rPr>
          <w:tab/>
        </w:r>
        <w:r>
          <w:rPr>
            <w:noProof/>
            <w:webHidden/>
          </w:rPr>
          <w:fldChar w:fldCharType="begin"/>
        </w:r>
        <w:r w:rsidR="00EA3482">
          <w:rPr>
            <w:noProof/>
            <w:webHidden/>
          </w:rPr>
          <w:instrText xml:space="preserve"> PAGEREF _Toc399626209 \h </w:instrText>
        </w:r>
        <w:r>
          <w:rPr>
            <w:noProof/>
            <w:webHidden/>
          </w:rPr>
        </w:r>
        <w:r>
          <w:rPr>
            <w:noProof/>
            <w:webHidden/>
          </w:rPr>
          <w:fldChar w:fldCharType="separate"/>
        </w:r>
        <w:r w:rsidR="00C32B27">
          <w:rPr>
            <w:noProof/>
            <w:webHidden/>
          </w:rPr>
          <w:t>233</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10" w:history="1">
        <w:r w:rsidR="00EA3482" w:rsidRPr="00DE2BD9">
          <w:rPr>
            <w:rStyle w:val="Hyperlink"/>
            <w:noProof/>
          </w:rPr>
          <w:t>7.8</w:t>
        </w:r>
        <w:r w:rsidR="00EA3482">
          <w:rPr>
            <w:rFonts w:eastAsiaTheme="minorEastAsia" w:cstheme="minorBidi"/>
            <w:smallCaps w:val="0"/>
            <w:noProof/>
            <w:sz w:val="22"/>
            <w:szCs w:val="22"/>
            <w:lang w:val="en-US"/>
          </w:rPr>
          <w:tab/>
        </w:r>
        <w:r w:rsidR="00EA3482" w:rsidRPr="00DE2BD9">
          <w:rPr>
            <w:rStyle w:val="Hyperlink"/>
            <w:noProof/>
          </w:rPr>
          <w:t>OTHER EXPENSES</w:t>
        </w:r>
        <w:r w:rsidR="00EA3482">
          <w:rPr>
            <w:noProof/>
            <w:webHidden/>
          </w:rPr>
          <w:tab/>
        </w:r>
        <w:r>
          <w:rPr>
            <w:noProof/>
            <w:webHidden/>
          </w:rPr>
          <w:fldChar w:fldCharType="begin"/>
        </w:r>
        <w:r w:rsidR="00EA3482">
          <w:rPr>
            <w:noProof/>
            <w:webHidden/>
          </w:rPr>
          <w:instrText xml:space="preserve"> PAGEREF _Toc399626210 \h </w:instrText>
        </w:r>
        <w:r>
          <w:rPr>
            <w:noProof/>
            <w:webHidden/>
          </w:rPr>
        </w:r>
        <w:r>
          <w:rPr>
            <w:noProof/>
            <w:webHidden/>
          </w:rPr>
          <w:fldChar w:fldCharType="separate"/>
        </w:r>
        <w:r w:rsidR="00C32B27">
          <w:rPr>
            <w:noProof/>
            <w:webHidden/>
          </w:rPr>
          <w:t>235</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11" w:history="1">
        <w:r w:rsidR="00EA3482" w:rsidRPr="00DE2BD9">
          <w:rPr>
            <w:rStyle w:val="Hyperlink"/>
            <w:noProof/>
          </w:rPr>
          <w:t>7.9</w:t>
        </w:r>
        <w:r w:rsidR="00EA3482">
          <w:rPr>
            <w:rFonts w:eastAsiaTheme="minorEastAsia" w:cstheme="minorBidi"/>
            <w:smallCaps w:val="0"/>
            <w:noProof/>
            <w:sz w:val="22"/>
            <w:szCs w:val="22"/>
            <w:lang w:val="en-US"/>
          </w:rPr>
          <w:tab/>
        </w:r>
        <w:r w:rsidR="00EA3482" w:rsidRPr="00DE2BD9">
          <w:rPr>
            <w:rStyle w:val="Hyperlink"/>
            <w:noProof/>
          </w:rPr>
          <w:t>PROVISION FOR BAD AND DOUBTFUL DEBT</w:t>
        </w:r>
        <w:r w:rsidR="00EA3482">
          <w:rPr>
            <w:noProof/>
            <w:webHidden/>
          </w:rPr>
          <w:tab/>
        </w:r>
        <w:r>
          <w:rPr>
            <w:noProof/>
            <w:webHidden/>
          </w:rPr>
          <w:fldChar w:fldCharType="begin"/>
        </w:r>
        <w:r w:rsidR="00EA3482">
          <w:rPr>
            <w:noProof/>
            <w:webHidden/>
          </w:rPr>
          <w:instrText xml:space="preserve"> PAGEREF _Toc399626211 \h </w:instrText>
        </w:r>
        <w:r>
          <w:rPr>
            <w:noProof/>
            <w:webHidden/>
          </w:rPr>
        </w:r>
        <w:r>
          <w:rPr>
            <w:noProof/>
            <w:webHidden/>
          </w:rPr>
          <w:fldChar w:fldCharType="separate"/>
        </w:r>
        <w:r w:rsidR="00C32B27">
          <w:rPr>
            <w:noProof/>
            <w:webHidden/>
          </w:rPr>
          <w:t>235</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12" w:history="1">
        <w:r w:rsidR="00EA3482" w:rsidRPr="00DE2BD9">
          <w:rPr>
            <w:rStyle w:val="Hyperlink"/>
            <w:caps/>
            <w:noProof/>
          </w:rPr>
          <w:t>7.10</w:t>
        </w:r>
        <w:r w:rsidR="00EA3482">
          <w:rPr>
            <w:rFonts w:eastAsiaTheme="minorEastAsia" w:cstheme="minorBidi"/>
            <w:smallCaps w:val="0"/>
            <w:noProof/>
            <w:sz w:val="22"/>
            <w:szCs w:val="22"/>
            <w:lang w:val="en-US"/>
          </w:rPr>
          <w:tab/>
        </w:r>
        <w:r w:rsidR="00EA3482" w:rsidRPr="00DE2BD9">
          <w:rPr>
            <w:rStyle w:val="Hyperlink"/>
            <w:caps/>
            <w:noProof/>
          </w:rPr>
          <w:t>Return on equity</w:t>
        </w:r>
        <w:r w:rsidR="00EA3482">
          <w:rPr>
            <w:noProof/>
            <w:webHidden/>
          </w:rPr>
          <w:tab/>
        </w:r>
        <w:r>
          <w:rPr>
            <w:noProof/>
            <w:webHidden/>
          </w:rPr>
          <w:fldChar w:fldCharType="begin"/>
        </w:r>
        <w:r w:rsidR="00EA3482">
          <w:rPr>
            <w:noProof/>
            <w:webHidden/>
          </w:rPr>
          <w:instrText xml:space="preserve"> PAGEREF _Toc399626212 \h </w:instrText>
        </w:r>
        <w:r>
          <w:rPr>
            <w:noProof/>
            <w:webHidden/>
          </w:rPr>
        </w:r>
        <w:r>
          <w:rPr>
            <w:noProof/>
            <w:webHidden/>
          </w:rPr>
          <w:fldChar w:fldCharType="separate"/>
        </w:r>
        <w:r w:rsidR="00C32B27">
          <w:rPr>
            <w:noProof/>
            <w:webHidden/>
          </w:rPr>
          <w:t>236</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13" w:history="1">
        <w:r w:rsidR="00EA3482" w:rsidRPr="00DE2BD9">
          <w:rPr>
            <w:rStyle w:val="Hyperlink"/>
            <w:noProof/>
          </w:rPr>
          <w:t>7.11</w:t>
        </w:r>
        <w:r w:rsidR="00EA3482">
          <w:rPr>
            <w:rFonts w:eastAsiaTheme="minorEastAsia" w:cstheme="minorBidi"/>
            <w:smallCaps w:val="0"/>
            <w:noProof/>
            <w:sz w:val="22"/>
            <w:szCs w:val="22"/>
            <w:lang w:val="en-US"/>
          </w:rPr>
          <w:tab/>
        </w:r>
        <w:r w:rsidR="00EA3482" w:rsidRPr="00DE2BD9">
          <w:rPr>
            <w:rStyle w:val="Hyperlink"/>
            <w:noProof/>
          </w:rPr>
          <w:t>REVENUE SIDE TRUING UP</w:t>
        </w:r>
        <w:r w:rsidR="00EA3482">
          <w:rPr>
            <w:noProof/>
            <w:webHidden/>
          </w:rPr>
          <w:tab/>
        </w:r>
        <w:r>
          <w:rPr>
            <w:noProof/>
            <w:webHidden/>
          </w:rPr>
          <w:fldChar w:fldCharType="begin"/>
        </w:r>
        <w:r w:rsidR="00EA3482">
          <w:rPr>
            <w:noProof/>
            <w:webHidden/>
          </w:rPr>
          <w:instrText xml:space="preserve"> PAGEREF _Toc399626213 \h </w:instrText>
        </w:r>
        <w:r>
          <w:rPr>
            <w:noProof/>
            <w:webHidden/>
          </w:rPr>
        </w:r>
        <w:r>
          <w:rPr>
            <w:noProof/>
            <w:webHidden/>
          </w:rPr>
          <w:fldChar w:fldCharType="separate"/>
        </w:r>
        <w:r w:rsidR="00C32B27">
          <w:rPr>
            <w:noProof/>
            <w:webHidden/>
          </w:rPr>
          <w:t>237</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14" w:history="1">
        <w:r w:rsidR="00EA3482" w:rsidRPr="00DE2BD9">
          <w:rPr>
            <w:rStyle w:val="Hyperlink"/>
            <w:caps/>
            <w:noProof/>
          </w:rPr>
          <w:t>7.12</w:t>
        </w:r>
        <w:r w:rsidR="00EA3482">
          <w:rPr>
            <w:rFonts w:eastAsiaTheme="minorEastAsia" w:cstheme="minorBidi"/>
            <w:smallCaps w:val="0"/>
            <w:noProof/>
            <w:sz w:val="22"/>
            <w:szCs w:val="22"/>
            <w:lang w:val="en-US"/>
          </w:rPr>
          <w:tab/>
        </w:r>
        <w:r w:rsidR="00EA3482" w:rsidRPr="00DE2BD9">
          <w:rPr>
            <w:rStyle w:val="Hyperlink"/>
            <w:caps/>
            <w:noProof/>
          </w:rPr>
          <w:t>AGGREGATE REVenue requirement and revenue gap/ (surplus) for fY 2011-12 after truing up</w:t>
        </w:r>
        <w:r w:rsidR="00EA3482">
          <w:rPr>
            <w:noProof/>
            <w:webHidden/>
          </w:rPr>
          <w:tab/>
        </w:r>
        <w:r>
          <w:rPr>
            <w:noProof/>
            <w:webHidden/>
          </w:rPr>
          <w:fldChar w:fldCharType="begin"/>
        </w:r>
        <w:r w:rsidR="00EA3482">
          <w:rPr>
            <w:noProof/>
            <w:webHidden/>
          </w:rPr>
          <w:instrText xml:space="preserve"> PAGEREF _Toc399626214 \h </w:instrText>
        </w:r>
        <w:r>
          <w:rPr>
            <w:noProof/>
            <w:webHidden/>
          </w:rPr>
        </w:r>
        <w:r>
          <w:rPr>
            <w:noProof/>
            <w:webHidden/>
          </w:rPr>
          <w:fldChar w:fldCharType="separate"/>
        </w:r>
        <w:r w:rsidR="00C32B27">
          <w:rPr>
            <w:noProof/>
            <w:webHidden/>
          </w:rPr>
          <w:t>238</w:t>
        </w:r>
        <w:r>
          <w:rPr>
            <w:noProof/>
            <w:webHidden/>
          </w:rPr>
          <w:fldChar w:fldCharType="end"/>
        </w:r>
      </w:hyperlink>
    </w:p>
    <w:p w:rsidR="00EA3482" w:rsidRDefault="005D68E7">
      <w:pPr>
        <w:pStyle w:val="TOC1"/>
        <w:rPr>
          <w:rFonts w:eastAsiaTheme="minorEastAsia" w:cstheme="minorBidi"/>
          <w:bCs w:val="0"/>
          <w:caps w:val="0"/>
          <w:noProof/>
          <w:sz w:val="22"/>
          <w:szCs w:val="22"/>
          <w:lang w:val="en-US"/>
        </w:rPr>
      </w:pPr>
      <w:hyperlink w:anchor="_Toc399626215" w:history="1">
        <w:r w:rsidR="00EA3482" w:rsidRPr="00DE2BD9">
          <w:rPr>
            <w:rStyle w:val="Hyperlink"/>
            <w:noProof/>
          </w:rPr>
          <w:t>8</w:t>
        </w:r>
        <w:r w:rsidR="00EA3482">
          <w:rPr>
            <w:rFonts w:eastAsiaTheme="minorEastAsia" w:cstheme="minorBidi"/>
            <w:bCs w:val="0"/>
            <w:caps w:val="0"/>
            <w:noProof/>
            <w:sz w:val="22"/>
            <w:szCs w:val="22"/>
            <w:lang w:val="en-US"/>
          </w:rPr>
          <w:tab/>
        </w:r>
        <w:r w:rsidR="00EA3482" w:rsidRPr="00DE2BD9">
          <w:rPr>
            <w:rStyle w:val="Hyperlink"/>
            <w:noProof/>
          </w:rPr>
          <w:t>YEAR WISE REVENUE GAPS / (SURPLUS) AND CARRYING COST</w:t>
        </w:r>
        <w:r w:rsidR="00EA3482">
          <w:rPr>
            <w:noProof/>
            <w:webHidden/>
          </w:rPr>
          <w:tab/>
        </w:r>
        <w:r>
          <w:rPr>
            <w:noProof/>
            <w:webHidden/>
          </w:rPr>
          <w:fldChar w:fldCharType="begin"/>
        </w:r>
        <w:r w:rsidR="00EA3482">
          <w:rPr>
            <w:noProof/>
            <w:webHidden/>
          </w:rPr>
          <w:instrText xml:space="preserve"> PAGEREF _Toc399626215 \h </w:instrText>
        </w:r>
        <w:r>
          <w:rPr>
            <w:noProof/>
            <w:webHidden/>
          </w:rPr>
        </w:r>
        <w:r>
          <w:rPr>
            <w:noProof/>
            <w:webHidden/>
          </w:rPr>
          <w:fldChar w:fldCharType="separate"/>
        </w:r>
        <w:r w:rsidR="00C32B27">
          <w:rPr>
            <w:noProof/>
            <w:webHidden/>
          </w:rPr>
          <w:t>241</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16" w:history="1">
        <w:r w:rsidR="00EA3482" w:rsidRPr="00DE2BD9">
          <w:rPr>
            <w:rStyle w:val="Hyperlink"/>
            <w:noProof/>
          </w:rPr>
          <w:t>8.1</w:t>
        </w:r>
        <w:r w:rsidR="00EA3482">
          <w:rPr>
            <w:rFonts w:eastAsiaTheme="minorEastAsia" w:cstheme="minorBidi"/>
            <w:smallCaps w:val="0"/>
            <w:noProof/>
            <w:sz w:val="22"/>
            <w:szCs w:val="22"/>
            <w:lang w:val="en-US"/>
          </w:rPr>
          <w:tab/>
        </w:r>
        <w:r w:rsidR="00EA3482" w:rsidRPr="00DE2BD9">
          <w:rPr>
            <w:rStyle w:val="Hyperlink"/>
            <w:noProof/>
          </w:rPr>
          <w:t>APPROVED REVENUE GAP / (SURPLUS)</w:t>
        </w:r>
        <w:r w:rsidR="00EA3482">
          <w:rPr>
            <w:noProof/>
            <w:webHidden/>
          </w:rPr>
          <w:tab/>
        </w:r>
        <w:r>
          <w:rPr>
            <w:noProof/>
            <w:webHidden/>
          </w:rPr>
          <w:fldChar w:fldCharType="begin"/>
        </w:r>
        <w:r w:rsidR="00EA3482">
          <w:rPr>
            <w:noProof/>
            <w:webHidden/>
          </w:rPr>
          <w:instrText xml:space="preserve"> PAGEREF _Toc399626216 \h </w:instrText>
        </w:r>
        <w:r>
          <w:rPr>
            <w:noProof/>
            <w:webHidden/>
          </w:rPr>
        </w:r>
        <w:r>
          <w:rPr>
            <w:noProof/>
            <w:webHidden/>
          </w:rPr>
          <w:fldChar w:fldCharType="separate"/>
        </w:r>
        <w:r w:rsidR="00C32B27">
          <w:rPr>
            <w:noProof/>
            <w:webHidden/>
          </w:rPr>
          <w:t>241</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17" w:history="1">
        <w:r w:rsidR="00EA3482" w:rsidRPr="00DE2BD9">
          <w:rPr>
            <w:rStyle w:val="Hyperlink"/>
            <w:caps/>
            <w:noProof/>
          </w:rPr>
          <w:t>8.2</w:t>
        </w:r>
        <w:r w:rsidR="00EA3482">
          <w:rPr>
            <w:rFonts w:eastAsiaTheme="minorEastAsia" w:cstheme="minorBidi"/>
            <w:smallCaps w:val="0"/>
            <w:noProof/>
            <w:sz w:val="22"/>
            <w:szCs w:val="22"/>
            <w:lang w:val="en-US"/>
          </w:rPr>
          <w:tab/>
        </w:r>
        <w:r w:rsidR="00EA3482" w:rsidRPr="00DE2BD9">
          <w:rPr>
            <w:rStyle w:val="Hyperlink"/>
            <w:caps/>
            <w:noProof/>
          </w:rPr>
          <w:t>CARRYING COST</w:t>
        </w:r>
        <w:r w:rsidR="00EA3482">
          <w:rPr>
            <w:noProof/>
            <w:webHidden/>
          </w:rPr>
          <w:tab/>
        </w:r>
        <w:r>
          <w:rPr>
            <w:noProof/>
            <w:webHidden/>
          </w:rPr>
          <w:fldChar w:fldCharType="begin"/>
        </w:r>
        <w:r w:rsidR="00EA3482">
          <w:rPr>
            <w:noProof/>
            <w:webHidden/>
          </w:rPr>
          <w:instrText xml:space="preserve"> PAGEREF _Toc399626217 \h </w:instrText>
        </w:r>
        <w:r>
          <w:rPr>
            <w:noProof/>
            <w:webHidden/>
          </w:rPr>
        </w:r>
        <w:r>
          <w:rPr>
            <w:noProof/>
            <w:webHidden/>
          </w:rPr>
          <w:fldChar w:fldCharType="separate"/>
        </w:r>
        <w:r w:rsidR="00C32B27">
          <w:rPr>
            <w:noProof/>
            <w:webHidden/>
          </w:rPr>
          <w:t>241</w:t>
        </w:r>
        <w:r>
          <w:rPr>
            <w:noProof/>
            <w:webHidden/>
          </w:rPr>
          <w:fldChar w:fldCharType="end"/>
        </w:r>
      </w:hyperlink>
    </w:p>
    <w:p w:rsidR="00EA3482" w:rsidRDefault="005D68E7">
      <w:pPr>
        <w:pStyle w:val="TOC1"/>
        <w:rPr>
          <w:rFonts w:eastAsiaTheme="minorEastAsia" w:cstheme="minorBidi"/>
          <w:bCs w:val="0"/>
          <w:caps w:val="0"/>
          <w:noProof/>
          <w:sz w:val="22"/>
          <w:szCs w:val="22"/>
          <w:lang w:val="en-US"/>
        </w:rPr>
      </w:pPr>
      <w:hyperlink w:anchor="_Toc399626218" w:history="1">
        <w:r w:rsidR="00EA3482" w:rsidRPr="00DE2BD9">
          <w:rPr>
            <w:rStyle w:val="Hyperlink"/>
            <w:noProof/>
          </w:rPr>
          <w:t>9</w:t>
        </w:r>
        <w:r w:rsidR="00EA3482">
          <w:rPr>
            <w:rFonts w:eastAsiaTheme="minorEastAsia" w:cstheme="minorBidi"/>
            <w:bCs w:val="0"/>
            <w:caps w:val="0"/>
            <w:noProof/>
            <w:sz w:val="22"/>
            <w:szCs w:val="22"/>
            <w:lang w:val="en-US"/>
          </w:rPr>
          <w:tab/>
        </w:r>
        <w:r w:rsidR="00EA3482" w:rsidRPr="00DE2BD9">
          <w:rPr>
            <w:rStyle w:val="Hyperlink"/>
            <w:noProof/>
          </w:rPr>
          <w:t>ANALYSIS OF ARR FOR FY 2014-15</w:t>
        </w:r>
        <w:r w:rsidR="00EA3482">
          <w:rPr>
            <w:noProof/>
            <w:webHidden/>
          </w:rPr>
          <w:tab/>
        </w:r>
        <w:r>
          <w:rPr>
            <w:noProof/>
            <w:webHidden/>
          </w:rPr>
          <w:fldChar w:fldCharType="begin"/>
        </w:r>
        <w:r w:rsidR="00EA3482">
          <w:rPr>
            <w:noProof/>
            <w:webHidden/>
          </w:rPr>
          <w:instrText xml:space="preserve"> PAGEREF _Toc399626218 \h </w:instrText>
        </w:r>
        <w:r>
          <w:rPr>
            <w:noProof/>
            <w:webHidden/>
          </w:rPr>
        </w:r>
        <w:r>
          <w:rPr>
            <w:noProof/>
            <w:webHidden/>
          </w:rPr>
          <w:fldChar w:fldCharType="separate"/>
        </w:r>
        <w:r w:rsidR="00C32B27">
          <w:rPr>
            <w:noProof/>
            <w:webHidden/>
          </w:rPr>
          <w:t>244</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19" w:history="1">
        <w:r w:rsidR="00EA3482" w:rsidRPr="00DE2BD9">
          <w:rPr>
            <w:rStyle w:val="Hyperlink"/>
            <w:noProof/>
          </w:rPr>
          <w:t>9.1</w:t>
        </w:r>
        <w:r w:rsidR="00EA3482">
          <w:rPr>
            <w:rFonts w:eastAsiaTheme="minorEastAsia" w:cstheme="minorBidi"/>
            <w:smallCaps w:val="0"/>
            <w:noProof/>
            <w:sz w:val="22"/>
            <w:szCs w:val="22"/>
            <w:lang w:val="en-US"/>
          </w:rPr>
          <w:tab/>
        </w:r>
        <w:r w:rsidR="00EA3482" w:rsidRPr="00DE2BD9">
          <w:rPr>
            <w:rStyle w:val="Hyperlink"/>
            <w:noProof/>
          </w:rPr>
          <w:t>INTRODUCTION</w:t>
        </w:r>
        <w:r w:rsidR="00EA3482">
          <w:rPr>
            <w:noProof/>
            <w:webHidden/>
          </w:rPr>
          <w:tab/>
        </w:r>
        <w:r>
          <w:rPr>
            <w:noProof/>
            <w:webHidden/>
          </w:rPr>
          <w:fldChar w:fldCharType="begin"/>
        </w:r>
        <w:r w:rsidR="00EA3482">
          <w:rPr>
            <w:noProof/>
            <w:webHidden/>
          </w:rPr>
          <w:instrText xml:space="preserve"> PAGEREF _Toc399626219 \h </w:instrText>
        </w:r>
        <w:r>
          <w:rPr>
            <w:noProof/>
            <w:webHidden/>
          </w:rPr>
        </w:r>
        <w:r>
          <w:rPr>
            <w:noProof/>
            <w:webHidden/>
          </w:rPr>
          <w:fldChar w:fldCharType="separate"/>
        </w:r>
        <w:r w:rsidR="00C32B27">
          <w:rPr>
            <w:noProof/>
            <w:webHidden/>
          </w:rPr>
          <w:t>244</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20" w:history="1">
        <w:r w:rsidR="00EA3482" w:rsidRPr="00DE2BD9">
          <w:rPr>
            <w:rStyle w:val="Hyperlink"/>
            <w:noProof/>
          </w:rPr>
          <w:t>9.2</w:t>
        </w:r>
        <w:r w:rsidR="00EA3482">
          <w:rPr>
            <w:rFonts w:eastAsiaTheme="minorEastAsia" w:cstheme="minorBidi"/>
            <w:smallCaps w:val="0"/>
            <w:noProof/>
            <w:sz w:val="22"/>
            <w:szCs w:val="22"/>
            <w:lang w:val="en-US"/>
          </w:rPr>
          <w:tab/>
        </w:r>
        <w:r w:rsidR="00EA3482" w:rsidRPr="00DE2BD9">
          <w:rPr>
            <w:rStyle w:val="Hyperlink"/>
            <w:noProof/>
          </w:rPr>
          <w:t>CONSUMPTION PARAMETERS: CONSUMER NUMBERS, CONNECTED LOAD, SALES</w:t>
        </w:r>
        <w:r w:rsidR="00EA3482">
          <w:rPr>
            <w:noProof/>
            <w:webHidden/>
          </w:rPr>
          <w:tab/>
        </w:r>
        <w:r>
          <w:rPr>
            <w:noProof/>
            <w:webHidden/>
          </w:rPr>
          <w:fldChar w:fldCharType="begin"/>
        </w:r>
        <w:r w:rsidR="00EA3482">
          <w:rPr>
            <w:noProof/>
            <w:webHidden/>
          </w:rPr>
          <w:instrText xml:space="preserve"> PAGEREF _Toc399626220 \h </w:instrText>
        </w:r>
        <w:r>
          <w:rPr>
            <w:noProof/>
            <w:webHidden/>
          </w:rPr>
        </w:r>
        <w:r>
          <w:rPr>
            <w:noProof/>
            <w:webHidden/>
          </w:rPr>
          <w:fldChar w:fldCharType="separate"/>
        </w:r>
        <w:r w:rsidR="00C32B27">
          <w:rPr>
            <w:noProof/>
            <w:webHidden/>
          </w:rPr>
          <w:t>244</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21" w:history="1">
        <w:r w:rsidR="00EA3482" w:rsidRPr="00DE2BD9">
          <w:rPr>
            <w:rStyle w:val="Hyperlink"/>
            <w:noProof/>
          </w:rPr>
          <w:t>9.3</w:t>
        </w:r>
        <w:r w:rsidR="00EA3482">
          <w:rPr>
            <w:rFonts w:eastAsiaTheme="minorEastAsia" w:cstheme="minorBidi"/>
            <w:smallCaps w:val="0"/>
            <w:noProof/>
            <w:sz w:val="22"/>
            <w:szCs w:val="22"/>
            <w:lang w:val="en-US"/>
          </w:rPr>
          <w:tab/>
        </w:r>
        <w:r w:rsidR="00EA3482" w:rsidRPr="00DE2BD9">
          <w:rPr>
            <w:rStyle w:val="Hyperlink"/>
            <w:noProof/>
          </w:rPr>
          <w:t>DISTRIBUTION LOSSES AND ENERGY BALANCE</w:t>
        </w:r>
        <w:r w:rsidR="00EA3482">
          <w:rPr>
            <w:noProof/>
            <w:webHidden/>
          </w:rPr>
          <w:tab/>
        </w:r>
        <w:r>
          <w:rPr>
            <w:noProof/>
            <w:webHidden/>
          </w:rPr>
          <w:fldChar w:fldCharType="begin"/>
        </w:r>
        <w:r w:rsidR="00EA3482">
          <w:rPr>
            <w:noProof/>
            <w:webHidden/>
          </w:rPr>
          <w:instrText xml:space="preserve"> PAGEREF _Toc399626221 \h </w:instrText>
        </w:r>
        <w:r>
          <w:rPr>
            <w:noProof/>
            <w:webHidden/>
          </w:rPr>
        </w:r>
        <w:r>
          <w:rPr>
            <w:noProof/>
            <w:webHidden/>
          </w:rPr>
          <w:fldChar w:fldCharType="separate"/>
        </w:r>
        <w:r w:rsidR="00C32B27">
          <w:rPr>
            <w:noProof/>
            <w:webHidden/>
          </w:rPr>
          <w:t>260</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22" w:history="1">
        <w:r w:rsidR="00EA3482" w:rsidRPr="00DE2BD9">
          <w:rPr>
            <w:rStyle w:val="Hyperlink"/>
            <w:noProof/>
          </w:rPr>
          <w:t>9.4</w:t>
        </w:r>
        <w:r w:rsidR="00EA3482">
          <w:rPr>
            <w:rFonts w:eastAsiaTheme="minorEastAsia" w:cstheme="minorBidi"/>
            <w:smallCaps w:val="0"/>
            <w:noProof/>
            <w:sz w:val="22"/>
            <w:szCs w:val="22"/>
            <w:lang w:val="en-US"/>
          </w:rPr>
          <w:tab/>
        </w:r>
        <w:r w:rsidR="00EA3482" w:rsidRPr="00DE2BD9">
          <w:rPr>
            <w:rStyle w:val="Hyperlink"/>
            <w:noProof/>
          </w:rPr>
          <w:t>ANNUAL REVENUE REQUIREMENT OF KESCO FOR FY 2014-15</w:t>
        </w:r>
        <w:r w:rsidR="00EA3482">
          <w:rPr>
            <w:noProof/>
            <w:webHidden/>
          </w:rPr>
          <w:tab/>
        </w:r>
        <w:r>
          <w:rPr>
            <w:noProof/>
            <w:webHidden/>
          </w:rPr>
          <w:fldChar w:fldCharType="begin"/>
        </w:r>
        <w:r w:rsidR="00EA3482">
          <w:rPr>
            <w:noProof/>
            <w:webHidden/>
          </w:rPr>
          <w:instrText xml:space="preserve"> PAGEREF _Toc399626222 \h </w:instrText>
        </w:r>
        <w:r>
          <w:rPr>
            <w:noProof/>
            <w:webHidden/>
          </w:rPr>
        </w:r>
        <w:r>
          <w:rPr>
            <w:noProof/>
            <w:webHidden/>
          </w:rPr>
          <w:fldChar w:fldCharType="separate"/>
        </w:r>
        <w:r w:rsidR="00C32B27">
          <w:rPr>
            <w:noProof/>
            <w:webHidden/>
          </w:rPr>
          <w:t>267</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23" w:history="1">
        <w:r w:rsidR="00EA3482" w:rsidRPr="00DE2BD9">
          <w:rPr>
            <w:rStyle w:val="Hyperlink"/>
            <w:noProof/>
          </w:rPr>
          <w:t>9.5</w:t>
        </w:r>
        <w:r w:rsidR="00EA3482">
          <w:rPr>
            <w:rFonts w:eastAsiaTheme="minorEastAsia" w:cstheme="minorBidi"/>
            <w:smallCaps w:val="0"/>
            <w:noProof/>
            <w:sz w:val="22"/>
            <w:szCs w:val="22"/>
            <w:lang w:val="en-US"/>
          </w:rPr>
          <w:tab/>
        </w:r>
        <w:r w:rsidR="00EA3482" w:rsidRPr="00DE2BD9">
          <w:rPr>
            <w:rStyle w:val="Hyperlink"/>
            <w:noProof/>
          </w:rPr>
          <w:t>ESCALATION INDEX</w:t>
        </w:r>
        <w:r w:rsidR="00EA3482">
          <w:rPr>
            <w:noProof/>
            <w:webHidden/>
          </w:rPr>
          <w:tab/>
        </w:r>
        <w:r>
          <w:rPr>
            <w:noProof/>
            <w:webHidden/>
          </w:rPr>
          <w:fldChar w:fldCharType="begin"/>
        </w:r>
        <w:r w:rsidR="00EA3482">
          <w:rPr>
            <w:noProof/>
            <w:webHidden/>
          </w:rPr>
          <w:instrText xml:space="preserve"> PAGEREF _Toc399626223 \h </w:instrText>
        </w:r>
        <w:r>
          <w:rPr>
            <w:noProof/>
            <w:webHidden/>
          </w:rPr>
        </w:r>
        <w:r>
          <w:rPr>
            <w:noProof/>
            <w:webHidden/>
          </w:rPr>
          <w:fldChar w:fldCharType="separate"/>
        </w:r>
        <w:r w:rsidR="00C32B27">
          <w:rPr>
            <w:noProof/>
            <w:webHidden/>
          </w:rPr>
          <w:t>268</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24" w:history="1">
        <w:r w:rsidR="00EA3482" w:rsidRPr="00DE2BD9">
          <w:rPr>
            <w:rStyle w:val="Hyperlink"/>
            <w:noProof/>
          </w:rPr>
          <w:t>9.6</w:t>
        </w:r>
        <w:r w:rsidR="00EA3482">
          <w:rPr>
            <w:rFonts w:eastAsiaTheme="minorEastAsia" w:cstheme="minorBidi"/>
            <w:smallCaps w:val="0"/>
            <w:noProof/>
            <w:sz w:val="22"/>
            <w:szCs w:val="22"/>
            <w:lang w:val="en-US"/>
          </w:rPr>
          <w:tab/>
        </w:r>
        <w:r w:rsidR="00EA3482" w:rsidRPr="00DE2BD9">
          <w:rPr>
            <w:rStyle w:val="Hyperlink"/>
            <w:noProof/>
          </w:rPr>
          <w:t>POWER PROCUREMENT COST</w:t>
        </w:r>
        <w:r w:rsidR="00EA3482">
          <w:rPr>
            <w:noProof/>
            <w:webHidden/>
          </w:rPr>
          <w:tab/>
        </w:r>
        <w:r>
          <w:rPr>
            <w:noProof/>
            <w:webHidden/>
          </w:rPr>
          <w:fldChar w:fldCharType="begin"/>
        </w:r>
        <w:r w:rsidR="00EA3482">
          <w:rPr>
            <w:noProof/>
            <w:webHidden/>
          </w:rPr>
          <w:instrText xml:space="preserve"> PAGEREF _Toc399626224 \h </w:instrText>
        </w:r>
        <w:r>
          <w:rPr>
            <w:noProof/>
            <w:webHidden/>
          </w:rPr>
        </w:r>
        <w:r>
          <w:rPr>
            <w:noProof/>
            <w:webHidden/>
          </w:rPr>
          <w:fldChar w:fldCharType="separate"/>
        </w:r>
        <w:r w:rsidR="00C32B27">
          <w:rPr>
            <w:noProof/>
            <w:webHidden/>
          </w:rPr>
          <w:t>269</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25" w:history="1">
        <w:r w:rsidR="00EA3482" w:rsidRPr="00DE2BD9">
          <w:rPr>
            <w:rStyle w:val="Hyperlink"/>
            <w:noProof/>
          </w:rPr>
          <w:t>9.7</w:t>
        </w:r>
        <w:r w:rsidR="00EA3482">
          <w:rPr>
            <w:rFonts w:eastAsiaTheme="minorEastAsia" w:cstheme="minorBidi"/>
            <w:smallCaps w:val="0"/>
            <w:noProof/>
            <w:sz w:val="22"/>
            <w:szCs w:val="22"/>
            <w:lang w:val="en-US"/>
          </w:rPr>
          <w:tab/>
        </w:r>
        <w:r w:rsidR="00EA3482" w:rsidRPr="00DE2BD9">
          <w:rPr>
            <w:rStyle w:val="Hyperlink"/>
            <w:noProof/>
          </w:rPr>
          <w:t>FUEL &amp; POWER PURCHASE COST ADJUSTMENT SURCHARGE</w:t>
        </w:r>
        <w:r w:rsidR="00EA3482">
          <w:rPr>
            <w:noProof/>
            <w:webHidden/>
          </w:rPr>
          <w:tab/>
        </w:r>
        <w:r>
          <w:rPr>
            <w:noProof/>
            <w:webHidden/>
          </w:rPr>
          <w:fldChar w:fldCharType="begin"/>
        </w:r>
        <w:r w:rsidR="00EA3482">
          <w:rPr>
            <w:noProof/>
            <w:webHidden/>
          </w:rPr>
          <w:instrText xml:space="preserve"> PAGEREF _Toc399626225 \h </w:instrText>
        </w:r>
        <w:r>
          <w:rPr>
            <w:noProof/>
            <w:webHidden/>
          </w:rPr>
        </w:r>
        <w:r>
          <w:rPr>
            <w:noProof/>
            <w:webHidden/>
          </w:rPr>
          <w:fldChar w:fldCharType="separate"/>
        </w:r>
        <w:r w:rsidR="00C32B27">
          <w:rPr>
            <w:noProof/>
            <w:webHidden/>
          </w:rPr>
          <w:t>270</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26" w:history="1">
        <w:r w:rsidR="00EA3482" w:rsidRPr="00DE2BD9">
          <w:rPr>
            <w:rStyle w:val="Hyperlink"/>
            <w:noProof/>
          </w:rPr>
          <w:t>9.8</w:t>
        </w:r>
        <w:r w:rsidR="00EA3482">
          <w:rPr>
            <w:rFonts w:eastAsiaTheme="minorEastAsia" w:cstheme="minorBidi"/>
            <w:smallCaps w:val="0"/>
            <w:noProof/>
            <w:sz w:val="22"/>
            <w:szCs w:val="22"/>
            <w:lang w:val="en-US"/>
          </w:rPr>
          <w:tab/>
        </w:r>
        <w:r w:rsidR="00EA3482" w:rsidRPr="00DE2BD9">
          <w:rPr>
            <w:rStyle w:val="Hyperlink"/>
            <w:noProof/>
          </w:rPr>
          <w:t>TRANSMISSION AND SLDC CHARGES</w:t>
        </w:r>
        <w:r w:rsidR="00EA3482">
          <w:rPr>
            <w:noProof/>
            <w:webHidden/>
          </w:rPr>
          <w:tab/>
        </w:r>
        <w:r>
          <w:rPr>
            <w:noProof/>
            <w:webHidden/>
          </w:rPr>
          <w:fldChar w:fldCharType="begin"/>
        </w:r>
        <w:r w:rsidR="00EA3482">
          <w:rPr>
            <w:noProof/>
            <w:webHidden/>
          </w:rPr>
          <w:instrText xml:space="preserve"> PAGEREF _Toc399626226 \h </w:instrText>
        </w:r>
        <w:r>
          <w:rPr>
            <w:noProof/>
            <w:webHidden/>
          </w:rPr>
        </w:r>
        <w:r>
          <w:rPr>
            <w:noProof/>
            <w:webHidden/>
          </w:rPr>
          <w:fldChar w:fldCharType="separate"/>
        </w:r>
        <w:r w:rsidR="00C32B27">
          <w:rPr>
            <w:noProof/>
            <w:webHidden/>
          </w:rPr>
          <w:t>272</w:t>
        </w:r>
        <w:r>
          <w:rPr>
            <w:noProof/>
            <w:webHidden/>
          </w:rPr>
          <w:fldChar w:fldCharType="end"/>
        </w:r>
      </w:hyperlink>
    </w:p>
    <w:p w:rsidR="00EA3482" w:rsidRDefault="005D68E7">
      <w:pPr>
        <w:pStyle w:val="TOC2"/>
        <w:tabs>
          <w:tab w:val="left" w:pos="720"/>
          <w:tab w:val="right" w:leader="dot" w:pos="8659"/>
        </w:tabs>
        <w:rPr>
          <w:rFonts w:eastAsiaTheme="minorEastAsia" w:cstheme="minorBidi"/>
          <w:smallCaps w:val="0"/>
          <w:noProof/>
          <w:sz w:val="22"/>
          <w:szCs w:val="22"/>
          <w:lang w:val="en-US"/>
        </w:rPr>
      </w:pPr>
      <w:hyperlink w:anchor="_Toc399626227" w:history="1">
        <w:r w:rsidR="00EA3482" w:rsidRPr="00DE2BD9">
          <w:rPr>
            <w:rStyle w:val="Hyperlink"/>
            <w:noProof/>
          </w:rPr>
          <w:t>9.9</w:t>
        </w:r>
        <w:r w:rsidR="00EA3482">
          <w:rPr>
            <w:rFonts w:eastAsiaTheme="minorEastAsia" w:cstheme="minorBidi"/>
            <w:smallCaps w:val="0"/>
            <w:noProof/>
            <w:sz w:val="22"/>
            <w:szCs w:val="22"/>
            <w:lang w:val="en-US"/>
          </w:rPr>
          <w:tab/>
        </w:r>
        <w:r w:rsidR="00EA3482" w:rsidRPr="00DE2BD9">
          <w:rPr>
            <w:rStyle w:val="Hyperlink"/>
            <w:noProof/>
          </w:rPr>
          <w:t>O&amp;M EXPENSES</w:t>
        </w:r>
        <w:r w:rsidR="00EA3482">
          <w:rPr>
            <w:noProof/>
            <w:webHidden/>
          </w:rPr>
          <w:tab/>
        </w:r>
        <w:r>
          <w:rPr>
            <w:noProof/>
            <w:webHidden/>
          </w:rPr>
          <w:fldChar w:fldCharType="begin"/>
        </w:r>
        <w:r w:rsidR="00EA3482">
          <w:rPr>
            <w:noProof/>
            <w:webHidden/>
          </w:rPr>
          <w:instrText xml:space="preserve"> PAGEREF _Toc399626227 \h </w:instrText>
        </w:r>
        <w:r>
          <w:rPr>
            <w:noProof/>
            <w:webHidden/>
          </w:rPr>
        </w:r>
        <w:r>
          <w:rPr>
            <w:noProof/>
            <w:webHidden/>
          </w:rPr>
          <w:fldChar w:fldCharType="separate"/>
        </w:r>
        <w:r w:rsidR="00C32B27">
          <w:rPr>
            <w:noProof/>
            <w:webHidden/>
          </w:rPr>
          <w:t>273</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28" w:history="1">
        <w:r w:rsidR="00EA3482" w:rsidRPr="00DE2BD9">
          <w:rPr>
            <w:rStyle w:val="Hyperlink"/>
            <w:noProof/>
          </w:rPr>
          <w:t>9.10</w:t>
        </w:r>
        <w:r w:rsidR="00EA3482">
          <w:rPr>
            <w:rFonts w:eastAsiaTheme="minorEastAsia" w:cstheme="minorBidi"/>
            <w:smallCaps w:val="0"/>
            <w:noProof/>
            <w:sz w:val="22"/>
            <w:szCs w:val="22"/>
            <w:lang w:val="en-US"/>
          </w:rPr>
          <w:tab/>
        </w:r>
        <w:r w:rsidR="00EA3482" w:rsidRPr="00DE2BD9">
          <w:rPr>
            <w:rStyle w:val="Hyperlink"/>
            <w:noProof/>
          </w:rPr>
          <w:t>GFA BALANCES AND CAPITAL FORMATION ASSUMPTIONS</w:t>
        </w:r>
        <w:r w:rsidR="00EA3482">
          <w:rPr>
            <w:noProof/>
            <w:webHidden/>
          </w:rPr>
          <w:tab/>
        </w:r>
        <w:r>
          <w:rPr>
            <w:noProof/>
            <w:webHidden/>
          </w:rPr>
          <w:fldChar w:fldCharType="begin"/>
        </w:r>
        <w:r w:rsidR="00EA3482">
          <w:rPr>
            <w:noProof/>
            <w:webHidden/>
          </w:rPr>
          <w:instrText xml:space="preserve"> PAGEREF _Toc399626228 \h </w:instrText>
        </w:r>
        <w:r>
          <w:rPr>
            <w:noProof/>
            <w:webHidden/>
          </w:rPr>
        </w:r>
        <w:r>
          <w:rPr>
            <w:noProof/>
            <w:webHidden/>
          </w:rPr>
          <w:fldChar w:fldCharType="separate"/>
        </w:r>
        <w:r w:rsidR="00C32B27">
          <w:rPr>
            <w:noProof/>
            <w:webHidden/>
          </w:rPr>
          <w:t>276</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29" w:history="1">
        <w:r w:rsidR="00EA3482" w:rsidRPr="00DE2BD9">
          <w:rPr>
            <w:rStyle w:val="Hyperlink"/>
            <w:noProof/>
          </w:rPr>
          <w:t>9.11</w:t>
        </w:r>
        <w:r w:rsidR="00EA3482">
          <w:rPr>
            <w:rFonts w:eastAsiaTheme="minorEastAsia" w:cstheme="minorBidi"/>
            <w:smallCaps w:val="0"/>
            <w:noProof/>
            <w:sz w:val="22"/>
            <w:szCs w:val="22"/>
            <w:lang w:val="en-US"/>
          </w:rPr>
          <w:tab/>
        </w:r>
        <w:r w:rsidR="00EA3482" w:rsidRPr="00DE2BD9">
          <w:rPr>
            <w:rStyle w:val="Hyperlink"/>
            <w:noProof/>
          </w:rPr>
          <w:t>FINANCING OF THE CAPITAL INVESTMENT</w:t>
        </w:r>
        <w:r w:rsidR="00EA3482">
          <w:rPr>
            <w:noProof/>
            <w:webHidden/>
          </w:rPr>
          <w:tab/>
        </w:r>
        <w:r>
          <w:rPr>
            <w:noProof/>
            <w:webHidden/>
          </w:rPr>
          <w:fldChar w:fldCharType="begin"/>
        </w:r>
        <w:r w:rsidR="00EA3482">
          <w:rPr>
            <w:noProof/>
            <w:webHidden/>
          </w:rPr>
          <w:instrText xml:space="preserve"> PAGEREF _Toc399626229 \h </w:instrText>
        </w:r>
        <w:r>
          <w:rPr>
            <w:noProof/>
            <w:webHidden/>
          </w:rPr>
        </w:r>
        <w:r>
          <w:rPr>
            <w:noProof/>
            <w:webHidden/>
          </w:rPr>
          <w:fldChar w:fldCharType="separate"/>
        </w:r>
        <w:r w:rsidR="00C32B27">
          <w:rPr>
            <w:noProof/>
            <w:webHidden/>
          </w:rPr>
          <w:t>280</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30" w:history="1">
        <w:r w:rsidR="00EA3482" w:rsidRPr="00DE2BD9">
          <w:rPr>
            <w:rStyle w:val="Hyperlink"/>
            <w:noProof/>
          </w:rPr>
          <w:t>9.12</w:t>
        </w:r>
        <w:r w:rsidR="00EA3482">
          <w:rPr>
            <w:rFonts w:eastAsiaTheme="minorEastAsia" w:cstheme="minorBidi"/>
            <w:smallCaps w:val="0"/>
            <w:noProof/>
            <w:sz w:val="22"/>
            <w:szCs w:val="22"/>
            <w:lang w:val="en-US"/>
          </w:rPr>
          <w:tab/>
        </w:r>
        <w:r w:rsidR="00EA3482" w:rsidRPr="00DE2BD9">
          <w:rPr>
            <w:rStyle w:val="Hyperlink"/>
            <w:noProof/>
          </w:rPr>
          <w:t>DEPRECIATION EXPENSE</w:t>
        </w:r>
        <w:r w:rsidR="00EA3482">
          <w:rPr>
            <w:noProof/>
            <w:webHidden/>
          </w:rPr>
          <w:tab/>
        </w:r>
        <w:r>
          <w:rPr>
            <w:noProof/>
            <w:webHidden/>
          </w:rPr>
          <w:fldChar w:fldCharType="begin"/>
        </w:r>
        <w:r w:rsidR="00EA3482">
          <w:rPr>
            <w:noProof/>
            <w:webHidden/>
          </w:rPr>
          <w:instrText xml:space="preserve"> PAGEREF _Toc399626230 \h </w:instrText>
        </w:r>
        <w:r>
          <w:rPr>
            <w:noProof/>
            <w:webHidden/>
          </w:rPr>
        </w:r>
        <w:r>
          <w:rPr>
            <w:noProof/>
            <w:webHidden/>
          </w:rPr>
          <w:fldChar w:fldCharType="separate"/>
        </w:r>
        <w:r w:rsidR="00C32B27">
          <w:rPr>
            <w:noProof/>
            <w:webHidden/>
          </w:rPr>
          <w:t>282</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31" w:history="1">
        <w:r w:rsidR="00EA3482" w:rsidRPr="00DE2BD9">
          <w:rPr>
            <w:rStyle w:val="Hyperlink"/>
            <w:noProof/>
          </w:rPr>
          <w:t>9.13</w:t>
        </w:r>
        <w:r w:rsidR="00EA3482">
          <w:rPr>
            <w:rFonts w:eastAsiaTheme="minorEastAsia" w:cstheme="minorBidi"/>
            <w:smallCaps w:val="0"/>
            <w:noProof/>
            <w:sz w:val="22"/>
            <w:szCs w:val="22"/>
            <w:lang w:val="en-US"/>
          </w:rPr>
          <w:tab/>
        </w:r>
        <w:r w:rsidR="00EA3482" w:rsidRPr="00DE2BD9">
          <w:rPr>
            <w:rStyle w:val="Hyperlink"/>
            <w:noProof/>
          </w:rPr>
          <w:t>INTEREST AND FINANCING COST</w:t>
        </w:r>
        <w:r w:rsidR="00EA3482">
          <w:rPr>
            <w:noProof/>
            <w:webHidden/>
          </w:rPr>
          <w:tab/>
        </w:r>
        <w:r>
          <w:rPr>
            <w:noProof/>
            <w:webHidden/>
          </w:rPr>
          <w:fldChar w:fldCharType="begin"/>
        </w:r>
        <w:r w:rsidR="00EA3482">
          <w:rPr>
            <w:noProof/>
            <w:webHidden/>
          </w:rPr>
          <w:instrText xml:space="preserve"> PAGEREF _Toc399626231 \h </w:instrText>
        </w:r>
        <w:r>
          <w:rPr>
            <w:noProof/>
            <w:webHidden/>
          </w:rPr>
        </w:r>
        <w:r>
          <w:rPr>
            <w:noProof/>
            <w:webHidden/>
          </w:rPr>
          <w:fldChar w:fldCharType="separate"/>
        </w:r>
        <w:r w:rsidR="00C32B27">
          <w:rPr>
            <w:noProof/>
            <w:webHidden/>
          </w:rPr>
          <w:t>285</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32" w:history="1">
        <w:r w:rsidR="00EA3482" w:rsidRPr="00DE2BD9">
          <w:rPr>
            <w:rStyle w:val="Hyperlink"/>
            <w:noProof/>
          </w:rPr>
          <w:t>9.14</w:t>
        </w:r>
        <w:r w:rsidR="00EA3482">
          <w:rPr>
            <w:rFonts w:eastAsiaTheme="minorEastAsia" w:cstheme="minorBidi"/>
            <w:smallCaps w:val="0"/>
            <w:noProof/>
            <w:sz w:val="22"/>
            <w:szCs w:val="22"/>
            <w:lang w:val="en-US"/>
          </w:rPr>
          <w:tab/>
        </w:r>
        <w:r w:rsidR="00EA3482" w:rsidRPr="00DE2BD9">
          <w:rPr>
            <w:rStyle w:val="Hyperlink"/>
            <w:noProof/>
          </w:rPr>
          <w:t>PROVISION FOR BAD AND DOUBTFUL DEBTS</w:t>
        </w:r>
        <w:r w:rsidR="00EA3482">
          <w:rPr>
            <w:noProof/>
            <w:webHidden/>
          </w:rPr>
          <w:tab/>
        </w:r>
        <w:r>
          <w:rPr>
            <w:noProof/>
            <w:webHidden/>
          </w:rPr>
          <w:fldChar w:fldCharType="begin"/>
        </w:r>
        <w:r w:rsidR="00EA3482">
          <w:rPr>
            <w:noProof/>
            <w:webHidden/>
          </w:rPr>
          <w:instrText xml:space="preserve"> PAGEREF _Toc399626232 \h </w:instrText>
        </w:r>
        <w:r>
          <w:rPr>
            <w:noProof/>
            <w:webHidden/>
          </w:rPr>
        </w:r>
        <w:r>
          <w:rPr>
            <w:noProof/>
            <w:webHidden/>
          </w:rPr>
          <w:fldChar w:fldCharType="separate"/>
        </w:r>
        <w:r w:rsidR="00C32B27">
          <w:rPr>
            <w:noProof/>
            <w:webHidden/>
          </w:rPr>
          <w:t>291</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33" w:history="1">
        <w:r w:rsidR="00EA3482" w:rsidRPr="00DE2BD9">
          <w:rPr>
            <w:rStyle w:val="Hyperlink"/>
            <w:noProof/>
          </w:rPr>
          <w:t>9.15</w:t>
        </w:r>
        <w:r w:rsidR="00EA3482">
          <w:rPr>
            <w:rFonts w:eastAsiaTheme="minorEastAsia" w:cstheme="minorBidi"/>
            <w:smallCaps w:val="0"/>
            <w:noProof/>
            <w:sz w:val="22"/>
            <w:szCs w:val="22"/>
            <w:lang w:val="en-US"/>
          </w:rPr>
          <w:tab/>
        </w:r>
        <w:r w:rsidR="00EA3482" w:rsidRPr="00DE2BD9">
          <w:rPr>
            <w:rStyle w:val="Hyperlink"/>
            <w:noProof/>
          </w:rPr>
          <w:t>OTHER INCOME</w:t>
        </w:r>
        <w:r w:rsidR="00EA3482">
          <w:rPr>
            <w:noProof/>
            <w:webHidden/>
          </w:rPr>
          <w:tab/>
        </w:r>
        <w:r>
          <w:rPr>
            <w:noProof/>
            <w:webHidden/>
          </w:rPr>
          <w:fldChar w:fldCharType="begin"/>
        </w:r>
        <w:r w:rsidR="00EA3482">
          <w:rPr>
            <w:noProof/>
            <w:webHidden/>
          </w:rPr>
          <w:instrText xml:space="preserve"> PAGEREF _Toc399626233 \h </w:instrText>
        </w:r>
        <w:r>
          <w:rPr>
            <w:noProof/>
            <w:webHidden/>
          </w:rPr>
        </w:r>
        <w:r>
          <w:rPr>
            <w:noProof/>
            <w:webHidden/>
          </w:rPr>
          <w:fldChar w:fldCharType="separate"/>
        </w:r>
        <w:r w:rsidR="00C32B27">
          <w:rPr>
            <w:noProof/>
            <w:webHidden/>
          </w:rPr>
          <w:t>293</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34" w:history="1">
        <w:r w:rsidR="00EA3482" w:rsidRPr="00DE2BD9">
          <w:rPr>
            <w:rStyle w:val="Hyperlink"/>
            <w:noProof/>
          </w:rPr>
          <w:t>9.16</w:t>
        </w:r>
        <w:r w:rsidR="00EA3482">
          <w:rPr>
            <w:rFonts w:eastAsiaTheme="minorEastAsia" w:cstheme="minorBidi"/>
            <w:smallCaps w:val="0"/>
            <w:noProof/>
            <w:sz w:val="22"/>
            <w:szCs w:val="22"/>
            <w:lang w:val="en-US"/>
          </w:rPr>
          <w:tab/>
        </w:r>
        <w:r w:rsidR="00EA3482" w:rsidRPr="00DE2BD9">
          <w:rPr>
            <w:rStyle w:val="Hyperlink"/>
            <w:noProof/>
          </w:rPr>
          <w:t>RETURN ON EQUITY</w:t>
        </w:r>
        <w:r w:rsidR="00EA3482">
          <w:rPr>
            <w:noProof/>
            <w:webHidden/>
          </w:rPr>
          <w:tab/>
        </w:r>
        <w:r>
          <w:rPr>
            <w:noProof/>
            <w:webHidden/>
          </w:rPr>
          <w:fldChar w:fldCharType="begin"/>
        </w:r>
        <w:r w:rsidR="00EA3482">
          <w:rPr>
            <w:noProof/>
            <w:webHidden/>
          </w:rPr>
          <w:instrText xml:space="preserve"> PAGEREF _Toc399626234 \h </w:instrText>
        </w:r>
        <w:r>
          <w:rPr>
            <w:noProof/>
            <w:webHidden/>
          </w:rPr>
        </w:r>
        <w:r>
          <w:rPr>
            <w:noProof/>
            <w:webHidden/>
          </w:rPr>
          <w:fldChar w:fldCharType="separate"/>
        </w:r>
        <w:r w:rsidR="00C32B27">
          <w:rPr>
            <w:noProof/>
            <w:webHidden/>
          </w:rPr>
          <w:t>295</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35" w:history="1">
        <w:r w:rsidR="00EA3482" w:rsidRPr="00DE2BD9">
          <w:rPr>
            <w:rStyle w:val="Hyperlink"/>
            <w:noProof/>
          </w:rPr>
          <w:t>9.17</w:t>
        </w:r>
        <w:r w:rsidR="00EA3482">
          <w:rPr>
            <w:rFonts w:eastAsiaTheme="minorEastAsia" w:cstheme="minorBidi"/>
            <w:smallCaps w:val="0"/>
            <w:noProof/>
            <w:sz w:val="22"/>
            <w:szCs w:val="22"/>
            <w:lang w:val="en-US"/>
          </w:rPr>
          <w:tab/>
        </w:r>
        <w:r w:rsidR="00EA3482" w:rsidRPr="00DE2BD9">
          <w:rPr>
            <w:rStyle w:val="Hyperlink"/>
            <w:noProof/>
          </w:rPr>
          <w:t>CONTRIBUTION TO CONTINGENCY RESERVE</w:t>
        </w:r>
        <w:r w:rsidR="00EA3482">
          <w:rPr>
            <w:noProof/>
            <w:webHidden/>
          </w:rPr>
          <w:tab/>
        </w:r>
        <w:r>
          <w:rPr>
            <w:noProof/>
            <w:webHidden/>
          </w:rPr>
          <w:fldChar w:fldCharType="begin"/>
        </w:r>
        <w:r w:rsidR="00EA3482">
          <w:rPr>
            <w:noProof/>
            <w:webHidden/>
          </w:rPr>
          <w:instrText xml:space="preserve"> PAGEREF _Toc399626235 \h </w:instrText>
        </w:r>
        <w:r>
          <w:rPr>
            <w:noProof/>
            <w:webHidden/>
          </w:rPr>
        </w:r>
        <w:r>
          <w:rPr>
            <w:noProof/>
            <w:webHidden/>
          </w:rPr>
          <w:fldChar w:fldCharType="separate"/>
        </w:r>
        <w:r w:rsidR="00C32B27">
          <w:rPr>
            <w:noProof/>
            <w:webHidden/>
          </w:rPr>
          <w:t>295</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36" w:history="1">
        <w:r w:rsidR="00EA3482" w:rsidRPr="00DE2BD9">
          <w:rPr>
            <w:rStyle w:val="Hyperlink"/>
            <w:noProof/>
          </w:rPr>
          <w:t>9.18</w:t>
        </w:r>
        <w:r w:rsidR="00EA3482">
          <w:rPr>
            <w:rFonts w:eastAsiaTheme="minorEastAsia" w:cstheme="minorBidi"/>
            <w:smallCaps w:val="0"/>
            <w:noProof/>
            <w:sz w:val="22"/>
            <w:szCs w:val="22"/>
            <w:lang w:val="en-US"/>
          </w:rPr>
          <w:tab/>
        </w:r>
        <w:r w:rsidR="00EA3482" w:rsidRPr="00DE2BD9">
          <w:rPr>
            <w:rStyle w:val="Hyperlink"/>
            <w:noProof/>
          </w:rPr>
          <w:t>APPORTIONMENT OF O&amp;M EXPENSES AND INTEREST &amp; FINANCE CHARGES OF UPPCL</w:t>
        </w:r>
        <w:r w:rsidR="00EA3482">
          <w:rPr>
            <w:noProof/>
            <w:webHidden/>
          </w:rPr>
          <w:tab/>
        </w:r>
        <w:r>
          <w:rPr>
            <w:noProof/>
            <w:webHidden/>
          </w:rPr>
          <w:fldChar w:fldCharType="begin"/>
        </w:r>
        <w:r w:rsidR="00EA3482">
          <w:rPr>
            <w:noProof/>
            <w:webHidden/>
          </w:rPr>
          <w:instrText xml:space="preserve"> PAGEREF _Toc399626236 \h </w:instrText>
        </w:r>
        <w:r>
          <w:rPr>
            <w:noProof/>
            <w:webHidden/>
          </w:rPr>
        </w:r>
        <w:r>
          <w:rPr>
            <w:noProof/>
            <w:webHidden/>
          </w:rPr>
          <w:fldChar w:fldCharType="separate"/>
        </w:r>
        <w:r w:rsidR="00C32B27">
          <w:rPr>
            <w:noProof/>
            <w:webHidden/>
          </w:rPr>
          <w:t>295</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37" w:history="1">
        <w:r w:rsidR="00EA3482" w:rsidRPr="00DE2BD9">
          <w:rPr>
            <w:rStyle w:val="Hyperlink"/>
            <w:noProof/>
          </w:rPr>
          <w:t>9.19</w:t>
        </w:r>
        <w:r w:rsidR="00EA3482">
          <w:rPr>
            <w:rFonts w:eastAsiaTheme="minorEastAsia" w:cstheme="minorBidi"/>
            <w:smallCaps w:val="0"/>
            <w:noProof/>
            <w:sz w:val="22"/>
            <w:szCs w:val="22"/>
            <w:lang w:val="en-US"/>
          </w:rPr>
          <w:tab/>
        </w:r>
        <w:r w:rsidR="00EA3482" w:rsidRPr="00DE2BD9">
          <w:rPr>
            <w:rStyle w:val="Hyperlink"/>
            <w:noProof/>
          </w:rPr>
          <w:t>REVENUE FROM SALE OF ELECTRICITY</w:t>
        </w:r>
        <w:r w:rsidR="00EA3482">
          <w:rPr>
            <w:noProof/>
            <w:webHidden/>
          </w:rPr>
          <w:tab/>
        </w:r>
        <w:r>
          <w:rPr>
            <w:noProof/>
            <w:webHidden/>
          </w:rPr>
          <w:fldChar w:fldCharType="begin"/>
        </w:r>
        <w:r w:rsidR="00EA3482">
          <w:rPr>
            <w:noProof/>
            <w:webHidden/>
          </w:rPr>
          <w:instrText xml:space="preserve"> PAGEREF _Toc399626237 \h </w:instrText>
        </w:r>
        <w:r>
          <w:rPr>
            <w:noProof/>
            <w:webHidden/>
          </w:rPr>
        </w:r>
        <w:r>
          <w:rPr>
            <w:noProof/>
            <w:webHidden/>
          </w:rPr>
          <w:fldChar w:fldCharType="separate"/>
        </w:r>
        <w:r w:rsidR="00C32B27">
          <w:rPr>
            <w:noProof/>
            <w:webHidden/>
          </w:rPr>
          <w:t>297</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38" w:history="1">
        <w:r w:rsidR="00EA3482" w:rsidRPr="00DE2BD9">
          <w:rPr>
            <w:rStyle w:val="Hyperlink"/>
            <w:noProof/>
          </w:rPr>
          <w:t>9.20</w:t>
        </w:r>
        <w:r w:rsidR="00EA3482">
          <w:rPr>
            <w:rFonts w:eastAsiaTheme="minorEastAsia" w:cstheme="minorBidi"/>
            <w:smallCaps w:val="0"/>
            <w:noProof/>
            <w:sz w:val="22"/>
            <w:szCs w:val="22"/>
            <w:lang w:val="en-US"/>
          </w:rPr>
          <w:tab/>
        </w:r>
        <w:r w:rsidR="00EA3482" w:rsidRPr="00DE2BD9">
          <w:rPr>
            <w:rStyle w:val="Hyperlink"/>
            <w:noProof/>
          </w:rPr>
          <w:t>APPROVED ARR SUMMARY, REVENUE FROM TARIFFS AND RESULTANT GAP</w:t>
        </w:r>
        <w:r w:rsidR="00EA3482">
          <w:rPr>
            <w:noProof/>
            <w:webHidden/>
          </w:rPr>
          <w:tab/>
        </w:r>
        <w:r>
          <w:rPr>
            <w:noProof/>
            <w:webHidden/>
          </w:rPr>
          <w:fldChar w:fldCharType="begin"/>
        </w:r>
        <w:r w:rsidR="00EA3482">
          <w:rPr>
            <w:noProof/>
            <w:webHidden/>
          </w:rPr>
          <w:instrText xml:space="preserve"> PAGEREF _Toc399626238 \h </w:instrText>
        </w:r>
        <w:r>
          <w:rPr>
            <w:noProof/>
            <w:webHidden/>
          </w:rPr>
        </w:r>
        <w:r>
          <w:rPr>
            <w:noProof/>
            <w:webHidden/>
          </w:rPr>
          <w:fldChar w:fldCharType="separate"/>
        </w:r>
        <w:r w:rsidR="00C32B27">
          <w:rPr>
            <w:noProof/>
            <w:webHidden/>
          </w:rPr>
          <w:t>298</w:t>
        </w:r>
        <w:r>
          <w:rPr>
            <w:noProof/>
            <w:webHidden/>
          </w:rPr>
          <w:fldChar w:fldCharType="end"/>
        </w:r>
      </w:hyperlink>
    </w:p>
    <w:p w:rsidR="00EA3482" w:rsidRDefault="005D68E7">
      <w:pPr>
        <w:pStyle w:val="TOC1"/>
        <w:tabs>
          <w:tab w:val="left" w:pos="960"/>
        </w:tabs>
        <w:rPr>
          <w:rFonts w:eastAsiaTheme="minorEastAsia" w:cstheme="minorBidi"/>
          <w:bCs w:val="0"/>
          <w:caps w:val="0"/>
          <w:noProof/>
          <w:sz w:val="22"/>
          <w:szCs w:val="22"/>
          <w:lang w:val="en-US"/>
        </w:rPr>
      </w:pPr>
      <w:hyperlink w:anchor="_Toc399626239" w:history="1">
        <w:r w:rsidR="00EA3482" w:rsidRPr="00DE2BD9">
          <w:rPr>
            <w:rStyle w:val="Hyperlink"/>
            <w:noProof/>
          </w:rPr>
          <w:t>10</w:t>
        </w:r>
        <w:r w:rsidR="00EA3482">
          <w:rPr>
            <w:rFonts w:eastAsiaTheme="minorEastAsia" w:cstheme="minorBidi"/>
            <w:bCs w:val="0"/>
            <w:caps w:val="0"/>
            <w:noProof/>
            <w:sz w:val="22"/>
            <w:szCs w:val="22"/>
            <w:lang w:val="en-US"/>
          </w:rPr>
          <w:tab/>
        </w:r>
        <w:r w:rsidR="00EA3482" w:rsidRPr="00DE2BD9">
          <w:rPr>
            <w:rStyle w:val="Hyperlink"/>
            <w:noProof/>
          </w:rPr>
          <w:t>OPEN ACCESS CHARGES</w:t>
        </w:r>
        <w:r w:rsidR="00EA3482">
          <w:rPr>
            <w:noProof/>
            <w:webHidden/>
          </w:rPr>
          <w:tab/>
        </w:r>
        <w:r>
          <w:rPr>
            <w:noProof/>
            <w:webHidden/>
          </w:rPr>
          <w:fldChar w:fldCharType="begin"/>
        </w:r>
        <w:r w:rsidR="00EA3482">
          <w:rPr>
            <w:noProof/>
            <w:webHidden/>
          </w:rPr>
          <w:instrText xml:space="preserve"> PAGEREF _Toc399626239 \h </w:instrText>
        </w:r>
        <w:r>
          <w:rPr>
            <w:noProof/>
            <w:webHidden/>
          </w:rPr>
        </w:r>
        <w:r>
          <w:rPr>
            <w:noProof/>
            <w:webHidden/>
          </w:rPr>
          <w:fldChar w:fldCharType="separate"/>
        </w:r>
        <w:r w:rsidR="00C32B27">
          <w:rPr>
            <w:noProof/>
            <w:webHidden/>
          </w:rPr>
          <w:t>300</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40" w:history="1">
        <w:r w:rsidR="00EA3482" w:rsidRPr="00DE2BD9">
          <w:rPr>
            <w:rStyle w:val="Hyperlink"/>
            <w:noProof/>
          </w:rPr>
          <w:t>10.1</w:t>
        </w:r>
        <w:r w:rsidR="00EA3482">
          <w:rPr>
            <w:rFonts w:eastAsiaTheme="minorEastAsia" w:cstheme="minorBidi"/>
            <w:smallCaps w:val="0"/>
            <w:noProof/>
            <w:sz w:val="22"/>
            <w:szCs w:val="22"/>
            <w:lang w:val="en-US"/>
          </w:rPr>
          <w:tab/>
        </w:r>
        <w:r w:rsidR="00EA3482" w:rsidRPr="00DE2BD9">
          <w:rPr>
            <w:rStyle w:val="Hyperlink"/>
            <w:noProof/>
          </w:rPr>
          <w:t>BACKGROUND:</w:t>
        </w:r>
        <w:r w:rsidR="00EA3482">
          <w:rPr>
            <w:noProof/>
            <w:webHidden/>
          </w:rPr>
          <w:tab/>
        </w:r>
        <w:r>
          <w:rPr>
            <w:noProof/>
            <w:webHidden/>
          </w:rPr>
          <w:fldChar w:fldCharType="begin"/>
        </w:r>
        <w:r w:rsidR="00EA3482">
          <w:rPr>
            <w:noProof/>
            <w:webHidden/>
          </w:rPr>
          <w:instrText xml:space="preserve"> PAGEREF _Toc399626240 \h </w:instrText>
        </w:r>
        <w:r>
          <w:rPr>
            <w:noProof/>
            <w:webHidden/>
          </w:rPr>
        </w:r>
        <w:r>
          <w:rPr>
            <w:noProof/>
            <w:webHidden/>
          </w:rPr>
          <w:fldChar w:fldCharType="separate"/>
        </w:r>
        <w:r w:rsidR="00C32B27">
          <w:rPr>
            <w:noProof/>
            <w:webHidden/>
          </w:rPr>
          <w:t>300</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41" w:history="1">
        <w:r w:rsidR="00EA3482" w:rsidRPr="00DE2BD9">
          <w:rPr>
            <w:rStyle w:val="Hyperlink"/>
            <w:noProof/>
          </w:rPr>
          <w:t>10.2</w:t>
        </w:r>
        <w:r w:rsidR="00EA3482">
          <w:rPr>
            <w:rFonts w:eastAsiaTheme="minorEastAsia" w:cstheme="minorBidi"/>
            <w:smallCaps w:val="0"/>
            <w:noProof/>
            <w:sz w:val="22"/>
            <w:szCs w:val="22"/>
            <w:lang w:val="en-US"/>
          </w:rPr>
          <w:tab/>
        </w:r>
        <w:r w:rsidR="00EA3482" w:rsidRPr="00DE2BD9">
          <w:rPr>
            <w:rStyle w:val="Hyperlink"/>
            <w:noProof/>
          </w:rPr>
          <w:t>RECENT DEVELOPMENTS:</w:t>
        </w:r>
        <w:r w:rsidR="00EA3482">
          <w:rPr>
            <w:noProof/>
            <w:webHidden/>
          </w:rPr>
          <w:tab/>
        </w:r>
        <w:r>
          <w:rPr>
            <w:noProof/>
            <w:webHidden/>
          </w:rPr>
          <w:fldChar w:fldCharType="begin"/>
        </w:r>
        <w:r w:rsidR="00EA3482">
          <w:rPr>
            <w:noProof/>
            <w:webHidden/>
          </w:rPr>
          <w:instrText xml:space="preserve"> PAGEREF _Toc399626241 \h </w:instrText>
        </w:r>
        <w:r>
          <w:rPr>
            <w:noProof/>
            <w:webHidden/>
          </w:rPr>
        </w:r>
        <w:r>
          <w:rPr>
            <w:noProof/>
            <w:webHidden/>
          </w:rPr>
          <w:fldChar w:fldCharType="separate"/>
        </w:r>
        <w:r w:rsidR="00C32B27">
          <w:rPr>
            <w:noProof/>
            <w:webHidden/>
          </w:rPr>
          <w:t>300</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42" w:history="1">
        <w:r w:rsidR="00EA3482" w:rsidRPr="00DE2BD9">
          <w:rPr>
            <w:rStyle w:val="Hyperlink"/>
            <w:noProof/>
          </w:rPr>
          <w:t>10.3</w:t>
        </w:r>
        <w:r w:rsidR="00EA3482">
          <w:rPr>
            <w:rFonts w:eastAsiaTheme="minorEastAsia" w:cstheme="minorBidi"/>
            <w:smallCaps w:val="0"/>
            <w:noProof/>
            <w:sz w:val="22"/>
            <w:szCs w:val="22"/>
            <w:lang w:val="en-US"/>
          </w:rPr>
          <w:tab/>
        </w:r>
        <w:r w:rsidR="00EA3482" w:rsidRPr="00DE2BD9">
          <w:rPr>
            <w:rStyle w:val="Hyperlink"/>
            <w:noProof/>
          </w:rPr>
          <w:t>OPEN ACCESS CHARGES</w:t>
        </w:r>
        <w:r w:rsidR="00EA3482">
          <w:rPr>
            <w:noProof/>
            <w:webHidden/>
          </w:rPr>
          <w:tab/>
        </w:r>
        <w:r>
          <w:rPr>
            <w:noProof/>
            <w:webHidden/>
          </w:rPr>
          <w:fldChar w:fldCharType="begin"/>
        </w:r>
        <w:r w:rsidR="00EA3482">
          <w:rPr>
            <w:noProof/>
            <w:webHidden/>
          </w:rPr>
          <w:instrText xml:space="preserve"> PAGEREF _Toc399626242 \h </w:instrText>
        </w:r>
        <w:r>
          <w:rPr>
            <w:noProof/>
            <w:webHidden/>
          </w:rPr>
        </w:r>
        <w:r>
          <w:rPr>
            <w:noProof/>
            <w:webHidden/>
          </w:rPr>
          <w:fldChar w:fldCharType="separate"/>
        </w:r>
        <w:r w:rsidR="00C32B27">
          <w:rPr>
            <w:noProof/>
            <w:webHidden/>
          </w:rPr>
          <w:t>301</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43" w:history="1">
        <w:r w:rsidR="00EA3482" w:rsidRPr="00DE2BD9">
          <w:rPr>
            <w:rStyle w:val="Hyperlink"/>
            <w:noProof/>
          </w:rPr>
          <w:t>10.4</w:t>
        </w:r>
        <w:r w:rsidR="00EA3482">
          <w:rPr>
            <w:rFonts w:eastAsiaTheme="minorEastAsia" w:cstheme="minorBidi"/>
            <w:smallCaps w:val="0"/>
            <w:noProof/>
            <w:sz w:val="22"/>
            <w:szCs w:val="22"/>
            <w:lang w:val="en-US"/>
          </w:rPr>
          <w:tab/>
        </w:r>
        <w:r w:rsidR="00EA3482" w:rsidRPr="00DE2BD9">
          <w:rPr>
            <w:rStyle w:val="Hyperlink"/>
            <w:noProof/>
          </w:rPr>
          <w:t>WHEELING CHARGES</w:t>
        </w:r>
        <w:r w:rsidR="00EA3482">
          <w:rPr>
            <w:noProof/>
            <w:webHidden/>
          </w:rPr>
          <w:tab/>
        </w:r>
        <w:r>
          <w:rPr>
            <w:noProof/>
            <w:webHidden/>
          </w:rPr>
          <w:fldChar w:fldCharType="begin"/>
        </w:r>
        <w:r w:rsidR="00EA3482">
          <w:rPr>
            <w:noProof/>
            <w:webHidden/>
          </w:rPr>
          <w:instrText xml:space="preserve"> PAGEREF _Toc399626243 \h </w:instrText>
        </w:r>
        <w:r>
          <w:rPr>
            <w:noProof/>
            <w:webHidden/>
          </w:rPr>
        </w:r>
        <w:r>
          <w:rPr>
            <w:noProof/>
            <w:webHidden/>
          </w:rPr>
          <w:fldChar w:fldCharType="separate"/>
        </w:r>
        <w:r w:rsidR="00C32B27">
          <w:rPr>
            <w:noProof/>
            <w:webHidden/>
          </w:rPr>
          <w:t>302</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44" w:history="1">
        <w:r w:rsidR="00EA3482" w:rsidRPr="00DE2BD9">
          <w:rPr>
            <w:rStyle w:val="Hyperlink"/>
            <w:noProof/>
          </w:rPr>
          <w:t>10.5</w:t>
        </w:r>
        <w:r w:rsidR="00EA3482">
          <w:rPr>
            <w:rFonts w:eastAsiaTheme="minorEastAsia" w:cstheme="minorBidi"/>
            <w:smallCaps w:val="0"/>
            <w:noProof/>
            <w:sz w:val="22"/>
            <w:szCs w:val="22"/>
            <w:lang w:val="en-US"/>
          </w:rPr>
          <w:tab/>
        </w:r>
        <w:r w:rsidR="00EA3482" w:rsidRPr="00DE2BD9">
          <w:rPr>
            <w:rStyle w:val="Hyperlink"/>
            <w:noProof/>
          </w:rPr>
          <w:t>CROSS SUBSIDY SURCHARGE</w:t>
        </w:r>
        <w:r w:rsidR="00EA3482">
          <w:rPr>
            <w:noProof/>
            <w:webHidden/>
          </w:rPr>
          <w:tab/>
        </w:r>
        <w:r>
          <w:rPr>
            <w:noProof/>
            <w:webHidden/>
          </w:rPr>
          <w:fldChar w:fldCharType="begin"/>
        </w:r>
        <w:r w:rsidR="00EA3482">
          <w:rPr>
            <w:noProof/>
            <w:webHidden/>
          </w:rPr>
          <w:instrText xml:space="preserve"> PAGEREF _Toc399626244 \h </w:instrText>
        </w:r>
        <w:r>
          <w:rPr>
            <w:noProof/>
            <w:webHidden/>
          </w:rPr>
        </w:r>
        <w:r>
          <w:rPr>
            <w:noProof/>
            <w:webHidden/>
          </w:rPr>
          <w:fldChar w:fldCharType="separate"/>
        </w:r>
        <w:r w:rsidR="00C32B27">
          <w:rPr>
            <w:noProof/>
            <w:webHidden/>
          </w:rPr>
          <w:t>305</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45" w:history="1">
        <w:r w:rsidR="00EA3482" w:rsidRPr="00DE2BD9">
          <w:rPr>
            <w:rStyle w:val="Hyperlink"/>
            <w:noProof/>
          </w:rPr>
          <w:t>10.6</w:t>
        </w:r>
        <w:r w:rsidR="00EA3482">
          <w:rPr>
            <w:rFonts w:eastAsiaTheme="minorEastAsia" w:cstheme="minorBidi"/>
            <w:smallCaps w:val="0"/>
            <w:noProof/>
            <w:sz w:val="22"/>
            <w:szCs w:val="22"/>
            <w:lang w:val="en-US"/>
          </w:rPr>
          <w:tab/>
        </w:r>
        <w:r w:rsidR="00EA3482" w:rsidRPr="00DE2BD9">
          <w:rPr>
            <w:rStyle w:val="Hyperlink"/>
            <w:noProof/>
          </w:rPr>
          <w:t>ADDITIONAL SURCHARGE</w:t>
        </w:r>
        <w:r w:rsidR="00EA3482">
          <w:rPr>
            <w:noProof/>
            <w:webHidden/>
          </w:rPr>
          <w:tab/>
        </w:r>
        <w:r>
          <w:rPr>
            <w:noProof/>
            <w:webHidden/>
          </w:rPr>
          <w:fldChar w:fldCharType="begin"/>
        </w:r>
        <w:r w:rsidR="00EA3482">
          <w:rPr>
            <w:noProof/>
            <w:webHidden/>
          </w:rPr>
          <w:instrText xml:space="preserve"> PAGEREF _Toc399626245 \h </w:instrText>
        </w:r>
        <w:r>
          <w:rPr>
            <w:noProof/>
            <w:webHidden/>
          </w:rPr>
        </w:r>
        <w:r>
          <w:rPr>
            <w:noProof/>
            <w:webHidden/>
          </w:rPr>
          <w:fldChar w:fldCharType="separate"/>
        </w:r>
        <w:r w:rsidR="00C32B27">
          <w:rPr>
            <w:noProof/>
            <w:webHidden/>
          </w:rPr>
          <w:t>311</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46" w:history="1">
        <w:r w:rsidR="00EA3482" w:rsidRPr="00DE2BD9">
          <w:rPr>
            <w:rStyle w:val="Hyperlink"/>
            <w:noProof/>
          </w:rPr>
          <w:t>10.7</w:t>
        </w:r>
        <w:r w:rsidR="00EA3482">
          <w:rPr>
            <w:rFonts w:eastAsiaTheme="minorEastAsia" w:cstheme="minorBidi"/>
            <w:smallCaps w:val="0"/>
            <w:noProof/>
            <w:sz w:val="22"/>
            <w:szCs w:val="22"/>
            <w:lang w:val="en-US"/>
          </w:rPr>
          <w:tab/>
        </w:r>
        <w:r w:rsidR="00EA3482" w:rsidRPr="00DE2BD9">
          <w:rPr>
            <w:rStyle w:val="Hyperlink"/>
            <w:noProof/>
          </w:rPr>
          <w:t>OTHER CHARGES</w:t>
        </w:r>
        <w:r w:rsidR="00EA3482">
          <w:rPr>
            <w:noProof/>
            <w:webHidden/>
          </w:rPr>
          <w:tab/>
        </w:r>
        <w:r>
          <w:rPr>
            <w:noProof/>
            <w:webHidden/>
          </w:rPr>
          <w:fldChar w:fldCharType="begin"/>
        </w:r>
        <w:r w:rsidR="00EA3482">
          <w:rPr>
            <w:noProof/>
            <w:webHidden/>
          </w:rPr>
          <w:instrText xml:space="preserve"> PAGEREF _Toc399626246 \h </w:instrText>
        </w:r>
        <w:r>
          <w:rPr>
            <w:noProof/>
            <w:webHidden/>
          </w:rPr>
        </w:r>
        <w:r>
          <w:rPr>
            <w:noProof/>
            <w:webHidden/>
          </w:rPr>
          <w:fldChar w:fldCharType="separate"/>
        </w:r>
        <w:r w:rsidR="00C32B27">
          <w:rPr>
            <w:noProof/>
            <w:webHidden/>
          </w:rPr>
          <w:t>311</w:t>
        </w:r>
        <w:r>
          <w:rPr>
            <w:noProof/>
            <w:webHidden/>
          </w:rPr>
          <w:fldChar w:fldCharType="end"/>
        </w:r>
      </w:hyperlink>
    </w:p>
    <w:p w:rsidR="00EA3482" w:rsidRDefault="005D68E7">
      <w:pPr>
        <w:pStyle w:val="TOC1"/>
        <w:tabs>
          <w:tab w:val="left" w:pos="960"/>
        </w:tabs>
        <w:rPr>
          <w:rFonts w:eastAsiaTheme="minorEastAsia" w:cstheme="minorBidi"/>
          <w:bCs w:val="0"/>
          <w:caps w:val="0"/>
          <w:noProof/>
          <w:sz w:val="22"/>
          <w:szCs w:val="22"/>
          <w:lang w:val="en-US"/>
        </w:rPr>
      </w:pPr>
      <w:hyperlink w:anchor="_Toc399626247" w:history="1">
        <w:r w:rsidR="00EA3482" w:rsidRPr="00DE2BD9">
          <w:rPr>
            <w:rStyle w:val="Hyperlink"/>
            <w:noProof/>
          </w:rPr>
          <w:t>11</w:t>
        </w:r>
        <w:r w:rsidR="00EA3482">
          <w:rPr>
            <w:rFonts w:eastAsiaTheme="minorEastAsia" w:cstheme="minorBidi"/>
            <w:bCs w:val="0"/>
            <w:caps w:val="0"/>
            <w:noProof/>
            <w:sz w:val="22"/>
            <w:szCs w:val="22"/>
            <w:lang w:val="en-US"/>
          </w:rPr>
          <w:tab/>
        </w:r>
        <w:r w:rsidR="00EA3482" w:rsidRPr="00DE2BD9">
          <w:rPr>
            <w:rStyle w:val="Hyperlink"/>
            <w:noProof/>
          </w:rPr>
          <w:t>TARIFF PHILOSPHY</w:t>
        </w:r>
        <w:r w:rsidR="00EA3482">
          <w:rPr>
            <w:noProof/>
            <w:webHidden/>
          </w:rPr>
          <w:tab/>
        </w:r>
        <w:r>
          <w:rPr>
            <w:noProof/>
            <w:webHidden/>
          </w:rPr>
          <w:fldChar w:fldCharType="begin"/>
        </w:r>
        <w:r w:rsidR="00EA3482">
          <w:rPr>
            <w:noProof/>
            <w:webHidden/>
          </w:rPr>
          <w:instrText xml:space="preserve"> PAGEREF _Toc399626247 \h </w:instrText>
        </w:r>
        <w:r>
          <w:rPr>
            <w:noProof/>
            <w:webHidden/>
          </w:rPr>
        </w:r>
        <w:r>
          <w:rPr>
            <w:noProof/>
            <w:webHidden/>
          </w:rPr>
          <w:fldChar w:fldCharType="separate"/>
        </w:r>
        <w:r w:rsidR="00C32B27">
          <w:rPr>
            <w:noProof/>
            <w:webHidden/>
          </w:rPr>
          <w:t>312</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48" w:history="1">
        <w:r w:rsidR="00EA3482" w:rsidRPr="00DE2BD9">
          <w:rPr>
            <w:rStyle w:val="Hyperlink"/>
            <w:noProof/>
          </w:rPr>
          <w:t>11.1</w:t>
        </w:r>
        <w:r w:rsidR="00EA3482">
          <w:rPr>
            <w:rFonts w:eastAsiaTheme="minorEastAsia" w:cstheme="minorBidi"/>
            <w:smallCaps w:val="0"/>
            <w:noProof/>
            <w:sz w:val="22"/>
            <w:szCs w:val="22"/>
            <w:lang w:val="en-US"/>
          </w:rPr>
          <w:tab/>
        </w:r>
        <w:r w:rsidR="00EA3482" w:rsidRPr="00DE2BD9">
          <w:rPr>
            <w:rStyle w:val="Hyperlink"/>
            <w:noProof/>
          </w:rPr>
          <w:t>CONSIDERATIONS IN TARIFF DESIGN</w:t>
        </w:r>
        <w:r w:rsidR="00EA3482">
          <w:rPr>
            <w:noProof/>
            <w:webHidden/>
          </w:rPr>
          <w:tab/>
        </w:r>
        <w:r>
          <w:rPr>
            <w:noProof/>
            <w:webHidden/>
          </w:rPr>
          <w:fldChar w:fldCharType="begin"/>
        </w:r>
        <w:r w:rsidR="00EA3482">
          <w:rPr>
            <w:noProof/>
            <w:webHidden/>
          </w:rPr>
          <w:instrText xml:space="preserve"> PAGEREF _Toc399626248 \h </w:instrText>
        </w:r>
        <w:r>
          <w:rPr>
            <w:noProof/>
            <w:webHidden/>
          </w:rPr>
        </w:r>
        <w:r>
          <w:rPr>
            <w:noProof/>
            <w:webHidden/>
          </w:rPr>
          <w:fldChar w:fldCharType="separate"/>
        </w:r>
        <w:r w:rsidR="00C32B27">
          <w:rPr>
            <w:noProof/>
            <w:webHidden/>
          </w:rPr>
          <w:t>312</w:t>
        </w:r>
        <w:r>
          <w:rPr>
            <w:noProof/>
            <w:webHidden/>
          </w:rPr>
          <w:fldChar w:fldCharType="end"/>
        </w:r>
      </w:hyperlink>
    </w:p>
    <w:p w:rsidR="00EA3482" w:rsidRDefault="005D68E7">
      <w:pPr>
        <w:pStyle w:val="TOC1"/>
        <w:tabs>
          <w:tab w:val="left" w:pos="960"/>
        </w:tabs>
        <w:rPr>
          <w:rFonts w:eastAsiaTheme="minorEastAsia" w:cstheme="minorBidi"/>
          <w:bCs w:val="0"/>
          <w:caps w:val="0"/>
          <w:noProof/>
          <w:sz w:val="22"/>
          <w:szCs w:val="22"/>
          <w:lang w:val="en-US"/>
        </w:rPr>
      </w:pPr>
      <w:hyperlink w:anchor="_Toc399626249" w:history="1">
        <w:r w:rsidR="00EA3482" w:rsidRPr="00DE2BD9">
          <w:rPr>
            <w:rStyle w:val="Hyperlink"/>
            <w:noProof/>
          </w:rPr>
          <w:t>12</w:t>
        </w:r>
        <w:r w:rsidR="00EA3482">
          <w:rPr>
            <w:rFonts w:eastAsiaTheme="minorEastAsia" w:cstheme="minorBidi"/>
            <w:bCs w:val="0"/>
            <w:caps w:val="0"/>
            <w:noProof/>
            <w:sz w:val="22"/>
            <w:szCs w:val="22"/>
            <w:lang w:val="en-US"/>
          </w:rPr>
          <w:tab/>
        </w:r>
        <w:r w:rsidR="00EA3482" w:rsidRPr="00DE2BD9">
          <w:rPr>
            <w:rStyle w:val="Hyperlink"/>
            <w:noProof/>
          </w:rPr>
          <w:t>REVENUE AT REVISED TARIFF AND REVENUE GAP:</w:t>
        </w:r>
        <w:r w:rsidR="00EA3482">
          <w:rPr>
            <w:noProof/>
            <w:webHidden/>
          </w:rPr>
          <w:tab/>
        </w:r>
        <w:r>
          <w:rPr>
            <w:noProof/>
            <w:webHidden/>
          </w:rPr>
          <w:fldChar w:fldCharType="begin"/>
        </w:r>
        <w:r w:rsidR="00EA3482">
          <w:rPr>
            <w:noProof/>
            <w:webHidden/>
          </w:rPr>
          <w:instrText xml:space="preserve"> PAGEREF _Toc399626249 \h </w:instrText>
        </w:r>
        <w:r>
          <w:rPr>
            <w:noProof/>
            <w:webHidden/>
          </w:rPr>
        </w:r>
        <w:r>
          <w:rPr>
            <w:noProof/>
            <w:webHidden/>
          </w:rPr>
          <w:fldChar w:fldCharType="separate"/>
        </w:r>
        <w:r w:rsidR="00C32B27">
          <w:rPr>
            <w:noProof/>
            <w:webHidden/>
          </w:rPr>
          <w:t>324</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50" w:history="1">
        <w:r w:rsidR="00EA3482" w:rsidRPr="00DE2BD9">
          <w:rPr>
            <w:rStyle w:val="Hyperlink"/>
            <w:noProof/>
          </w:rPr>
          <w:t>12.1</w:t>
        </w:r>
        <w:r w:rsidR="00EA3482">
          <w:rPr>
            <w:rFonts w:eastAsiaTheme="minorEastAsia" w:cstheme="minorBidi"/>
            <w:smallCaps w:val="0"/>
            <w:noProof/>
            <w:sz w:val="22"/>
            <w:szCs w:val="22"/>
            <w:lang w:val="en-US"/>
          </w:rPr>
          <w:tab/>
        </w:r>
        <w:r w:rsidR="00EA3482" w:rsidRPr="00DE2BD9">
          <w:rPr>
            <w:rStyle w:val="Hyperlink"/>
            <w:noProof/>
          </w:rPr>
          <w:t>REVENUE FROM SALE OF POWER AT APPROVED TARIFF</w:t>
        </w:r>
        <w:r w:rsidR="00EA3482">
          <w:rPr>
            <w:noProof/>
            <w:webHidden/>
          </w:rPr>
          <w:tab/>
        </w:r>
        <w:r>
          <w:rPr>
            <w:noProof/>
            <w:webHidden/>
          </w:rPr>
          <w:fldChar w:fldCharType="begin"/>
        </w:r>
        <w:r w:rsidR="00EA3482">
          <w:rPr>
            <w:noProof/>
            <w:webHidden/>
          </w:rPr>
          <w:instrText xml:space="preserve"> PAGEREF _Toc399626250 \h </w:instrText>
        </w:r>
        <w:r>
          <w:rPr>
            <w:noProof/>
            <w:webHidden/>
          </w:rPr>
        </w:r>
        <w:r>
          <w:rPr>
            <w:noProof/>
            <w:webHidden/>
          </w:rPr>
          <w:fldChar w:fldCharType="separate"/>
        </w:r>
        <w:r w:rsidR="00C32B27">
          <w:rPr>
            <w:noProof/>
            <w:webHidden/>
          </w:rPr>
          <w:t>324</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51" w:history="1">
        <w:r w:rsidR="00EA3482" w:rsidRPr="00DE2BD9">
          <w:rPr>
            <w:rStyle w:val="Hyperlink"/>
            <w:noProof/>
          </w:rPr>
          <w:t>12.2</w:t>
        </w:r>
        <w:r w:rsidR="00EA3482">
          <w:rPr>
            <w:rFonts w:eastAsiaTheme="minorEastAsia" w:cstheme="minorBidi"/>
            <w:smallCaps w:val="0"/>
            <w:noProof/>
            <w:sz w:val="22"/>
            <w:szCs w:val="22"/>
            <w:lang w:val="en-US"/>
          </w:rPr>
          <w:tab/>
        </w:r>
        <w:r w:rsidR="00EA3482" w:rsidRPr="00DE2BD9">
          <w:rPr>
            <w:rStyle w:val="Hyperlink"/>
            <w:noProof/>
          </w:rPr>
          <w:t>AVERAGE COST OF SUPPLY</w:t>
        </w:r>
        <w:r w:rsidR="00EA3482">
          <w:rPr>
            <w:noProof/>
            <w:webHidden/>
          </w:rPr>
          <w:tab/>
        </w:r>
        <w:r>
          <w:rPr>
            <w:noProof/>
            <w:webHidden/>
          </w:rPr>
          <w:fldChar w:fldCharType="begin"/>
        </w:r>
        <w:r w:rsidR="00EA3482">
          <w:rPr>
            <w:noProof/>
            <w:webHidden/>
          </w:rPr>
          <w:instrText xml:space="preserve"> PAGEREF _Toc399626251 \h </w:instrText>
        </w:r>
        <w:r>
          <w:rPr>
            <w:noProof/>
            <w:webHidden/>
          </w:rPr>
        </w:r>
        <w:r>
          <w:rPr>
            <w:noProof/>
            <w:webHidden/>
          </w:rPr>
          <w:fldChar w:fldCharType="separate"/>
        </w:r>
        <w:r w:rsidR="00C32B27">
          <w:rPr>
            <w:noProof/>
            <w:webHidden/>
          </w:rPr>
          <w:t>325</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52" w:history="1">
        <w:r w:rsidR="00EA3482" w:rsidRPr="00DE2BD9">
          <w:rPr>
            <w:rStyle w:val="Hyperlink"/>
            <w:noProof/>
          </w:rPr>
          <w:t>12.3</w:t>
        </w:r>
        <w:r w:rsidR="00EA3482">
          <w:rPr>
            <w:rFonts w:eastAsiaTheme="minorEastAsia" w:cstheme="minorBidi"/>
            <w:smallCaps w:val="0"/>
            <w:noProof/>
            <w:sz w:val="22"/>
            <w:szCs w:val="22"/>
            <w:lang w:val="en-US"/>
          </w:rPr>
          <w:tab/>
        </w:r>
        <w:r w:rsidR="00EA3482" w:rsidRPr="00DE2BD9">
          <w:rPr>
            <w:rStyle w:val="Hyperlink"/>
            <w:noProof/>
          </w:rPr>
          <w:t>TREATMENT OF REVENUE GAP</w:t>
        </w:r>
        <w:r w:rsidR="00EA3482">
          <w:rPr>
            <w:noProof/>
            <w:webHidden/>
          </w:rPr>
          <w:tab/>
        </w:r>
        <w:r>
          <w:rPr>
            <w:noProof/>
            <w:webHidden/>
          </w:rPr>
          <w:fldChar w:fldCharType="begin"/>
        </w:r>
        <w:r w:rsidR="00EA3482">
          <w:rPr>
            <w:noProof/>
            <w:webHidden/>
          </w:rPr>
          <w:instrText xml:space="preserve"> PAGEREF _Toc399626252 \h </w:instrText>
        </w:r>
        <w:r>
          <w:rPr>
            <w:noProof/>
            <w:webHidden/>
          </w:rPr>
        </w:r>
        <w:r>
          <w:rPr>
            <w:noProof/>
            <w:webHidden/>
          </w:rPr>
          <w:fldChar w:fldCharType="separate"/>
        </w:r>
        <w:r w:rsidR="00C32B27">
          <w:rPr>
            <w:noProof/>
            <w:webHidden/>
          </w:rPr>
          <w:t>326</w:t>
        </w:r>
        <w:r>
          <w:rPr>
            <w:noProof/>
            <w:webHidden/>
          </w:rPr>
          <w:fldChar w:fldCharType="end"/>
        </w:r>
      </w:hyperlink>
    </w:p>
    <w:p w:rsidR="00EA3482" w:rsidRDefault="005D68E7">
      <w:pPr>
        <w:pStyle w:val="TOC1"/>
        <w:tabs>
          <w:tab w:val="left" w:pos="960"/>
        </w:tabs>
        <w:rPr>
          <w:rFonts w:eastAsiaTheme="minorEastAsia" w:cstheme="minorBidi"/>
          <w:bCs w:val="0"/>
          <w:caps w:val="0"/>
          <w:noProof/>
          <w:sz w:val="22"/>
          <w:szCs w:val="22"/>
          <w:lang w:val="en-US"/>
        </w:rPr>
      </w:pPr>
      <w:hyperlink w:anchor="_Toc399626253" w:history="1">
        <w:r w:rsidR="00EA3482" w:rsidRPr="00DE2BD9">
          <w:rPr>
            <w:rStyle w:val="Hyperlink"/>
            <w:noProof/>
          </w:rPr>
          <w:t>13</w:t>
        </w:r>
        <w:r w:rsidR="00EA3482">
          <w:rPr>
            <w:rFonts w:eastAsiaTheme="minorEastAsia" w:cstheme="minorBidi"/>
            <w:bCs w:val="0"/>
            <w:caps w:val="0"/>
            <w:noProof/>
            <w:sz w:val="22"/>
            <w:szCs w:val="22"/>
            <w:lang w:val="en-US"/>
          </w:rPr>
          <w:tab/>
        </w:r>
        <w:r w:rsidR="00EA3482" w:rsidRPr="00DE2BD9">
          <w:rPr>
            <w:rStyle w:val="Hyperlink"/>
            <w:noProof/>
          </w:rPr>
          <w:t>DIRECTIVES</w:t>
        </w:r>
        <w:r w:rsidR="00EA3482">
          <w:rPr>
            <w:noProof/>
            <w:webHidden/>
          </w:rPr>
          <w:tab/>
        </w:r>
        <w:r>
          <w:rPr>
            <w:noProof/>
            <w:webHidden/>
          </w:rPr>
          <w:fldChar w:fldCharType="begin"/>
        </w:r>
        <w:r w:rsidR="00EA3482">
          <w:rPr>
            <w:noProof/>
            <w:webHidden/>
          </w:rPr>
          <w:instrText xml:space="preserve"> PAGEREF _Toc399626253 \h </w:instrText>
        </w:r>
        <w:r>
          <w:rPr>
            <w:noProof/>
            <w:webHidden/>
          </w:rPr>
        </w:r>
        <w:r>
          <w:rPr>
            <w:noProof/>
            <w:webHidden/>
          </w:rPr>
          <w:fldChar w:fldCharType="separate"/>
        </w:r>
        <w:r w:rsidR="00C32B27">
          <w:rPr>
            <w:noProof/>
            <w:webHidden/>
          </w:rPr>
          <w:t>331</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54" w:history="1">
        <w:r w:rsidR="00EA3482" w:rsidRPr="00DE2BD9">
          <w:rPr>
            <w:rStyle w:val="Hyperlink"/>
            <w:noProof/>
          </w:rPr>
          <w:t>13.1</w:t>
        </w:r>
        <w:r w:rsidR="00EA3482">
          <w:rPr>
            <w:rFonts w:eastAsiaTheme="minorEastAsia" w:cstheme="minorBidi"/>
            <w:smallCaps w:val="0"/>
            <w:noProof/>
            <w:sz w:val="22"/>
            <w:szCs w:val="22"/>
            <w:lang w:val="en-US"/>
          </w:rPr>
          <w:tab/>
        </w:r>
        <w:r w:rsidR="00EA3482" w:rsidRPr="00DE2BD9">
          <w:rPr>
            <w:rStyle w:val="Hyperlink"/>
            <w:noProof/>
          </w:rPr>
          <w:t>DIRECTIVES PROVIDED BY COMMISSION AND THEIR COMPLIANCE BY LICENSEE</w:t>
        </w:r>
        <w:r w:rsidR="00EA3482">
          <w:rPr>
            <w:noProof/>
            <w:webHidden/>
          </w:rPr>
          <w:tab/>
        </w:r>
        <w:r>
          <w:rPr>
            <w:noProof/>
            <w:webHidden/>
          </w:rPr>
          <w:fldChar w:fldCharType="begin"/>
        </w:r>
        <w:r w:rsidR="00EA3482">
          <w:rPr>
            <w:noProof/>
            <w:webHidden/>
          </w:rPr>
          <w:instrText xml:space="preserve"> PAGEREF _Toc399626254 \h </w:instrText>
        </w:r>
        <w:r>
          <w:rPr>
            <w:noProof/>
            <w:webHidden/>
          </w:rPr>
        </w:r>
        <w:r>
          <w:rPr>
            <w:noProof/>
            <w:webHidden/>
          </w:rPr>
          <w:fldChar w:fldCharType="separate"/>
        </w:r>
        <w:r w:rsidR="00C32B27">
          <w:rPr>
            <w:noProof/>
            <w:webHidden/>
          </w:rPr>
          <w:t>331</w:t>
        </w:r>
        <w:r>
          <w:rPr>
            <w:noProof/>
            <w:webHidden/>
          </w:rPr>
          <w:fldChar w:fldCharType="end"/>
        </w:r>
      </w:hyperlink>
    </w:p>
    <w:p w:rsidR="00EA3482" w:rsidRDefault="005D68E7">
      <w:pPr>
        <w:pStyle w:val="TOC1"/>
        <w:tabs>
          <w:tab w:val="left" w:pos="960"/>
        </w:tabs>
        <w:rPr>
          <w:rFonts w:eastAsiaTheme="minorEastAsia" w:cstheme="minorBidi"/>
          <w:bCs w:val="0"/>
          <w:caps w:val="0"/>
          <w:noProof/>
          <w:sz w:val="22"/>
          <w:szCs w:val="22"/>
          <w:lang w:val="en-US"/>
        </w:rPr>
      </w:pPr>
      <w:hyperlink w:anchor="_Toc399626255" w:history="1">
        <w:r w:rsidR="00EA3482" w:rsidRPr="00DE2BD9">
          <w:rPr>
            <w:rStyle w:val="Hyperlink"/>
            <w:noProof/>
          </w:rPr>
          <w:t>14</w:t>
        </w:r>
        <w:r w:rsidR="00EA3482">
          <w:rPr>
            <w:rFonts w:eastAsiaTheme="minorEastAsia" w:cstheme="minorBidi"/>
            <w:bCs w:val="0"/>
            <w:caps w:val="0"/>
            <w:noProof/>
            <w:sz w:val="22"/>
            <w:szCs w:val="22"/>
            <w:lang w:val="en-US"/>
          </w:rPr>
          <w:tab/>
        </w:r>
        <w:r w:rsidR="00EA3482" w:rsidRPr="00DE2BD9">
          <w:rPr>
            <w:rStyle w:val="Hyperlink"/>
            <w:noProof/>
          </w:rPr>
          <w:t>APPLICABILITY OF THE ORDER</w:t>
        </w:r>
        <w:r w:rsidR="00EA3482">
          <w:rPr>
            <w:noProof/>
            <w:webHidden/>
          </w:rPr>
          <w:tab/>
        </w:r>
        <w:r>
          <w:rPr>
            <w:noProof/>
            <w:webHidden/>
          </w:rPr>
          <w:fldChar w:fldCharType="begin"/>
        </w:r>
        <w:r w:rsidR="00EA3482">
          <w:rPr>
            <w:noProof/>
            <w:webHidden/>
          </w:rPr>
          <w:instrText xml:space="preserve"> PAGEREF _Toc399626255 \h </w:instrText>
        </w:r>
        <w:r>
          <w:rPr>
            <w:noProof/>
            <w:webHidden/>
          </w:rPr>
        </w:r>
        <w:r>
          <w:rPr>
            <w:noProof/>
            <w:webHidden/>
          </w:rPr>
          <w:fldChar w:fldCharType="separate"/>
        </w:r>
        <w:r w:rsidR="00C32B27">
          <w:rPr>
            <w:noProof/>
            <w:webHidden/>
          </w:rPr>
          <w:t>351</w:t>
        </w:r>
        <w:r>
          <w:rPr>
            <w:noProof/>
            <w:webHidden/>
          </w:rPr>
          <w:fldChar w:fldCharType="end"/>
        </w:r>
      </w:hyperlink>
    </w:p>
    <w:p w:rsidR="00EA3482" w:rsidRDefault="005D68E7">
      <w:pPr>
        <w:pStyle w:val="TOC1"/>
        <w:tabs>
          <w:tab w:val="left" w:pos="960"/>
        </w:tabs>
        <w:rPr>
          <w:rFonts w:eastAsiaTheme="minorEastAsia" w:cstheme="minorBidi"/>
          <w:bCs w:val="0"/>
          <w:caps w:val="0"/>
          <w:noProof/>
          <w:sz w:val="22"/>
          <w:szCs w:val="22"/>
          <w:lang w:val="en-US"/>
        </w:rPr>
      </w:pPr>
      <w:hyperlink w:anchor="_Toc399626256" w:history="1">
        <w:r w:rsidR="00EA3482" w:rsidRPr="00DE2BD9">
          <w:rPr>
            <w:rStyle w:val="Hyperlink"/>
            <w:noProof/>
          </w:rPr>
          <w:t>15</w:t>
        </w:r>
        <w:r w:rsidR="00EA3482">
          <w:rPr>
            <w:rFonts w:eastAsiaTheme="minorEastAsia" w:cstheme="minorBidi"/>
            <w:bCs w:val="0"/>
            <w:caps w:val="0"/>
            <w:noProof/>
            <w:sz w:val="22"/>
            <w:szCs w:val="22"/>
            <w:lang w:val="en-US"/>
          </w:rPr>
          <w:tab/>
        </w:r>
        <w:r w:rsidR="00EA3482" w:rsidRPr="00DE2BD9">
          <w:rPr>
            <w:rStyle w:val="Hyperlink"/>
            <w:noProof/>
          </w:rPr>
          <w:t>ANNEXURE</w:t>
        </w:r>
        <w:r w:rsidR="00EA3482">
          <w:rPr>
            <w:noProof/>
            <w:webHidden/>
          </w:rPr>
          <w:tab/>
        </w:r>
        <w:r>
          <w:rPr>
            <w:noProof/>
            <w:webHidden/>
          </w:rPr>
          <w:fldChar w:fldCharType="begin"/>
        </w:r>
        <w:r w:rsidR="00EA3482">
          <w:rPr>
            <w:noProof/>
            <w:webHidden/>
          </w:rPr>
          <w:instrText xml:space="preserve"> PAGEREF _Toc399626256 \h </w:instrText>
        </w:r>
        <w:r>
          <w:rPr>
            <w:noProof/>
            <w:webHidden/>
          </w:rPr>
        </w:r>
        <w:r>
          <w:rPr>
            <w:noProof/>
            <w:webHidden/>
          </w:rPr>
          <w:fldChar w:fldCharType="separate"/>
        </w:r>
        <w:r w:rsidR="00C32B27">
          <w:rPr>
            <w:noProof/>
            <w:webHidden/>
          </w:rPr>
          <w:t>352</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57" w:history="1">
        <w:r w:rsidR="00EA3482" w:rsidRPr="00DE2BD9">
          <w:rPr>
            <w:rStyle w:val="Hyperlink"/>
            <w:noProof/>
          </w:rPr>
          <w:t>15.1</w:t>
        </w:r>
        <w:r w:rsidR="00EA3482">
          <w:rPr>
            <w:rFonts w:eastAsiaTheme="minorEastAsia" w:cstheme="minorBidi"/>
            <w:smallCaps w:val="0"/>
            <w:noProof/>
            <w:sz w:val="22"/>
            <w:szCs w:val="22"/>
            <w:lang w:val="en-US"/>
          </w:rPr>
          <w:tab/>
        </w:r>
        <w:r w:rsidR="00EA3482" w:rsidRPr="00DE2BD9">
          <w:rPr>
            <w:rStyle w:val="Hyperlink"/>
            <w:noProof/>
          </w:rPr>
          <w:t>COMMISSION FORECAST OF CONSUMPTION PARAMETERS FOR FY 2014-15</w:t>
        </w:r>
        <w:r w:rsidR="00EA3482">
          <w:rPr>
            <w:noProof/>
            <w:webHidden/>
          </w:rPr>
          <w:tab/>
        </w:r>
        <w:r>
          <w:rPr>
            <w:noProof/>
            <w:webHidden/>
          </w:rPr>
          <w:fldChar w:fldCharType="begin"/>
        </w:r>
        <w:r w:rsidR="00EA3482">
          <w:rPr>
            <w:noProof/>
            <w:webHidden/>
          </w:rPr>
          <w:instrText xml:space="preserve"> PAGEREF _Toc399626257 \h </w:instrText>
        </w:r>
        <w:r>
          <w:rPr>
            <w:noProof/>
            <w:webHidden/>
          </w:rPr>
        </w:r>
        <w:r>
          <w:rPr>
            <w:noProof/>
            <w:webHidden/>
          </w:rPr>
          <w:fldChar w:fldCharType="separate"/>
        </w:r>
        <w:r w:rsidR="00C32B27">
          <w:rPr>
            <w:noProof/>
            <w:webHidden/>
          </w:rPr>
          <w:t>352</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58" w:history="1">
        <w:r w:rsidR="00EA3482" w:rsidRPr="00DE2BD9">
          <w:rPr>
            <w:rStyle w:val="Hyperlink"/>
            <w:noProof/>
          </w:rPr>
          <w:t>15.2</w:t>
        </w:r>
        <w:r w:rsidR="00EA3482">
          <w:rPr>
            <w:rFonts w:eastAsiaTheme="minorEastAsia" w:cstheme="minorBidi"/>
            <w:smallCaps w:val="0"/>
            <w:noProof/>
            <w:sz w:val="22"/>
            <w:szCs w:val="22"/>
            <w:lang w:val="en-US"/>
          </w:rPr>
          <w:tab/>
        </w:r>
        <w:r w:rsidR="00EA3482" w:rsidRPr="00DE2BD9">
          <w:rPr>
            <w:rStyle w:val="Hyperlink"/>
            <w:noProof/>
          </w:rPr>
          <w:t>RATE SCHEDULE FOR FY 2014-15</w:t>
        </w:r>
        <w:r w:rsidR="00EA3482">
          <w:rPr>
            <w:noProof/>
            <w:webHidden/>
          </w:rPr>
          <w:tab/>
        </w:r>
        <w:r>
          <w:rPr>
            <w:noProof/>
            <w:webHidden/>
          </w:rPr>
          <w:fldChar w:fldCharType="begin"/>
        </w:r>
        <w:r w:rsidR="00EA3482">
          <w:rPr>
            <w:noProof/>
            <w:webHidden/>
          </w:rPr>
          <w:instrText xml:space="preserve"> PAGEREF _Toc399626258 \h </w:instrText>
        </w:r>
        <w:r>
          <w:rPr>
            <w:noProof/>
            <w:webHidden/>
          </w:rPr>
        </w:r>
        <w:r>
          <w:rPr>
            <w:noProof/>
            <w:webHidden/>
          </w:rPr>
          <w:fldChar w:fldCharType="separate"/>
        </w:r>
        <w:r w:rsidR="00C32B27">
          <w:rPr>
            <w:noProof/>
            <w:webHidden/>
          </w:rPr>
          <w:t>369</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59" w:history="1">
        <w:r w:rsidR="00EA3482" w:rsidRPr="00DE2BD9">
          <w:rPr>
            <w:rStyle w:val="Hyperlink"/>
            <w:rFonts w:ascii="Calibri" w:hAnsi="Calibri" w:cs="Arial"/>
            <w:noProof/>
            <w:kern w:val="32"/>
          </w:rPr>
          <w:t>15.3</w:t>
        </w:r>
        <w:r w:rsidR="00EA3482">
          <w:rPr>
            <w:rFonts w:eastAsiaTheme="minorEastAsia" w:cstheme="minorBidi"/>
            <w:smallCaps w:val="0"/>
            <w:noProof/>
            <w:sz w:val="22"/>
            <w:szCs w:val="22"/>
            <w:lang w:val="en-US"/>
          </w:rPr>
          <w:tab/>
        </w:r>
        <w:r w:rsidR="00EA3482" w:rsidRPr="00DE2BD9">
          <w:rPr>
            <w:rStyle w:val="Hyperlink"/>
            <w:rFonts w:ascii="Calibri" w:hAnsi="Calibri" w:cs="Arial"/>
            <w:noProof/>
            <w:kern w:val="32"/>
          </w:rPr>
          <w:t>SCHEDULE OF MISCELLANEOUS CHARGES</w:t>
        </w:r>
        <w:r w:rsidR="00EA3482">
          <w:rPr>
            <w:noProof/>
            <w:webHidden/>
          </w:rPr>
          <w:tab/>
        </w:r>
        <w:r>
          <w:rPr>
            <w:noProof/>
            <w:webHidden/>
          </w:rPr>
          <w:fldChar w:fldCharType="begin"/>
        </w:r>
        <w:r w:rsidR="00EA3482">
          <w:rPr>
            <w:noProof/>
            <w:webHidden/>
          </w:rPr>
          <w:instrText xml:space="preserve"> PAGEREF _Toc399626259 \h </w:instrText>
        </w:r>
        <w:r>
          <w:rPr>
            <w:noProof/>
            <w:webHidden/>
          </w:rPr>
        </w:r>
        <w:r>
          <w:rPr>
            <w:noProof/>
            <w:webHidden/>
          </w:rPr>
          <w:fldChar w:fldCharType="separate"/>
        </w:r>
        <w:r w:rsidR="00C32B27">
          <w:rPr>
            <w:noProof/>
            <w:webHidden/>
          </w:rPr>
          <w:t>417</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60" w:history="1">
        <w:r w:rsidR="00EA3482" w:rsidRPr="00DE2BD9">
          <w:rPr>
            <w:rStyle w:val="Hyperlink"/>
            <w:rFonts w:ascii="Calibri" w:hAnsi="Calibri" w:cs="Arial"/>
            <w:noProof/>
            <w:kern w:val="32"/>
          </w:rPr>
          <w:t>15.4</w:t>
        </w:r>
        <w:r w:rsidR="00EA3482">
          <w:rPr>
            <w:rFonts w:eastAsiaTheme="minorEastAsia" w:cstheme="minorBidi"/>
            <w:smallCaps w:val="0"/>
            <w:noProof/>
            <w:sz w:val="22"/>
            <w:szCs w:val="22"/>
            <w:lang w:val="en-US"/>
          </w:rPr>
          <w:tab/>
        </w:r>
        <w:r w:rsidR="00EA3482" w:rsidRPr="00DE2BD9">
          <w:rPr>
            <w:rStyle w:val="Hyperlink"/>
            <w:rFonts w:ascii="Calibri" w:hAnsi="Calibri" w:cs="Arial"/>
            <w:noProof/>
            <w:kern w:val="32"/>
          </w:rPr>
          <w:t>LIST OF POWER FACTOR APPARATUS</w:t>
        </w:r>
        <w:r w:rsidR="00EA3482">
          <w:rPr>
            <w:noProof/>
            <w:webHidden/>
          </w:rPr>
          <w:tab/>
        </w:r>
        <w:r>
          <w:rPr>
            <w:noProof/>
            <w:webHidden/>
          </w:rPr>
          <w:fldChar w:fldCharType="begin"/>
        </w:r>
        <w:r w:rsidR="00EA3482">
          <w:rPr>
            <w:noProof/>
            <w:webHidden/>
          </w:rPr>
          <w:instrText xml:space="preserve"> PAGEREF _Toc399626260 \h </w:instrText>
        </w:r>
        <w:r>
          <w:rPr>
            <w:noProof/>
            <w:webHidden/>
          </w:rPr>
        </w:r>
        <w:r>
          <w:rPr>
            <w:noProof/>
            <w:webHidden/>
          </w:rPr>
          <w:fldChar w:fldCharType="separate"/>
        </w:r>
        <w:r w:rsidR="00C32B27">
          <w:rPr>
            <w:noProof/>
            <w:webHidden/>
          </w:rPr>
          <w:t>419</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61" w:history="1">
        <w:r w:rsidR="00EA3482" w:rsidRPr="00DE2BD9">
          <w:rPr>
            <w:rStyle w:val="Hyperlink"/>
            <w:iCs/>
            <w:noProof/>
          </w:rPr>
          <w:t>15.5</w:t>
        </w:r>
        <w:r w:rsidR="00EA3482">
          <w:rPr>
            <w:rFonts w:eastAsiaTheme="minorEastAsia" w:cstheme="minorBidi"/>
            <w:smallCaps w:val="0"/>
            <w:noProof/>
            <w:sz w:val="22"/>
            <w:szCs w:val="22"/>
            <w:lang w:val="en-US"/>
          </w:rPr>
          <w:tab/>
        </w:r>
        <w:r w:rsidR="00EA3482" w:rsidRPr="00DE2BD9">
          <w:rPr>
            <w:rStyle w:val="Hyperlink"/>
            <w:iCs/>
            <w:noProof/>
          </w:rPr>
          <w:t>LIST OF PERSONS WHO HAVE ATTENDED PUBLIC HEARING AT KANPUR FOR ARR &amp; TARIFF DETERMINATION FOR FY 2014-15 AND TRUE-UP OF FY 2008-09 to FY 2011-12.</w:t>
        </w:r>
        <w:r w:rsidR="00EA3482">
          <w:rPr>
            <w:noProof/>
            <w:webHidden/>
          </w:rPr>
          <w:tab/>
        </w:r>
        <w:r>
          <w:rPr>
            <w:noProof/>
            <w:webHidden/>
          </w:rPr>
          <w:fldChar w:fldCharType="begin"/>
        </w:r>
        <w:r w:rsidR="00EA3482">
          <w:rPr>
            <w:noProof/>
            <w:webHidden/>
          </w:rPr>
          <w:instrText xml:space="preserve"> PAGEREF _Toc399626261 \h </w:instrText>
        </w:r>
        <w:r>
          <w:rPr>
            <w:noProof/>
            <w:webHidden/>
          </w:rPr>
        </w:r>
        <w:r>
          <w:rPr>
            <w:noProof/>
            <w:webHidden/>
          </w:rPr>
          <w:fldChar w:fldCharType="separate"/>
        </w:r>
        <w:r w:rsidR="00C32B27">
          <w:rPr>
            <w:noProof/>
            <w:webHidden/>
          </w:rPr>
          <w:t>422</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62" w:history="1">
        <w:r w:rsidR="00EA3482" w:rsidRPr="00DE2BD9">
          <w:rPr>
            <w:rStyle w:val="Hyperlink"/>
            <w:noProof/>
          </w:rPr>
          <w:t>15.6</w:t>
        </w:r>
        <w:r w:rsidR="00EA3482">
          <w:rPr>
            <w:rFonts w:eastAsiaTheme="minorEastAsia" w:cstheme="minorBidi"/>
            <w:smallCaps w:val="0"/>
            <w:noProof/>
            <w:sz w:val="22"/>
            <w:szCs w:val="22"/>
            <w:lang w:val="en-US"/>
          </w:rPr>
          <w:tab/>
        </w:r>
        <w:r w:rsidR="00EA3482" w:rsidRPr="00DE2BD9">
          <w:rPr>
            <w:rStyle w:val="Hyperlink"/>
            <w:noProof/>
          </w:rPr>
          <w:t>FUEL AND POWER PURCHASE COST ADJUSTMENT SURCHARGE</w:t>
        </w:r>
        <w:r w:rsidR="00EA3482">
          <w:rPr>
            <w:noProof/>
            <w:webHidden/>
          </w:rPr>
          <w:tab/>
        </w:r>
        <w:r>
          <w:rPr>
            <w:noProof/>
            <w:webHidden/>
          </w:rPr>
          <w:fldChar w:fldCharType="begin"/>
        </w:r>
        <w:r w:rsidR="00EA3482">
          <w:rPr>
            <w:noProof/>
            <w:webHidden/>
          </w:rPr>
          <w:instrText xml:space="preserve"> PAGEREF _Toc399626262 \h </w:instrText>
        </w:r>
        <w:r>
          <w:rPr>
            <w:noProof/>
            <w:webHidden/>
          </w:rPr>
        </w:r>
        <w:r>
          <w:rPr>
            <w:noProof/>
            <w:webHidden/>
          </w:rPr>
          <w:fldChar w:fldCharType="separate"/>
        </w:r>
        <w:r w:rsidR="00C32B27">
          <w:rPr>
            <w:noProof/>
            <w:webHidden/>
          </w:rPr>
          <w:t>424</w:t>
        </w:r>
        <w:r>
          <w:rPr>
            <w:noProof/>
            <w:webHidden/>
          </w:rPr>
          <w:fldChar w:fldCharType="end"/>
        </w:r>
      </w:hyperlink>
    </w:p>
    <w:p w:rsidR="00EA3482" w:rsidRDefault="005D68E7">
      <w:pPr>
        <w:pStyle w:val="TOC2"/>
        <w:tabs>
          <w:tab w:val="left" w:pos="960"/>
          <w:tab w:val="right" w:leader="dot" w:pos="8659"/>
        </w:tabs>
        <w:rPr>
          <w:rFonts w:eastAsiaTheme="minorEastAsia" w:cstheme="minorBidi"/>
          <w:smallCaps w:val="0"/>
          <w:noProof/>
          <w:sz w:val="22"/>
          <w:szCs w:val="22"/>
          <w:lang w:val="en-US"/>
        </w:rPr>
      </w:pPr>
      <w:hyperlink w:anchor="_Toc399626263" w:history="1">
        <w:r w:rsidR="00EA3482" w:rsidRPr="00DE2BD9">
          <w:rPr>
            <w:rStyle w:val="Hyperlink"/>
            <w:iCs/>
            <w:noProof/>
          </w:rPr>
          <w:t>15.7</w:t>
        </w:r>
        <w:r w:rsidR="00EA3482">
          <w:rPr>
            <w:rFonts w:eastAsiaTheme="minorEastAsia" w:cstheme="minorBidi"/>
            <w:smallCaps w:val="0"/>
            <w:noProof/>
            <w:sz w:val="22"/>
            <w:szCs w:val="22"/>
            <w:lang w:val="en-US"/>
          </w:rPr>
          <w:tab/>
        </w:r>
        <w:r w:rsidR="00EA3482" w:rsidRPr="00DE2BD9">
          <w:rPr>
            <w:rStyle w:val="Hyperlink"/>
            <w:iCs/>
            <w:noProof/>
          </w:rPr>
          <w:t>ACTION TAKEN REPORT ON THE DIRECTIONS ISSUED BY THE COMMISSION IN THE ARR / TARIFF ORDER FOR FY 2014-15</w:t>
        </w:r>
        <w:r w:rsidR="00EA3482">
          <w:rPr>
            <w:noProof/>
            <w:webHidden/>
          </w:rPr>
          <w:tab/>
        </w:r>
        <w:r>
          <w:rPr>
            <w:noProof/>
            <w:webHidden/>
          </w:rPr>
          <w:fldChar w:fldCharType="begin"/>
        </w:r>
        <w:r w:rsidR="00EA3482">
          <w:rPr>
            <w:noProof/>
            <w:webHidden/>
          </w:rPr>
          <w:instrText xml:space="preserve"> PAGEREF _Toc399626263 \h </w:instrText>
        </w:r>
        <w:r>
          <w:rPr>
            <w:noProof/>
            <w:webHidden/>
          </w:rPr>
        </w:r>
        <w:r>
          <w:rPr>
            <w:noProof/>
            <w:webHidden/>
          </w:rPr>
          <w:fldChar w:fldCharType="separate"/>
        </w:r>
        <w:r w:rsidR="00C32B27">
          <w:rPr>
            <w:noProof/>
            <w:webHidden/>
          </w:rPr>
          <w:t>429</w:t>
        </w:r>
        <w:r>
          <w:rPr>
            <w:noProof/>
            <w:webHidden/>
          </w:rPr>
          <w:fldChar w:fldCharType="end"/>
        </w:r>
      </w:hyperlink>
    </w:p>
    <w:p w:rsidR="00E76AD0" w:rsidRPr="00B53423" w:rsidRDefault="005D68E7" w:rsidP="0015232B">
      <w:pPr>
        <w:pStyle w:val="TOC2"/>
        <w:tabs>
          <w:tab w:val="left" w:pos="960"/>
          <w:tab w:val="right" w:leader="dot" w:pos="8659"/>
        </w:tabs>
        <w:jc w:val="center"/>
        <w:rPr>
          <w:b/>
          <w:caps/>
        </w:rPr>
      </w:pPr>
      <w:r w:rsidRPr="00B53423">
        <w:rPr>
          <w:b/>
          <w:caps/>
        </w:rPr>
        <w:fldChar w:fldCharType="end"/>
      </w:r>
    </w:p>
    <w:p w:rsidR="00E76AD0" w:rsidRPr="00B53423" w:rsidRDefault="00E76AD0" w:rsidP="0015232B">
      <w:pPr>
        <w:rPr>
          <w:rFonts w:asciiTheme="minorHAnsi" w:hAnsiTheme="minorHAnsi" w:cstheme="minorHAnsi"/>
          <w:sz w:val="20"/>
          <w:szCs w:val="20"/>
        </w:rPr>
      </w:pPr>
      <w:r w:rsidRPr="00B53423">
        <w:br w:type="page"/>
      </w:r>
    </w:p>
    <w:p w:rsidR="00E6329E" w:rsidRPr="00B53423" w:rsidRDefault="00E6329E" w:rsidP="0015232B">
      <w:pPr>
        <w:pStyle w:val="TOC2"/>
        <w:tabs>
          <w:tab w:val="left" w:pos="960"/>
          <w:tab w:val="right" w:leader="dot" w:pos="8659"/>
        </w:tabs>
        <w:jc w:val="center"/>
        <w:rPr>
          <w:b/>
          <w:sz w:val="28"/>
          <w:u w:val="single"/>
        </w:rPr>
      </w:pPr>
      <w:r w:rsidRPr="00B53423">
        <w:rPr>
          <w:b/>
          <w:sz w:val="28"/>
          <w:u w:val="single"/>
        </w:rPr>
        <w:t>LIST OF TABLES</w:t>
      </w:r>
    </w:p>
    <w:p w:rsidR="00E6329E" w:rsidRPr="00562551" w:rsidRDefault="00E6329E" w:rsidP="0015232B">
      <w:pPr>
        <w:jc w:val="center"/>
        <w:rPr>
          <w:rFonts w:asciiTheme="minorHAnsi" w:hAnsiTheme="minorHAnsi" w:cstheme="minorHAnsi"/>
          <w:b/>
          <w:sz w:val="18"/>
          <w:szCs w:val="18"/>
          <w:u w:val="single"/>
        </w:rPr>
      </w:pPr>
    </w:p>
    <w:p w:rsidR="00621C9E" w:rsidRPr="00621C9E" w:rsidRDefault="005D68E7">
      <w:pPr>
        <w:pStyle w:val="TableofFigures"/>
        <w:tabs>
          <w:tab w:val="right" w:leader="dot" w:pos="8659"/>
        </w:tabs>
        <w:rPr>
          <w:rFonts w:eastAsiaTheme="minorEastAsia" w:cstheme="minorBidi"/>
          <w:smallCaps w:val="0"/>
          <w:noProof/>
          <w:sz w:val="18"/>
          <w:szCs w:val="18"/>
          <w:lang w:val="en-US"/>
        </w:rPr>
      </w:pPr>
      <w:r w:rsidRPr="00562551">
        <w:rPr>
          <w:rStyle w:val="Hyperlink"/>
          <w:noProof/>
          <w:sz w:val="18"/>
          <w:szCs w:val="18"/>
        </w:rPr>
        <w:fldChar w:fldCharType="begin"/>
      </w:r>
      <w:r w:rsidR="00E6329E" w:rsidRPr="00562551">
        <w:rPr>
          <w:rStyle w:val="Hyperlink"/>
          <w:noProof/>
          <w:sz w:val="18"/>
          <w:szCs w:val="18"/>
        </w:rPr>
        <w:instrText xml:space="preserve"> TOC \h \z \c "Table" </w:instrText>
      </w:r>
      <w:r w:rsidRPr="00562551">
        <w:rPr>
          <w:rStyle w:val="Hyperlink"/>
          <w:noProof/>
          <w:sz w:val="18"/>
          <w:szCs w:val="18"/>
        </w:rPr>
        <w:fldChar w:fldCharType="separate"/>
      </w:r>
      <w:hyperlink w:anchor="_Toc399626311" w:history="1">
        <w:r w:rsidR="00621C9E" w:rsidRPr="00621C9E">
          <w:rPr>
            <w:rStyle w:val="Hyperlink"/>
            <w:rFonts w:eastAsiaTheme="majorEastAsia"/>
            <w:noProof/>
            <w:sz w:val="18"/>
            <w:szCs w:val="18"/>
            <w:lang w:val="en-US"/>
          </w:rPr>
          <w:t>Table 3</w:t>
        </w:r>
        <w:r w:rsidR="00621C9E" w:rsidRPr="00621C9E">
          <w:rPr>
            <w:rStyle w:val="Hyperlink"/>
            <w:rFonts w:eastAsiaTheme="majorEastAsia"/>
            <w:noProof/>
            <w:sz w:val="18"/>
            <w:szCs w:val="18"/>
            <w:lang w:val="en-US"/>
          </w:rPr>
          <w:noBreakHyphen/>
          <w:t>1: SCHEDULE OF PUBLIC HEARING AT VARIOUS LOCATIONS OF THE STATE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_Toc399626311 \h </w:instrText>
        </w:r>
        <w:r w:rsidRPr="00621C9E">
          <w:rPr>
            <w:noProof/>
            <w:webHidden/>
            <w:sz w:val="18"/>
            <w:szCs w:val="18"/>
          </w:rPr>
        </w:r>
        <w:r w:rsidRPr="00621C9E">
          <w:rPr>
            <w:noProof/>
            <w:webHidden/>
            <w:sz w:val="18"/>
            <w:szCs w:val="18"/>
          </w:rPr>
          <w:fldChar w:fldCharType="separate"/>
        </w:r>
        <w:r w:rsidR="00C32B27">
          <w:rPr>
            <w:noProof/>
            <w:webHidden/>
            <w:sz w:val="18"/>
            <w:szCs w:val="18"/>
          </w:rPr>
          <w:t>22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12"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1: ALLOWABLE POWER PURCHASE COST FOR FY 2008-09</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_Toc399626312 \h </w:instrText>
        </w:r>
        <w:r w:rsidRPr="00621C9E">
          <w:rPr>
            <w:noProof/>
            <w:webHidden/>
            <w:sz w:val="18"/>
            <w:szCs w:val="18"/>
          </w:rPr>
        </w:r>
        <w:r w:rsidRPr="00621C9E">
          <w:rPr>
            <w:noProof/>
            <w:webHidden/>
            <w:sz w:val="18"/>
            <w:szCs w:val="18"/>
          </w:rPr>
          <w:fldChar w:fldCharType="separate"/>
        </w:r>
        <w:r w:rsidR="00C32B27">
          <w:rPr>
            <w:noProof/>
            <w:webHidden/>
            <w:sz w:val="18"/>
            <w:szCs w:val="18"/>
          </w:rPr>
          <w:t>131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13"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2: ALLOWABLE TRANSMISSION CHARGES FOR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_Toc399626313 \h </w:instrText>
        </w:r>
        <w:r w:rsidRPr="00621C9E">
          <w:rPr>
            <w:noProof/>
            <w:webHidden/>
            <w:sz w:val="18"/>
            <w:szCs w:val="18"/>
          </w:rPr>
        </w:r>
        <w:r w:rsidRPr="00621C9E">
          <w:rPr>
            <w:noProof/>
            <w:webHidden/>
            <w:sz w:val="18"/>
            <w:szCs w:val="18"/>
          </w:rPr>
          <w:fldChar w:fldCharType="separate"/>
        </w:r>
        <w:r w:rsidR="00C32B27">
          <w:rPr>
            <w:noProof/>
            <w:webHidden/>
            <w:sz w:val="18"/>
            <w:szCs w:val="18"/>
          </w:rPr>
          <w:t>132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14"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 xml:space="preserve">3: </w:t>
        </w:r>
        <w:r w:rsidR="00621C9E" w:rsidRPr="00621C9E">
          <w:rPr>
            <w:rStyle w:val="Hyperlink"/>
            <w:rFonts w:eastAsiaTheme="majorEastAsia"/>
            <w:caps/>
            <w:noProof/>
            <w:sz w:val="18"/>
            <w:szCs w:val="18"/>
          </w:rPr>
          <w:t>Escalation Index</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_Toc399626314 \h </w:instrText>
        </w:r>
        <w:r w:rsidRPr="00621C9E">
          <w:rPr>
            <w:noProof/>
            <w:webHidden/>
            <w:sz w:val="18"/>
            <w:szCs w:val="18"/>
          </w:rPr>
        </w:r>
        <w:r w:rsidRPr="00621C9E">
          <w:rPr>
            <w:noProof/>
            <w:webHidden/>
            <w:sz w:val="18"/>
            <w:szCs w:val="18"/>
          </w:rPr>
          <w:fldChar w:fldCharType="separate"/>
        </w:r>
        <w:r w:rsidR="00C32B27">
          <w:rPr>
            <w:noProof/>
            <w:webHidden/>
            <w:sz w:val="18"/>
            <w:szCs w:val="18"/>
          </w:rPr>
          <w:t>135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15"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4: ALLOCATION OF O&amp;M EXPENSES IN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_Toc399626315 \h </w:instrText>
        </w:r>
        <w:r w:rsidRPr="00621C9E">
          <w:rPr>
            <w:noProof/>
            <w:webHidden/>
            <w:sz w:val="18"/>
            <w:szCs w:val="18"/>
          </w:rPr>
        </w:r>
        <w:r w:rsidRPr="00621C9E">
          <w:rPr>
            <w:noProof/>
            <w:webHidden/>
            <w:sz w:val="18"/>
            <w:szCs w:val="18"/>
          </w:rPr>
          <w:fldChar w:fldCharType="separate"/>
        </w:r>
        <w:r w:rsidR="00C32B27">
          <w:rPr>
            <w:noProof/>
            <w:webHidden/>
            <w:sz w:val="18"/>
            <w:szCs w:val="18"/>
          </w:rPr>
          <w:t>137</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16"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5: ALLOCATION OF O&amp;M EXPENSES AMONG DISTRIBUTION LICENSEES IN FY 2008-09</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_Toc399626316 \h </w:instrText>
        </w:r>
        <w:r w:rsidRPr="00621C9E">
          <w:rPr>
            <w:noProof/>
            <w:webHidden/>
            <w:sz w:val="18"/>
            <w:szCs w:val="18"/>
          </w:rPr>
        </w:r>
        <w:r w:rsidRPr="00621C9E">
          <w:rPr>
            <w:noProof/>
            <w:webHidden/>
            <w:sz w:val="18"/>
            <w:szCs w:val="18"/>
          </w:rPr>
          <w:fldChar w:fldCharType="separate"/>
        </w:r>
        <w:r w:rsidR="00C32B27">
          <w:rPr>
            <w:noProof/>
            <w:webHidden/>
            <w:sz w:val="18"/>
            <w:szCs w:val="18"/>
          </w:rPr>
          <w:t>137</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17"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6: O&amp;M EXPENSES APPROVED BY THE COMMISSION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_Toc399626317 \h </w:instrText>
        </w:r>
        <w:r w:rsidRPr="00621C9E">
          <w:rPr>
            <w:noProof/>
            <w:webHidden/>
            <w:sz w:val="18"/>
            <w:szCs w:val="18"/>
          </w:rPr>
        </w:r>
        <w:r w:rsidRPr="00621C9E">
          <w:rPr>
            <w:noProof/>
            <w:webHidden/>
            <w:sz w:val="18"/>
            <w:szCs w:val="18"/>
          </w:rPr>
          <w:fldChar w:fldCharType="separate"/>
        </w:r>
        <w:r w:rsidR="00C32B27">
          <w:rPr>
            <w:noProof/>
            <w:webHidden/>
            <w:sz w:val="18"/>
            <w:szCs w:val="18"/>
          </w:rPr>
          <w:t>139</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18"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7: REVISED COMPUTATION OF WEIGHTED AVERAGE RATE OF INTEREST SUBMITTED BY THE PETITIONER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_Toc399626318 \h </w:instrText>
        </w:r>
        <w:r w:rsidRPr="00621C9E">
          <w:rPr>
            <w:noProof/>
            <w:webHidden/>
            <w:sz w:val="18"/>
            <w:szCs w:val="18"/>
          </w:rPr>
        </w:r>
        <w:r w:rsidRPr="00621C9E">
          <w:rPr>
            <w:noProof/>
            <w:webHidden/>
            <w:sz w:val="18"/>
            <w:szCs w:val="18"/>
          </w:rPr>
          <w:fldChar w:fldCharType="separate"/>
        </w:r>
        <w:r w:rsidR="00C32B27">
          <w:rPr>
            <w:noProof/>
            <w:webHidden/>
            <w:sz w:val="18"/>
            <w:szCs w:val="18"/>
          </w:rPr>
          <w:t>141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19"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8: CAPITAL INVESTMENTS IN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_Toc399626319 \h </w:instrText>
        </w:r>
        <w:r w:rsidRPr="00621C9E">
          <w:rPr>
            <w:noProof/>
            <w:webHidden/>
            <w:sz w:val="18"/>
            <w:szCs w:val="18"/>
          </w:rPr>
        </w:r>
        <w:r w:rsidRPr="00621C9E">
          <w:rPr>
            <w:noProof/>
            <w:webHidden/>
            <w:sz w:val="18"/>
            <w:szCs w:val="18"/>
          </w:rPr>
          <w:fldChar w:fldCharType="separate"/>
        </w:r>
        <w:r w:rsidR="00C32B27">
          <w:rPr>
            <w:noProof/>
            <w:webHidden/>
            <w:sz w:val="18"/>
            <w:szCs w:val="18"/>
          </w:rPr>
          <w:t>142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20"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9:  CONSUMER CONTRIBUTION, GRANTS AND SUBSIDIES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_Toc399626320 \h </w:instrText>
        </w:r>
        <w:r w:rsidRPr="00621C9E">
          <w:rPr>
            <w:noProof/>
            <w:webHidden/>
            <w:sz w:val="18"/>
            <w:szCs w:val="18"/>
          </w:rPr>
        </w:r>
        <w:r w:rsidRPr="00621C9E">
          <w:rPr>
            <w:noProof/>
            <w:webHidden/>
            <w:sz w:val="18"/>
            <w:szCs w:val="18"/>
          </w:rPr>
          <w:fldChar w:fldCharType="separate"/>
        </w:r>
        <w:r w:rsidR="00C32B27">
          <w:rPr>
            <w:noProof/>
            <w:webHidden/>
            <w:sz w:val="18"/>
            <w:szCs w:val="18"/>
          </w:rPr>
          <w:t>143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21"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10: FINANCING OF THE CAPITAL INVESTMENTS IN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_Toc399626321 \h </w:instrText>
        </w:r>
        <w:r w:rsidRPr="00621C9E">
          <w:rPr>
            <w:noProof/>
            <w:webHidden/>
            <w:sz w:val="18"/>
            <w:szCs w:val="18"/>
          </w:rPr>
        </w:r>
        <w:r w:rsidRPr="00621C9E">
          <w:rPr>
            <w:noProof/>
            <w:webHidden/>
            <w:sz w:val="18"/>
            <w:szCs w:val="18"/>
          </w:rPr>
          <w:fldChar w:fldCharType="separate"/>
        </w:r>
        <w:r w:rsidR="00C32B27">
          <w:rPr>
            <w:noProof/>
            <w:webHidden/>
            <w:sz w:val="18"/>
            <w:szCs w:val="18"/>
          </w:rPr>
          <w:t>144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22"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11: APPROVED INTEREST ON LONG TERM LOAN FOR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_Toc399626322 \h </w:instrText>
        </w:r>
        <w:r w:rsidRPr="00621C9E">
          <w:rPr>
            <w:noProof/>
            <w:webHidden/>
            <w:sz w:val="18"/>
            <w:szCs w:val="18"/>
          </w:rPr>
        </w:r>
        <w:r w:rsidRPr="00621C9E">
          <w:rPr>
            <w:noProof/>
            <w:webHidden/>
            <w:sz w:val="18"/>
            <w:szCs w:val="18"/>
          </w:rPr>
          <w:fldChar w:fldCharType="separate"/>
        </w:r>
        <w:r w:rsidR="00C32B27">
          <w:rPr>
            <w:noProof/>
            <w:webHidden/>
            <w:sz w:val="18"/>
            <w:szCs w:val="18"/>
          </w:rPr>
          <w:t>145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23"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12: ALLOWABLE FINANCE CHARGES FOR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_Toc399626323 \h </w:instrText>
        </w:r>
        <w:r w:rsidRPr="00621C9E">
          <w:rPr>
            <w:noProof/>
            <w:webHidden/>
            <w:sz w:val="18"/>
            <w:szCs w:val="18"/>
          </w:rPr>
        </w:r>
        <w:r w:rsidRPr="00621C9E">
          <w:rPr>
            <w:noProof/>
            <w:webHidden/>
            <w:sz w:val="18"/>
            <w:szCs w:val="18"/>
          </w:rPr>
          <w:fldChar w:fldCharType="separate"/>
        </w:r>
        <w:r w:rsidR="00C32B27">
          <w:rPr>
            <w:noProof/>
            <w:webHidden/>
            <w:sz w:val="18"/>
            <w:szCs w:val="18"/>
          </w:rPr>
          <w:t>146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24"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13: ALLOWABLE INTEREST ON WORKING CAPITAL FOR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_Toc399626324 \h </w:instrText>
        </w:r>
        <w:r w:rsidRPr="00621C9E">
          <w:rPr>
            <w:noProof/>
            <w:webHidden/>
            <w:sz w:val="18"/>
            <w:szCs w:val="18"/>
          </w:rPr>
        </w:r>
        <w:r w:rsidRPr="00621C9E">
          <w:rPr>
            <w:noProof/>
            <w:webHidden/>
            <w:sz w:val="18"/>
            <w:szCs w:val="18"/>
          </w:rPr>
          <w:fldChar w:fldCharType="separate"/>
        </w:r>
        <w:r w:rsidR="00C32B27">
          <w:rPr>
            <w:noProof/>
            <w:webHidden/>
            <w:sz w:val="18"/>
            <w:szCs w:val="18"/>
          </w:rPr>
          <w:t>148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25"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14: ALLOWABLE INTEREST AND FINANCE CHARGES FOR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_Toc399626325 \h </w:instrText>
        </w:r>
        <w:r w:rsidRPr="00621C9E">
          <w:rPr>
            <w:noProof/>
            <w:webHidden/>
            <w:sz w:val="18"/>
            <w:szCs w:val="18"/>
          </w:rPr>
        </w:r>
        <w:r w:rsidRPr="00621C9E">
          <w:rPr>
            <w:noProof/>
            <w:webHidden/>
            <w:sz w:val="18"/>
            <w:szCs w:val="18"/>
          </w:rPr>
          <w:fldChar w:fldCharType="separate"/>
        </w:r>
        <w:r w:rsidR="00C32B27">
          <w:rPr>
            <w:noProof/>
            <w:webHidden/>
            <w:sz w:val="18"/>
            <w:szCs w:val="18"/>
          </w:rPr>
          <w:t>148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26"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15: ALLOWABLE DEPRECIATION SUBMITTED BY THE PETITIONER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_Toc399626326 \h </w:instrText>
        </w:r>
        <w:r w:rsidRPr="00621C9E">
          <w:rPr>
            <w:noProof/>
            <w:webHidden/>
            <w:sz w:val="18"/>
            <w:szCs w:val="18"/>
          </w:rPr>
        </w:r>
        <w:r w:rsidRPr="00621C9E">
          <w:rPr>
            <w:noProof/>
            <w:webHidden/>
            <w:sz w:val="18"/>
            <w:szCs w:val="18"/>
          </w:rPr>
          <w:fldChar w:fldCharType="separate"/>
        </w:r>
        <w:r w:rsidR="00C32B27">
          <w:rPr>
            <w:noProof/>
            <w:webHidden/>
            <w:sz w:val="18"/>
            <w:szCs w:val="18"/>
          </w:rPr>
          <w:t>150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27"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16: REVISED ALLOWABLE DEPRECIATION SUBMITTED BY THE PETITIONER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_Toc399626327 \h </w:instrText>
        </w:r>
        <w:r w:rsidRPr="00621C9E">
          <w:rPr>
            <w:noProof/>
            <w:webHidden/>
            <w:sz w:val="18"/>
            <w:szCs w:val="18"/>
          </w:rPr>
        </w:r>
        <w:r w:rsidRPr="00621C9E">
          <w:rPr>
            <w:noProof/>
            <w:webHidden/>
            <w:sz w:val="18"/>
            <w:szCs w:val="18"/>
          </w:rPr>
          <w:fldChar w:fldCharType="separate"/>
        </w:r>
        <w:r w:rsidR="00C32B27">
          <w:rPr>
            <w:noProof/>
            <w:webHidden/>
            <w:sz w:val="18"/>
            <w:szCs w:val="18"/>
          </w:rPr>
          <w:t>152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28"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17: DEPRECIATION EXPENSES FOR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_Toc399626328 \h </w:instrText>
        </w:r>
        <w:r w:rsidRPr="00621C9E">
          <w:rPr>
            <w:noProof/>
            <w:webHidden/>
            <w:sz w:val="18"/>
            <w:szCs w:val="18"/>
          </w:rPr>
        </w:r>
        <w:r w:rsidRPr="00621C9E">
          <w:rPr>
            <w:noProof/>
            <w:webHidden/>
            <w:sz w:val="18"/>
            <w:szCs w:val="18"/>
          </w:rPr>
          <w:fldChar w:fldCharType="separate"/>
        </w:r>
        <w:r w:rsidR="00C32B27">
          <w:rPr>
            <w:noProof/>
            <w:webHidden/>
            <w:sz w:val="18"/>
            <w:szCs w:val="18"/>
          </w:rPr>
          <w:t>152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29"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18: BREAK UP OF PRIOR PERIOD EXPENSES / (INCOMES)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_Toc399626329 \h </w:instrText>
        </w:r>
        <w:r w:rsidRPr="00621C9E">
          <w:rPr>
            <w:noProof/>
            <w:webHidden/>
            <w:sz w:val="18"/>
            <w:szCs w:val="18"/>
          </w:rPr>
        </w:r>
        <w:r w:rsidRPr="00621C9E">
          <w:rPr>
            <w:noProof/>
            <w:webHidden/>
            <w:sz w:val="18"/>
            <w:szCs w:val="18"/>
          </w:rPr>
          <w:fldChar w:fldCharType="separate"/>
        </w:r>
        <w:r w:rsidR="00C32B27">
          <w:rPr>
            <w:noProof/>
            <w:webHidden/>
            <w:sz w:val="18"/>
            <w:szCs w:val="18"/>
          </w:rPr>
          <w:t>154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30"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19: PRIOR PERIOD EXPENSES / INCOMES FOR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_Toc399626330 \h </w:instrText>
        </w:r>
        <w:r w:rsidRPr="00621C9E">
          <w:rPr>
            <w:noProof/>
            <w:webHidden/>
            <w:sz w:val="18"/>
            <w:szCs w:val="18"/>
          </w:rPr>
        </w:r>
        <w:r w:rsidRPr="00621C9E">
          <w:rPr>
            <w:noProof/>
            <w:webHidden/>
            <w:sz w:val="18"/>
            <w:szCs w:val="18"/>
          </w:rPr>
          <w:fldChar w:fldCharType="separate"/>
        </w:r>
        <w:r w:rsidR="00C32B27">
          <w:rPr>
            <w:noProof/>
            <w:webHidden/>
            <w:sz w:val="18"/>
            <w:szCs w:val="18"/>
          </w:rPr>
          <w:t>156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31"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20: OTHER EXPENSES FOR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_Toc399626331 \h </w:instrText>
        </w:r>
        <w:r w:rsidRPr="00621C9E">
          <w:rPr>
            <w:noProof/>
            <w:webHidden/>
            <w:sz w:val="18"/>
            <w:szCs w:val="18"/>
          </w:rPr>
        </w:r>
        <w:r w:rsidRPr="00621C9E">
          <w:rPr>
            <w:noProof/>
            <w:webHidden/>
            <w:sz w:val="18"/>
            <w:szCs w:val="18"/>
          </w:rPr>
          <w:fldChar w:fldCharType="separate"/>
        </w:r>
        <w:r w:rsidR="00C32B27">
          <w:rPr>
            <w:noProof/>
            <w:webHidden/>
            <w:sz w:val="18"/>
            <w:szCs w:val="18"/>
          </w:rPr>
          <w:t>156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32"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21: PROVISION FOR BAD AND DOUBTFUL DEBT FOR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_Toc399626332 \h </w:instrText>
        </w:r>
        <w:r w:rsidRPr="00621C9E">
          <w:rPr>
            <w:noProof/>
            <w:webHidden/>
            <w:sz w:val="18"/>
            <w:szCs w:val="18"/>
          </w:rPr>
        </w:r>
        <w:r w:rsidRPr="00621C9E">
          <w:rPr>
            <w:noProof/>
            <w:webHidden/>
            <w:sz w:val="18"/>
            <w:szCs w:val="18"/>
          </w:rPr>
          <w:fldChar w:fldCharType="separate"/>
        </w:r>
        <w:r w:rsidR="00C32B27">
          <w:rPr>
            <w:noProof/>
            <w:webHidden/>
            <w:sz w:val="18"/>
            <w:szCs w:val="18"/>
          </w:rPr>
          <w:t>159</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33"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22: NON TARIFF INCOME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_Toc399626333 \h </w:instrText>
        </w:r>
        <w:r w:rsidRPr="00621C9E">
          <w:rPr>
            <w:noProof/>
            <w:webHidden/>
            <w:sz w:val="18"/>
            <w:szCs w:val="18"/>
          </w:rPr>
        </w:r>
        <w:r w:rsidRPr="00621C9E">
          <w:rPr>
            <w:noProof/>
            <w:webHidden/>
            <w:sz w:val="18"/>
            <w:szCs w:val="18"/>
          </w:rPr>
          <w:fldChar w:fldCharType="separate"/>
        </w:r>
        <w:r w:rsidR="00C32B27">
          <w:rPr>
            <w:noProof/>
            <w:webHidden/>
            <w:sz w:val="18"/>
            <w:szCs w:val="18"/>
          </w:rPr>
          <w:t>160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34"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23: REVENUE FOR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_Toc399626334 \h </w:instrText>
        </w:r>
        <w:r w:rsidRPr="00621C9E">
          <w:rPr>
            <w:noProof/>
            <w:webHidden/>
            <w:sz w:val="18"/>
            <w:szCs w:val="18"/>
          </w:rPr>
        </w:r>
        <w:r w:rsidRPr="00621C9E">
          <w:rPr>
            <w:noProof/>
            <w:webHidden/>
            <w:sz w:val="18"/>
            <w:szCs w:val="18"/>
          </w:rPr>
          <w:fldChar w:fldCharType="separate"/>
        </w:r>
        <w:r w:rsidR="00C32B27">
          <w:rPr>
            <w:noProof/>
            <w:webHidden/>
            <w:sz w:val="18"/>
            <w:szCs w:val="18"/>
          </w:rPr>
          <w:t>161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35" w:history="1">
        <w:r w:rsidR="00621C9E" w:rsidRPr="00621C9E">
          <w:rPr>
            <w:rStyle w:val="Hyperlink"/>
            <w:rFonts w:eastAsiaTheme="majorEastAsia"/>
            <w:noProof/>
            <w:sz w:val="18"/>
            <w:szCs w:val="18"/>
          </w:rPr>
          <w:t>Table 4</w:t>
        </w:r>
        <w:r w:rsidR="00621C9E" w:rsidRPr="00621C9E">
          <w:rPr>
            <w:rStyle w:val="Hyperlink"/>
            <w:rFonts w:eastAsiaTheme="majorEastAsia"/>
            <w:noProof/>
            <w:sz w:val="18"/>
            <w:szCs w:val="18"/>
          </w:rPr>
          <w:noBreakHyphen/>
          <w:t>24: ARR, REVENUE AND GAP SUMMARY FOR FY 2008-09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_Toc399626335 \h </w:instrText>
        </w:r>
        <w:r w:rsidRPr="00621C9E">
          <w:rPr>
            <w:noProof/>
            <w:webHidden/>
            <w:sz w:val="18"/>
            <w:szCs w:val="18"/>
          </w:rPr>
        </w:r>
        <w:r w:rsidRPr="00621C9E">
          <w:rPr>
            <w:noProof/>
            <w:webHidden/>
            <w:sz w:val="18"/>
            <w:szCs w:val="18"/>
          </w:rPr>
          <w:fldChar w:fldCharType="separate"/>
        </w:r>
        <w:r w:rsidR="00C32B27">
          <w:rPr>
            <w:noProof/>
            <w:webHidden/>
            <w:sz w:val="18"/>
            <w:szCs w:val="18"/>
          </w:rPr>
          <w:t>162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36"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1: ALLOWABLE POWER PURCHASE COST FOR FY 2009-10</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_Toc399626336 \h </w:instrText>
        </w:r>
        <w:r w:rsidRPr="00621C9E">
          <w:rPr>
            <w:noProof/>
            <w:webHidden/>
            <w:sz w:val="18"/>
            <w:szCs w:val="18"/>
          </w:rPr>
        </w:r>
        <w:r w:rsidRPr="00621C9E">
          <w:rPr>
            <w:noProof/>
            <w:webHidden/>
            <w:sz w:val="18"/>
            <w:szCs w:val="18"/>
          </w:rPr>
          <w:fldChar w:fldCharType="separate"/>
        </w:r>
        <w:r w:rsidR="00C32B27">
          <w:rPr>
            <w:noProof/>
            <w:webHidden/>
            <w:sz w:val="18"/>
            <w:szCs w:val="18"/>
          </w:rPr>
          <w:t>165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37"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2: ALLOWABLE TRANSMISSION CHARGES FOR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_Toc399626337 \h </w:instrText>
        </w:r>
        <w:r w:rsidRPr="00621C9E">
          <w:rPr>
            <w:noProof/>
            <w:webHidden/>
            <w:sz w:val="18"/>
            <w:szCs w:val="18"/>
          </w:rPr>
        </w:r>
        <w:r w:rsidRPr="00621C9E">
          <w:rPr>
            <w:noProof/>
            <w:webHidden/>
            <w:sz w:val="18"/>
            <w:szCs w:val="18"/>
          </w:rPr>
          <w:fldChar w:fldCharType="separate"/>
        </w:r>
        <w:r w:rsidR="00C32B27">
          <w:rPr>
            <w:noProof/>
            <w:webHidden/>
            <w:sz w:val="18"/>
            <w:szCs w:val="18"/>
          </w:rPr>
          <w:t>166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38"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3: ALLOCATION OF O&amp;M EXPENSES IN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_Toc399626338 \h </w:instrText>
        </w:r>
        <w:r w:rsidRPr="00621C9E">
          <w:rPr>
            <w:noProof/>
            <w:webHidden/>
            <w:sz w:val="18"/>
            <w:szCs w:val="18"/>
          </w:rPr>
        </w:r>
        <w:r w:rsidRPr="00621C9E">
          <w:rPr>
            <w:noProof/>
            <w:webHidden/>
            <w:sz w:val="18"/>
            <w:szCs w:val="18"/>
          </w:rPr>
          <w:fldChar w:fldCharType="separate"/>
        </w:r>
        <w:r w:rsidR="00C32B27">
          <w:rPr>
            <w:noProof/>
            <w:webHidden/>
            <w:sz w:val="18"/>
            <w:szCs w:val="18"/>
          </w:rPr>
          <w:t>169</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39"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4: ALLOCATION OF O&amp;M EXPENSES AMONG DISTRIBUTION LICENSEES IN FY 2009-10</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_Toc399626339 \h </w:instrText>
        </w:r>
        <w:r w:rsidRPr="00621C9E">
          <w:rPr>
            <w:noProof/>
            <w:webHidden/>
            <w:sz w:val="18"/>
            <w:szCs w:val="18"/>
          </w:rPr>
        </w:r>
        <w:r w:rsidRPr="00621C9E">
          <w:rPr>
            <w:noProof/>
            <w:webHidden/>
            <w:sz w:val="18"/>
            <w:szCs w:val="18"/>
          </w:rPr>
          <w:fldChar w:fldCharType="separate"/>
        </w:r>
        <w:r w:rsidR="00C32B27">
          <w:rPr>
            <w:noProof/>
            <w:webHidden/>
            <w:sz w:val="18"/>
            <w:szCs w:val="18"/>
          </w:rPr>
          <w:t>170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40"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5: O&amp;M EXPENSES APPROVED BY THE COMMISSION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_Toc399626340 \h </w:instrText>
        </w:r>
        <w:r w:rsidRPr="00621C9E">
          <w:rPr>
            <w:noProof/>
            <w:webHidden/>
            <w:sz w:val="18"/>
            <w:szCs w:val="18"/>
          </w:rPr>
        </w:r>
        <w:r w:rsidRPr="00621C9E">
          <w:rPr>
            <w:noProof/>
            <w:webHidden/>
            <w:sz w:val="18"/>
            <w:szCs w:val="18"/>
          </w:rPr>
          <w:fldChar w:fldCharType="separate"/>
        </w:r>
        <w:r w:rsidR="00C32B27">
          <w:rPr>
            <w:noProof/>
            <w:webHidden/>
            <w:sz w:val="18"/>
            <w:szCs w:val="18"/>
          </w:rPr>
          <w:t>171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41"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6: REVISED COMPUTATION OF WEIGHTED AVERAGE RATE OF INTEREST SUBMITTED BY THE PETITIONER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_Toc399626341 \h </w:instrText>
        </w:r>
        <w:r w:rsidRPr="00621C9E">
          <w:rPr>
            <w:noProof/>
            <w:webHidden/>
            <w:sz w:val="18"/>
            <w:szCs w:val="18"/>
          </w:rPr>
        </w:r>
        <w:r w:rsidRPr="00621C9E">
          <w:rPr>
            <w:noProof/>
            <w:webHidden/>
            <w:sz w:val="18"/>
            <w:szCs w:val="18"/>
          </w:rPr>
          <w:fldChar w:fldCharType="separate"/>
        </w:r>
        <w:r w:rsidR="00C32B27">
          <w:rPr>
            <w:noProof/>
            <w:webHidden/>
            <w:sz w:val="18"/>
            <w:szCs w:val="18"/>
          </w:rPr>
          <w:t>173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42"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7: CAPITAL INVESTMENTS IN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_Toc399626342 \h </w:instrText>
        </w:r>
        <w:r w:rsidRPr="00621C9E">
          <w:rPr>
            <w:noProof/>
            <w:webHidden/>
            <w:sz w:val="18"/>
            <w:szCs w:val="18"/>
          </w:rPr>
        </w:r>
        <w:r w:rsidRPr="00621C9E">
          <w:rPr>
            <w:noProof/>
            <w:webHidden/>
            <w:sz w:val="18"/>
            <w:szCs w:val="18"/>
          </w:rPr>
          <w:fldChar w:fldCharType="separate"/>
        </w:r>
        <w:r w:rsidR="00C32B27">
          <w:rPr>
            <w:noProof/>
            <w:webHidden/>
            <w:sz w:val="18"/>
            <w:szCs w:val="18"/>
          </w:rPr>
          <w:t>174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43" w:history="1">
        <w:r w:rsidR="00621C9E" w:rsidRPr="00621C9E">
          <w:rPr>
            <w:rStyle w:val="Hyperlink"/>
            <w:rFonts w:eastAsiaTheme="majorEastAsia"/>
            <w:caps/>
            <w:noProof/>
            <w:sz w:val="18"/>
            <w:szCs w:val="18"/>
          </w:rPr>
          <w:t>Table 5</w:t>
        </w:r>
        <w:r w:rsidR="00621C9E" w:rsidRPr="00621C9E">
          <w:rPr>
            <w:rStyle w:val="Hyperlink"/>
            <w:rFonts w:eastAsiaTheme="majorEastAsia"/>
            <w:caps/>
            <w:noProof/>
            <w:sz w:val="18"/>
            <w:szCs w:val="18"/>
          </w:rPr>
          <w:noBreakHyphen/>
          <w:t>8:  Consumer Contribution, Grants and subsidies</w:t>
        </w:r>
        <w:r w:rsidR="00621C9E" w:rsidRPr="00621C9E">
          <w:rPr>
            <w:rStyle w:val="Hyperlink"/>
            <w:rFonts w:eastAsiaTheme="majorEastAsia"/>
            <w:noProof/>
            <w:sz w:val="18"/>
            <w:szCs w:val="18"/>
          </w:rPr>
          <w:t xml:space="preserve">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_Toc399626343 \h </w:instrText>
        </w:r>
        <w:r w:rsidRPr="00621C9E">
          <w:rPr>
            <w:noProof/>
            <w:webHidden/>
            <w:sz w:val="18"/>
            <w:szCs w:val="18"/>
          </w:rPr>
        </w:r>
        <w:r w:rsidRPr="00621C9E">
          <w:rPr>
            <w:noProof/>
            <w:webHidden/>
            <w:sz w:val="18"/>
            <w:szCs w:val="18"/>
          </w:rPr>
          <w:fldChar w:fldCharType="separate"/>
        </w:r>
        <w:r w:rsidR="00C32B27">
          <w:rPr>
            <w:noProof/>
            <w:webHidden/>
            <w:sz w:val="18"/>
            <w:szCs w:val="18"/>
          </w:rPr>
          <w:t>174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44"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9: FINANCING OF THE CAPITAL INVESTMENTS IN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_Toc399626344 \h </w:instrText>
        </w:r>
        <w:r w:rsidRPr="00621C9E">
          <w:rPr>
            <w:noProof/>
            <w:webHidden/>
            <w:sz w:val="18"/>
            <w:szCs w:val="18"/>
          </w:rPr>
        </w:r>
        <w:r w:rsidRPr="00621C9E">
          <w:rPr>
            <w:noProof/>
            <w:webHidden/>
            <w:sz w:val="18"/>
            <w:szCs w:val="18"/>
          </w:rPr>
          <w:fldChar w:fldCharType="separate"/>
        </w:r>
        <w:r w:rsidR="00C32B27">
          <w:rPr>
            <w:noProof/>
            <w:webHidden/>
            <w:sz w:val="18"/>
            <w:szCs w:val="18"/>
          </w:rPr>
          <w:t>175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45"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10: APPROVED INTEREST ON LONG TERM LOAN FOR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_Toc399626345 \h </w:instrText>
        </w:r>
        <w:r w:rsidRPr="00621C9E">
          <w:rPr>
            <w:noProof/>
            <w:webHidden/>
            <w:sz w:val="18"/>
            <w:szCs w:val="18"/>
          </w:rPr>
        </w:r>
        <w:r w:rsidRPr="00621C9E">
          <w:rPr>
            <w:noProof/>
            <w:webHidden/>
            <w:sz w:val="18"/>
            <w:szCs w:val="18"/>
          </w:rPr>
          <w:fldChar w:fldCharType="separate"/>
        </w:r>
        <w:r w:rsidR="00C32B27">
          <w:rPr>
            <w:noProof/>
            <w:webHidden/>
            <w:sz w:val="18"/>
            <w:szCs w:val="18"/>
          </w:rPr>
          <w:t>176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46"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11: ALLOWABLE FINANCE CHARGES FOR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_Toc399626346 \h </w:instrText>
        </w:r>
        <w:r w:rsidRPr="00621C9E">
          <w:rPr>
            <w:noProof/>
            <w:webHidden/>
            <w:sz w:val="18"/>
            <w:szCs w:val="18"/>
          </w:rPr>
        </w:r>
        <w:r w:rsidRPr="00621C9E">
          <w:rPr>
            <w:noProof/>
            <w:webHidden/>
            <w:sz w:val="18"/>
            <w:szCs w:val="18"/>
          </w:rPr>
          <w:fldChar w:fldCharType="separate"/>
        </w:r>
        <w:r w:rsidR="00C32B27">
          <w:rPr>
            <w:noProof/>
            <w:webHidden/>
            <w:sz w:val="18"/>
            <w:szCs w:val="18"/>
          </w:rPr>
          <w:t>177</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47"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12: ALLOWABLE INTEREST ON WORKING CAPITAL FOR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_Toc399626347 \h </w:instrText>
        </w:r>
        <w:r w:rsidRPr="00621C9E">
          <w:rPr>
            <w:noProof/>
            <w:webHidden/>
            <w:sz w:val="18"/>
            <w:szCs w:val="18"/>
          </w:rPr>
        </w:r>
        <w:r w:rsidRPr="00621C9E">
          <w:rPr>
            <w:noProof/>
            <w:webHidden/>
            <w:sz w:val="18"/>
            <w:szCs w:val="18"/>
          </w:rPr>
          <w:fldChar w:fldCharType="separate"/>
        </w:r>
        <w:r w:rsidR="00C32B27">
          <w:rPr>
            <w:noProof/>
            <w:webHidden/>
            <w:sz w:val="18"/>
            <w:szCs w:val="18"/>
          </w:rPr>
          <w:t>178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48"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13: ALLOWABLE INTEREST AND FINANCE CHARGES FOR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_Toc399626348 \h </w:instrText>
        </w:r>
        <w:r w:rsidRPr="00621C9E">
          <w:rPr>
            <w:noProof/>
            <w:webHidden/>
            <w:sz w:val="18"/>
            <w:szCs w:val="18"/>
          </w:rPr>
        </w:r>
        <w:r w:rsidRPr="00621C9E">
          <w:rPr>
            <w:noProof/>
            <w:webHidden/>
            <w:sz w:val="18"/>
            <w:szCs w:val="18"/>
          </w:rPr>
          <w:fldChar w:fldCharType="separate"/>
        </w:r>
        <w:r w:rsidR="00C32B27">
          <w:rPr>
            <w:noProof/>
            <w:webHidden/>
            <w:sz w:val="18"/>
            <w:szCs w:val="18"/>
          </w:rPr>
          <w:t>179</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49"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14: ALLOWABLE DEPRECIATION SUBMITTED BY THE PETITIONER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_Toc399626349 \h </w:instrText>
        </w:r>
        <w:r w:rsidRPr="00621C9E">
          <w:rPr>
            <w:noProof/>
            <w:webHidden/>
            <w:sz w:val="18"/>
            <w:szCs w:val="18"/>
          </w:rPr>
        </w:r>
        <w:r w:rsidRPr="00621C9E">
          <w:rPr>
            <w:noProof/>
            <w:webHidden/>
            <w:sz w:val="18"/>
            <w:szCs w:val="18"/>
          </w:rPr>
          <w:fldChar w:fldCharType="separate"/>
        </w:r>
        <w:r w:rsidR="00C32B27">
          <w:rPr>
            <w:noProof/>
            <w:webHidden/>
            <w:sz w:val="18"/>
            <w:szCs w:val="18"/>
          </w:rPr>
          <w:t>181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50"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15: REVISED ALLOWABLE DEPRECIATION SUBMITTED BY THE PETITIONER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_Toc399626350 \h </w:instrText>
        </w:r>
        <w:r w:rsidRPr="00621C9E">
          <w:rPr>
            <w:noProof/>
            <w:webHidden/>
            <w:sz w:val="18"/>
            <w:szCs w:val="18"/>
          </w:rPr>
        </w:r>
        <w:r w:rsidRPr="00621C9E">
          <w:rPr>
            <w:noProof/>
            <w:webHidden/>
            <w:sz w:val="18"/>
            <w:szCs w:val="18"/>
          </w:rPr>
          <w:fldChar w:fldCharType="separate"/>
        </w:r>
        <w:r w:rsidR="00C32B27">
          <w:rPr>
            <w:noProof/>
            <w:webHidden/>
            <w:sz w:val="18"/>
            <w:szCs w:val="18"/>
          </w:rPr>
          <w:t>182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51"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16: DEPRECIATION EXPENSES FOR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_Toc399626351 \h </w:instrText>
        </w:r>
        <w:r w:rsidRPr="00621C9E">
          <w:rPr>
            <w:noProof/>
            <w:webHidden/>
            <w:sz w:val="18"/>
            <w:szCs w:val="18"/>
          </w:rPr>
        </w:r>
        <w:r w:rsidRPr="00621C9E">
          <w:rPr>
            <w:noProof/>
            <w:webHidden/>
            <w:sz w:val="18"/>
            <w:szCs w:val="18"/>
          </w:rPr>
          <w:fldChar w:fldCharType="separate"/>
        </w:r>
        <w:r w:rsidR="00C32B27">
          <w:rPr>
            <w:noProof/>
            <w:webHidden/>
            <w:sz w:val="18"/>
            <w:szCs w:val="18"/>
          </w:rPr>
          <w:t>183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52"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17: BREAK UP OF PRIOR PERIOD EXPENSES / INCOMES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_Toc399626352 \h </w:instrText>
        </w:r>
        <w:r w:rsidRPr="00621C9E">
          <w:rPr>
            <w:noProof/>
            <w:webHidden/>
            <w:sz w:val="18"/>
            <w:szCs w:val="18"/>
          </w:rPr>
        </w:r>
        <w:r w:rsidRPr="00621C9E">
          <w:rPr>
            <w:noProof/>
            <w:webHidden/>
            <w:sz w:val="18"/>
            <w:szCs w:val="18"/>
          </w:rPr>
          <w:fldChar w:fldCharType="separate"/>
        </w:r>
        <w:r w:rsidR="00C32B27">
          <w:rPr>
            <w:noProof/>
            <w:webHidden/>
            <w:sz w:val="18"/>
            <w:szCs w:val="18"/>
          </w:rPr>
          <w:t>184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53"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18: PRIOR PERIOD EXPENSES / INCOMES FOR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_Toc399626353 \h </w:instrText>
        </w:r>
        <w:r w:rsidRPr="00621C9E">
          <w:rPr>
            <w:noProof/>
            <w:webHidden/>
            <w:sz w:val="18"/>
            <w:szCs w:val="18"/>
          </w:rPr>
        </w:r>
        <w:r w:rsidRPr="00621C9E">
          <w:rPr>
            <w:noProof/>
            <w:webHidden/>
            <w:sz w:val="18"/>
            <w:szCs w:val="18"/>
          </w:rPr>
          <w:fldChar w:fldCharType="separate"/>
        </w:r>
        <w:r w:rsidR="00C32B27">
          <w:rPr>
            <w:noProof/>
            <w:webHidden/>
            <w:sz w:val="18"/>
            <w:szCs w:val="18"/>
          </w:rPr>
          <w:t>185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54"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19: OTHER EXPENSES FOR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_Toc399626354 \h </w:instrText>
        </w:r>
        <w:r w:rsidRPr="00621C9E">
          <w:rPr>
            <w:noProof/>
            <w:webHidden/>
            <w:sz w:val="18"/>
            <w:szCs w:val="18"/>
          </w:rPr>
        </w:r>
        <w:r w:rsidRPr="00621C9E">
          <w:rPr>
            <w:noProof/>
            <w:webHidden/>
            <w:sz w:val="18"/>
            <w:szCs w:val="18"/>
          </w:rPr>
          <w:fldChar w:fldCharType="separate"/>
        </w:r>
        <w:r w:rsidR="00C32B27">
          <w:rPr>
            <w:noProof/>
            <w:webHidden/>
            <w:sz w:val="18"/>
            <w:szCs w:val="18"/>
          </w:rPr>
          <w:t>185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55"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20: PROVISION FOR BAD AND DOUBTFUL DEBT FOR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_Toc399626355 \h </w:instrText>
        </w:r>
        <w:r w:rsidRPr="00621C9E">
          <w:rPr>
            <w:noProof/>
            <w:webHidden/>
            <w:sz w:val="18"/>
            <w:szCs w:val="18"/>
          </w:rPr>
        </w:r>
        <w:r w:rsidRPr="00621C9E">
          <w:rPr>
            <w:noProof/>
            <w:webHidden/>
            <w:sz w:val="18"/>
            <w:szCs w:val="18"/>
          </w:rPr>
          <w:fldChar w:fldCharType="separate"/>
        </w:r>
        <w:r w:rsidR="00C32B27">
          <w:rPr>
            <w:noProof/>
            <w:webHidden/>
            <w:sz w:val="18"/>
            <w:szCs w:val="18"/>
          </w:rPr>
          <w:t>186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56"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21: NON TARIFF INCOME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_Toc399626356 \h </w:instrText>
        </w:r>
        <w:r w:rsidRPr="00621C9E">
          <w:rPr>
            <w:noProof/>
            <w:webHidden/>
            <w:sz w:val="18"/>
            <w:szCs w:val="18"/>
          </w:rPr>
        </w:r>
        <w:r w:rsidRPr="00621C9E">
          <w:rPr>
            <w:noProof/>
            <w:webHidden/>
            <w:sz w:val="18"/>
            <w:szCs w:val="18"/>
          </w:rPr>
          <w:fldChar w:fldCharType="separate"/>
        </w:r>
        <w:r w:rsidR="00C32B27">
          <w:rPr>
            <w:noProof/>
            <w:webHidden/>
            <w:sz w:val="18"/>
            <w:szCs w:val="18"/>
          </w:rPr>
          <w:t>187</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57"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22: REVENUE FOR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_Toc399626357 \h </w:instrText>
        </w:r>
        <w:r w:rsidRPr="00621C9E">
          <w:rPr>
            <w:noProof/>
            <w:webHidden/>
            <w:sz w:val="18"/>
            <w:szCs w:val="18"/>
          </w:rPr>
        </w:r>
        <w:r w:rsidRPr="00621C9E">
          <w:rPr>
            <w:noProof/>
            <w:webHidden/>
            <w:sz w:val="18"/>
            <w:szCs w:val="18"/>
          </w:rPr>
          <w:fldChar w:fldCharType="separate"/>
        </w:r>
        <w:r w:rsidR="00C32B27">
          <w:rPr>
            <w:noProof/>
            <w:webHidden/>
            <w:sz w:val="18"/>
            <w:szCs w:val="18"/>
          </w:rPr>
          <w:t>188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58" w:history="1">
        <w:r w:rsidR="00621C9E" w:rsidRPr="00621C9E">
          <w:rPr>
            <w:rStyle w:val="Hyperlink"/>
            <w:rFonts w:eastAsiaTheme="majorEastAsia"/>
            <w:noProof/>
            <w:sz w:val="18"/>
            <w:szCs w:val="18"/>
          </w:rPr>
          <w:t>Table 5</w:t>
        </w:r>
        <w:r w:rsidR="00621C9E" w:rsidRPr="00621C9E">
          <w:rPr>
            <w:rStyle w:val="Hyperlink"/>
            <w:rFonts w:eastAsiaTheme="majorEastAsia"/>
            <w:noProof/>
            <w:sz w:val="18"/>
            <w:szCs w:val="18"/>
          </w:rPr>
          <w:noBreakHyphen/>
          <w:t>23: ARR, REVENUE AND GAP SUMMARY FOR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_Toc399626358 \h </w:instrText>
        </w:r>
        <w:r w:rsidRPr="00621C9E">
          <w:rPr>
            <w:noProof/>
            <w:webHidden/>
            <w:sz w:val="18"/>
            <w:szCs w:val="18"/>
          </w:rPr>
        </w:r>
        <w:r w:rsidRPr="00621C9E">
          <w:rPr>
            <w:noProof/>
            <w:webHidden/>
            <w:sz w:val="18"/>
            <w:szCs w:val="18"/>
          </w:rPr>
          <w:fldChar w:fldCharType="separate"/>
        </w:r>
        <w:r w:rsidR="00C32B27">
          <w:rPr>
            <w:noProof/>
            <w:webHidden/>
            <w:sz w:val="18"/>
            <w:szCs w:val="18"/>
          </w:rPr>
          <w:t>189</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59"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1: ALLOWABLE POWER PURCHASE COST FOR FY 2010-11</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_Toc399626359 \h </w:instrText>
        </w:r>
        <w:r w:rsidRPr="00621C9E">
          <w:rPr>
            <w:noProof/>
            <w:webHidden/>
            <w:sz w:val="18"/>
            <w:szCs w:val="18"/>
          </w:rPr>
        </w:r>
        <w:r w:rsidRPr="00621C9E">
          <w:rPr>
            <w:noProof/>
            <w:webHidden/>
            <w:sz w:val="18"/>
            <w:szCs w:val="18"/>
          </w:rPr>
          <w:fldChar w:fldCharType="separate"/>
        </w:r>
        <w:r w:rsidR="00C32B27">
          <w:rPr>
            <w:noProof/>
            <w:webHidden/>
            <w:sz w:val="18"/>
            <w:szCs w:val="18"/>
          </w:rPr>
          <w:t>192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60"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2: ALLOWABLE TRANSMISSION CHARGES FOR FY 2010-11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_Toc399626360 \h </w:instrText>
        </w:r>
        <w:r w:rsidRPr="00621C9E">
          <w:rPr>
            <w:noProof/>
            <w:webHidden/>
            <w:sz w:val="18"/>
            <w:szCs w:val="18"/>
          </w:rPr>
        </w:r>
        <w:r w:rsidRPr="00621C9E">
          <w:rPr>
            <w:noProof/>
            <w:webHidden/>
            <w:sz w:val="18"/>
            <w:szCs w:val="18"/>
          </w:rPr>
          <w:fldChar w:fldCharType="separate"/>
        </w:r>
        <w:r w:rsidR="00C32B27">
          <w:rPr>
            <w:noProof/>
            <w:webHidden/>
            <w:sz w:val="18"/>
            <w:szCs w:val="18"/>
          </w:rPr>
          <w:t>193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61" w:history="1">
        <w:r w:rsidR="00621C9E" w:rsidRPr="00621C9E">
          <w:rPr>
            <w:rStyle w:val="Hyperlink"/>
            <w:rFonts w:eastAsiaTheme="majorEastAsia"/>
            <w:caps/>
            <w:noProof/>
            <w:sz w:val="18"/>
            <w:szCs w:val="18"/>
          </w:rPr>
          <w:t>Table 6</w:t>
        </w:r>
        <w:r w:rsidR="00621C9E" w:rsidRPr="00621C9E">
          <w:rPr>
            <w:rStyle w:val="Hyperlink"/>
            <w:rFonts w:eastAsiaTheme="majorEastAsia"/>
            <w:caps/>
            <w:noProof/>
            <w:sz w:val="18"/>
            <w:szCs w:val="18"/>
          </w:rPr>
          <w:noBreakHyphen/>
          <w:t>3:</w:t>
        </w:r>
        <w:r w:rsidR="00621C9E" w:rsidRPr="00621C9E">
          <w:rPr>
            <w:rStyle w:val="Hyperlink"/>
            <w:rFonts w:eastAsiaTheme="majorEastAsia"/>
            <w:noProof/>
            <w:sz w:val="18"/>
            <w:szCs w:val="18"/>
          </w:rPr>
          <w:t xml:space="preserve"> </w:t>
        </w:r>
        <w:r w:rsidR="00621C9E" w:rsidRPr="00621C9E">
          <w:rPr>
            <w:rStyle w:val="Hyperlink"/>
            <w:rFonts w:eastAsiaTheme="majorEastAsia"/>
            <w:caps/>
            <w:noProof/>
            <w:sz w:val="18"/>
            <w:szCs w:val="18"/>
          </w:rPr>
          <w:t>Allocation of O&amp;M EXPENSES IN FY 2010-11</w:t>
        </w:r>
        <w:r w:rsidR="00621C9E" w:rsidRPr="00621C9E">
          <w:rPr>
            <w:rStyle w:val="Hyperlink"/>
            <w:rFonts w:eastAsiaTheme="majorEastAsia"/>
            <w:noProof/>
            <w:sz w:val="18"/>
            <w:szCs w:val="18"/>
          </w:rPr>
          <w:t xml:space="preserve">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_Toc399626361 \h </w:instrText>
        </w:r>
        <w:r w:rsidRPr="00621C9E">
          <w:rPr>
            <w:noProof/>
            <w:webHidden/>
            <w:sz w:val="18"/>
            <w:szCs w:val="18"/>
          </w:rPr>
        </w:r>
        <w:r w:rsidRPr="00621C9E">
          <w:rPr>
            <w:noProof/>
            <w:webHidden/>
            <w:sz w:val="18"/>
            <w:szCs w:val="18"/>
          </w:rPr>
          <w:fldChar w:fldCharType="separate"/>
        </w:r>
        <w:r w:rsidR="00C32B27">
          <w:rPr>
            <w:noProof/>
            <w:webHidden/>
            <w:sz w:val="18"/>
            <w:szCs w:val="18"/>
          </w:rPr>
          <w:t>195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62" w:history="1">
        <w:r w:rsidR="00621C9E" w:rsidRPr="00621C9E">
          <w:rPr>
            <w:rStyle w:val="Hyperlink"/>
            <w:rFonts w:eastAsiaTheme="majorEastAsia"/>
            <w:caps/>
            <w:noProof/>
            <w:sz w:val="18"/>
            <w:szCs w:val="18"/>
          </w:rPr>
          <w:t>Table 6</w:t>
        </w:r>
        <w:r w:rsidR="00621C9E" w:rsidRPr="00621C9E">
          <w:rPr>
            <w:rStyle w:val="Hyperlink"/>
            <w:rFonts w:eastAsiaTheme="majorEastAsia"/>
            <w:caps/>
            <w:noProof/>
            <w:sz w:val="18"/>
            <w:szCs w:val="18"/>
          </w:rPr>
          <w:noBreakHyphen/>
          <w:t>4: Allocation of O&amp;M expenses among DisTRIBUTION LICENSEES in FY 2010-11</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_Toc399626362 \h </w:instrText>
        </w:r>
        <w:r w:rsidRPr="00621C9E">
          <w:rPr>
            <w:noProof/>
            <w:webHidden/>
            <w:sz w:val="18"/>
            <w:szCs w:val="18"/>
          </w:rPr>
        </w:r>
        <w:r w:rsidRPr="00621C9E">
          <w:rPr>
            <w:noProof/>
            <w:webHidden/>
            <w:sz w:val="18"/>
            <w:szCs w:val="18"/>
          </w:rPr>
          <w:fldChar w:fldCharType="separate"/>
        </w:r>
        <w:r w:rsidR="00C32B27">
          <w:rPr>
            <w:noProof/>
            <w:webHidden/>
            <w:sz w:val="18"/>
            <w:szCs w:val="18"/>
          </w:rPr>
          <w:t>196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63"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5: O&amp;M EXPENSES APPROVED BY THE COMMISSION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_Toc399626363 \h </w:instrText>
        </w:r>
        <w:r w:rsidRPr="00621C9E">
          <w:rPr>
            <w:noProof/>
            <w:webHidden/>
            <w:sz w:val="18"/>
            <w:szCs w:val="18"/>
          </w:rPr>
        </w:r>
        <w:r w:rsidRPr="00621C9E">
          <w:rPr>
            <w:noProof/>
            <w:webHidden/>
            <w:sz w:val="18"/>
            <w:szCs w:val="18"/>
          </w:rPr>
          <w:fldChar w:fldCharType="separate"/>
        </w:r>
        <w:r w:rsidR="00C32B27">
          <w:rPr>
            <w:noProof/>
            <w:webHidden/>
            <w:sz w:val="18"/>
            <w:szCs w:val="18"/>
          </w:rPr>
          <w:t>197</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64" w:history="1">
        <w:r w:rsidR="00621C9E" w:rsidRPr="00621C9E">
          <w:rPr>
            <w:rStyle w:val="Hyperlink"/>
            <w:rFonts w:eastAsiaTheme="majorEastAsia"/>
            <w:caps/>
            <w:noProof/>
            <w:sz w:val="18"/>
            <w:szCs w:val="18"/>
          </w:rPr>
          <w:t>Table 6</w:t>
        </w:r>
        <w:r w:rsidR="00621C9E" w:rsidRPr="00621C9E">
          <w:rPr>
            <w:rStyle w:val="Hyperlink"/>
            <w:rFonts w:eastAsiaTheme="majorEastAsia"/>
            <w:caps/>
            <w:noProof/>
            <w:sz w:val="18"/>
            <w:szCs w:val="18"/>
          </w:rPr>
          <w:noBreakHyphen/>
          <w:t xml:space="preserve">6: </w:t>
        </w:r>
        <w:r w:rsidR="00621C9E" w:rsidRPr="00621C9E">
          <w:rPr>
            <w:rStyle w:val="Hyperlink"/>
            <w:rFonts w:eastAsiaTheme="majorEastAsia"/>
            <w:noProof/>
            <w:sz w:val="18"/>
            <w:szCs w:val="18"/>
          </w:rPr>
          <w:t>REVISED COMPUTATION OF WEIGHTED AVERAGE RATE OF INTEREST SUBMITTED BY THE PETITIONER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_Toc399626364 \h </w:instrText>
        </w:r>
        <w:r w:rsidRPr="00621C9E">
          <w:rPr>
            <w:noProof/>
            <w:webHidden/>
            <w:sz w:val="18"/>
            <w:szCs w:val="18"/>
          </w:rPr>
        </w:r>
        <w:r w:rsidRPr="00621C9E">
          <w:rPr>
            <w:noProof/>
            <w:webHidden/>
            <w:sz w:val="18"/>
            <w:szCs w:val="18"/>
          </w:rPr>
          <w:fldChar w:fldCharType="separate"/>
        </w:r>
        <w:r w:rsidR="00C32B27">
          <w:rPr>
            <w:noProof/>
            <w:webHidden/>
            <w:sz w:val="18"/>
            <w:szCs w:val="18"/>
          </w:rPr>
          <w:t>198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65"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7: CAPITAL INVESTMENTS IN FY 2010-11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_Toc399626365 \h </w:instrText>
        </w:r>
        <w:r w:rsidRPr="00621C9E">
          <w:rPr>
            <w:noProof/>
            <w:webHidden/>
            <w:sz w:val="18"/>
            <w:szCs w:val="18"/>
          </w:rPr>
        </w:r>
        <w:r w:rsidRPr="00621C9E">
          <w:rPr>
            <w:noProof/>
            <w:webHidden/>
            <w:sz w:val="18"/>
            <w:szCs w:val="18"/>
          </w:rPr>
          <w:fldChar w:fldCharType="separate"/>
        </w:r>
        <w:r w:rsidR="00C32B27">
          <w:rPr>
            <w:noProof/>
            <w:webHidden/>
            <w:sz w:val="18"/>
            <w:szCs w:val="18"/>
          </w:rPr>
          <w:t>199</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66" w:history="1">
        <w:r w:rsidR="00621C9E" w:rsidRPr="00621C9E">
          <w:rPr>
            <w:rStyle w:val="Hyperlink"/>
            <w:rFonts w:eastAsiaTheme="majorEastAsia"/>
            <w:caps/>
            <w:noProof/>
            <w:sz w:val="18"/>
            <w:szCs w:val="18"/>
          </w:rPr>
          <w:t>Table 6</w:t>
        </w:r>
        <w:r w:rsidR="00621C9E" w:rsidRPr="00621C9E">
          <w:rPr>
            <w:rStyle w:val="Hyperlink"/>
            <w:rFonts w:eastAsiaTheme="majorEastAsia"/>
            <w:caps/>
            <w:noProof/>
            <w:sz w:val="18"/>
            <w:szCs w:val="18"/>
          </w:rPr>
          <w:noBreakHyphen/>
          <w:t>8:  Consumer Contribution, Grants and subsidies</w:t>
        </w:r>
        <w:r w:rsidR="00621C9E" w:rsidRPr="00621C9E">
          <w:rPr>
            <w:rStyle w:val="Hyperlink"/>
            <w:rFonts w:eastAsiaTheme="majorEastAsia"/>
            <w:noProof/>
            <w:sz w:val="18"/>
            <w:szCs w:val="18"/>
          </w:rPr>
          <w:t xml:space="preserve">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_Toc399626366 \h </w:instrText>
        </w:r>
        <w:r w:rsidRPr="00621C9E">
          <w:rPr>
            <w:noProof/>
            <w:webHidden/>
            <w:sz w:val="18"/>
            <w:szCs w:val="18"/>
          </w:rPr>
        </w:r>
        <w:r w:rsidRPr="00621C9E">
          <w:rPr>
            <w:noProof/>
            <w:webHidden/>
            <w:sz w:val="18"/>
            <w:szCs w:val="18"/>
          </w:rPr>
          <w:fldChar w:fldCharType="separate"/>
        </w:r>
        <w:r w:rsidR="00C32B27">
          <w:rPr>
            <w:noProof/>
            <w:webHidden/>
            <w:sz w:val="18"/>
            <w:szCs w:val="18"/>
          </w:rPr>
          <w:t>200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67"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9: FINANCING OF THE CAPITAL INVESTMENTS IN FY 2010-11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_Toc399626367 \h </w:instrText>
        </w:r>
        <w:r w:rsidRPr="00621C9E">
          <w:rPr>
            <w:noProof/>
            <w:webHidden/>
            <w:sz w:val="18"/>
            <w:szCs w:val="18"/>
          </w:rPr>
        </w:r>
        <w:r w:rsidRPr="00621C9E">
          <w:rPr>
            <w:noProof/>
            <w:webHidden/>
            <w:sz w:val="18"/>
            <w:szCs w:val="18"/>
          </w:rPr>
          <w:fldChar w:fldCharType="separate"/>
        </w:r>
        <w:r w:rsidR="00C32B27">
          <w:rPr>
            <w:noProof/>
            <w:webHidden/>
            <w:sz w:val="18"/>
            <w:szCs w:val="18"/>
          </w:rPr>
          <w:t>200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68"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10: APPROVED INTEREST ON LONG TERM LOAN FOR FY 2010-11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_Toc399626368 \h </w:instrText>
        </w:r>
        <w:r w:rsidRPr="00621C9E">
          <w:rPr>
            <w:noProof/>
            <w:webHidden/>
            <w:sz w:val="18"/>
            <w:szCs w:val="18"/>
          </w:rPr>
        </w:r>
        <w:r w:rsidRPr="00621C9E">
          <w:rPr>
            <w:noProof/>
            <w:webHidden/>
            <w:sz w:val="18"/>
            <w:szCs w:val="18"/>
          </w:rPr>
          <w:fldChar w:fldCharType="separate"/>
        </w:r>
        <w:r w:rsidR="00C32B27">
          <w:rPr>
            <w:noProof/>
            <w:webHidden/>
            <w:sz w:val="18"/>
            <w:szCs w:val="18"/>
          </w:rPr>
          <w:t>201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69"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11: ALLOWABLE FINANCE CHARGES FOR FY 2010-11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_Toc399626369 \h </w:instrText>
        </w:r>
        <w:r w:rsidRPr="00621C9E">
          <w:rPr>
            <w:noProof/>
            <w:webHidden/>
            <w:sz w:val="18"/>
            <w:szCs w:val="18"/>
          </w:rPr>
        </w:r>
        <w:r w:rsidRPr="00621C9E">
          <w:rPr>
            <w:noProof/>
            <w:webHidden/>
            <w:sz w:val="18"/>
            <w:szCs w:val="18"/>
          </w:rPr>
          <w:fldChar w:fldCharType="separate"/>
        </w:r>
        <w:r w:rsidR="00C32B27">
          <w:rPr>
            <w:noProof/>
            <w:webHidden/>
            <w:sz w:val="18"/>
            <w:szCs w:val="18"/>
          </w:rPr>
          <w:t>202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70"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12: ALLOWABLE INTEREST ON WORKING CAPITAL FOR FY 2010-11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_Toc399626370 \h </w:instrText>
        </w:r>
        <w:r w:rsidRPr="00621C9E">
          <w:rPr>
            <w:noProof/>
            <w:webHidden/>
            <w:sz w:val="18"/>
            <w:szCs w:val="18"/>
          </w:rPr>
        </w:r>
        <w:r w:rsidRPr="00621C9E">
          <w:rPr>
            <w:noProof/>
            <w:webHidden/>
            <w:sz w:val="18"/>
            <w:szCs w:val="18"/>
          </w:rPr>
          <w:fldChar w:fldCharType="separate"/>
        </w:r>
        <w:r w:rsidR="00C32B27">
          <w:rPr>
            <w:noProof/>
            <w:webHidden/>
            <w:sz w:val="18"/>
            <w:szCs w:val="18"/>
          </w:rPr>
          <w:t>203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71"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13: ALLOWABLE INTEREST AND FINANCE CHARGES FOR FY 2010-11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_Toc399626371 \h </w:instrText>
        </w:r>
        <w:r w:rsidRPr="00621C9E">
          <w:rPr>
            <w:noProof/>
            <w:webHidden/>
            <w:sz w:val="18"/>
            <w:szCs w:val="18"/>
          </w:rPr>
        </w:r>
        <w:r w:rsidRPr="00621C9E">
          <w:rPr>
            <w:noProof/>
            <w:webHidden/>
            <w:sz w:val="18"/>
            <w:szCs w:val="18"/>
          </w:rPr>
          <w:fldChar w:fldCharType="separate"/>
        </w:r>
        <w:r w:rsidR="00C32B27">
          <w:rPr>
            <w:noProof/>
            <w:webHidden/>
            <w:sz w:val="18"/>
            <w:szCs w:val="18"/>
          </w:rPr>
          <w:t>204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72"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14: ALLOWABLE DEPRECIATION SUBMITTED BY THE PETITIONER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_Toc399626372 \h </w:instrText>
        </w:r>
        <w:r w:rsidRPr="00621C9E">
          <w:rPr>
            <w:noProof/>
            <w:webHidden/>
            <w:sz w:val="18"/>
            <w:szCs w:val="18"/>
          </w:rPr>
        </w:r>
        <w:r w:rsidRPr="00621C9E">
          <w:rPr>
            <w:noProof/>
            <w:webHidden/>
            <w:sz w:val="18"/>
            <w:szCs w:val="18"/>
          </w:rPr>
          <w:fldChar w:fldCharType="separate"/>
        </w:r>
        <w:r w:rsidR="00C32B27">
          <w:rPr>
            <w:noProof/>
            <w:webHidden/>
            <w:sz w:val="18"/>
            <w:szCs w:val="18"/>
          </w:rPr>
          <w:t>206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73" w:history="1">
        <w:r w:rsidR="00621C9E" w:rsidRPr="00621C9E">
          <w:rPr>
            <w:rStyle w:val="Hyperlink"/>
            <w:rFonts w:eastAsiaTheme="majorEastAsia"/>
            <w:caps/>
            <w:noProof/>
            <w:sz w:val="18"/>
            <w:szCs w:val="18"/>
          </w:rPr>
          <w:t>Table 6</w:t>
        </w:r>
        <w:r w:rsidR="00621C9E" w:rsidRPr="00621C9E">
          <w:rPr>
            <w:rStyle w:val="Hyperlink"/>
            <w:rFonts w:eastAsiaTheme="majorEastAsia"/>
            <w:caps/>
            <w:noProof/>
            <w:sz w:val="18"/>
            <w:szCs w:val="18"/>
          </w:rPr>
          <w:noBreakHyphen/>
          <w:t>15: Revised allowable Depreciation submitted by the Petitioner</w:t>
        </w:r>
        <w:r w:rsidR="00621C9E" w:rsidRPr="00621C9E">
          <w:rPr>
            <w:rStyle w:val="Hyperlink"/>
            <w:rFonts w:eastAsiaTheme="majorEastAsia"/>
            <w:noProof/>
            <w:sz w:val="18"/>
            <w:szCs w:val="18"/>
          </w:rPr>
          <w:t xml:space="preserve">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_Toc399626373 \h </w:instrText>
        </w:r>
        <w:r w:rsidRPr="00621C9E">
          <w:rPr>
            <w:noProof/>
            <w:webHidden/>
            <w:sz w:val="18"/>
            <w:szCs w:val="18"/>
          </w:rPr>
        </w:r>
        <w:r w:rsidRPr="00621C9E">
          <w:rPr>
            <w:noProof/>
            <w:webHidden/>
            <w:sz w:val="18"/>
            <w:szCs w:val="18"/>
          </w:rPr>
          <w:fldChar w:fldCharType="separate"/>
        </w:r>
        <w:r w:rsidR="00C32B27">
          <w:rPr>
            <w:noProof/>
            <w:webHidden/>
            <w:sz w:val="18"/>
            <w:szCs w:val="18"/>
          </w:rPr>
          <w:t>208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74"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16: DEPRECIATION EXPENSES FOR FY 2010-11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_Toc399626374 \h </w:instrText>
        </w:r>
        <w:r w:rsidRPr="00621C9E">
          <w:rPr>
            <w:noProof/>
            <w:webHidden/>
            <w:sz w:val="18"/>
            <w:szCs w:val="18"/>
          </w:rPr>
        </w:r>
        <w:r w:rsidRPr="00621C9E">
          <w:rPr>
            <w:noProof/>
            <w:webHidden/>
            <w:sz w:val="18"/>
            <w:szCs w:val="18"/>
          </w:rPr>
          <w:fldChar w:fldCharType="separate"/>
        </w:r>
        <w:r w:rsidR="00C32B27">
          <w:rPr>
            <w:noProof/>
            <w:webHidden/>
            <w:sz w:val="18"/>
            <w:szCs w:val="18"/>
          </w:rPr>
          <w:t>208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75"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17: BREAK UP OF PRIOR PERIOD EXPENSES / INCOMES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_Toc399626375 \h </w:instrText>
        </w:r>
        <w:r w:rsidRPr="00621C9E">
          <w:rPr>
            <w:noProof/>
            <w:webHidden/>
            <w:sz w:val="18"/>
            <w:szCs w:val="18"/>
          </w:rPr>
        </w:r>
        <w:r w:rsidRPr="00621C9E">
          <w:rPr>
            <w:noProof/>
            <w:webHidden/>
            <w:sz w:val="18"/>
            <w:szCs w:val="18"/>
          </w:rPr>
          <w:fldChar w:fldCharType="separate"/>
        </w:r>
        <w:r w:rsidR="00C32B27">
          <w:rPr>
            <w:noProof/>
            <w:webHidden/>
            <w:sz w:val="18"/>
            <w:szCs w:val="18"/>
          </w:rPr>
          <w:t>209</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76"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18: PRIOR PERIOD EXPENSES / INCOMES FOR FY 2010-11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_Toc399626376 \h </w:instrText>
        </w:r>
        <w:r w:rsidRPr="00621C9E">
          <w:rPr>
            <w:noProof/>
            <w:webHidden/>
            <w:sz w:val="18"/>
            <w:szCs w:val="18"/>
          </w:rPr>
        </w:r>
        <w:r w:rsidRPr="00621C9E">
          <w:rPr>
            <w:noProof/>
            <w:webHidden/>
            <w:sz w:val="18"/>
            <w:szCs w:val="18"/>
          </w:rPr>
          <w:fldChar w:fldCharType="separate"/>
        </w:r>
        <w:r w:rsidR="00C32B27">
          <w:rPr>
            <w:noProof/>
            <w:webHidden/>
            <w:sz w:val="18"/>
            <w:szCs w:val="18"/>
          </w:rPr>
          <w:t>210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77"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19: OTHER EXPENSES FOR FY 2010-11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_Toc399626377 \h </w:instrText>
        </w:r>
        <w:r w:rsidRPr="00621C9E">
          <w:rPr>
            <w:noProof/>
            <w:webHidden/>
            <w:sz w:val="18"/>
            <w:szCs w:val="18"/>
          </w:rPr>
        </w:r>
        <w:r w:rsidRPr="00621C9E">
          <w:rPr>
            <w:noProof/>
            <w:webHidden/>
            <w:sz w:val="18"/>
            <w:szCs w:val="18"/>
          </w:rPr>
          <w:fldChar w:fldCharType="separate"/>
        </w:r>
        <w:r w:rsidR="00C32B27">
          <w:rPr>
            <w:noProof/>
            <w:webHidden/>
            <w:sz w:val="18"/>
            <w:szCs w:val="18"/>
          </w:rPr>
          <w:t>211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78"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20: PROVISION FOR BAD AND DOUBTFUL DEBT FOR FY 2009-10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_Toc399626378 \h </w:instrText>
        </w:r>
        <w:r w:rsidRPr="00621C9E">
          <w:rPr>
            <w:noProof/>
            <w:webHidden/>
            <w:sz w:val="18"/>
            <w:szCs w:val="18"/>
          </w:rPr>
        </w:r>
        <w:r w:rsidRPr="00621C9E">
          <w:rPr>
            <w:noProof/>
            <w:webHidden/>
            <w:sz w:val="18"/>
            <w:szCs w:val="18"/>
          </w:rPr>
          <w:fldChar w:fldCharType="separate"/>
        </w:r>
        <w:r w:rsidR="00C32B27">
          <w:rPr>
            <w:noProof/>
            <w:webHidden/>
            <w:sz w:val="18"/>
            <w:szCs w:val="18"/>
          </w:rPr>
          <w:t>212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79"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21: NON TARIFF INCOME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_Toc399626379 \h </w:instrText>
        </w:r>
        <w:r w:rsidRPr="00621C9E">
          <w:rPr>
            <w:noProof/>
            <w:webHidden/>
            <w:sz w:val="18"/>
            <w:szCs w:val="18"/>
          </w:rPr>
        </w:r>
        <w:r w:rsidRPr="00621C9E">
          <w:rPr>
            <w:noProof/>
            <w:webHidden/>
            <w:sz w:val="18"/>
            <w:szCs w:val="18"/>
          </w:rPr>
          <w:fldChar w:fldCharType="separate"/>
        </w:r>
        <w:r w:rsidR="00C32B27">
          <w:rPr>
            <w:noProof/>
            <w:webHidden/>
            <w:sz w:val="18"/>
            <w:szCs w:val="18"/>
          </w:rPr>
          <w:t>213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80"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22: REVENUE FOR FY 2010-11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_Toc399626380 \h </w:instrText>
        </w:r>
        <w:r w:rsidRPr="00621C9E">
          <w:rPr>
            <w:noProof/>
            <w:webHidden/>
            <w:sz w:val="18"/>
            <w:szCs w:val="18"/>
          </w:rPr>
        </w:r>
        <w:r w:rsidRPr="00621C9E">
          <w:rPr>
            <w:noProof/>
            <w:webHidden/>
            <w:sz w:val="18"/>
            <w:szCs w:val="18"/>
          </w:rPr>
          <w:fldChar w:fldCharType="separate"/>
        </w:r>
        <w:r w:rsidR="00C32B27">
          <w:rPr>
            <w:noProof/>
            <w:webHidden/>
            <w:sz w:val="18"/>
            <w:szCs w:val="18"/>
          </w:rPr>
          <w:t>214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81" w:history="1">
        <w:r w:rsidR="00621C9E" w:rsidRPr="00621C9E">
          <w:rPr>
            <w:rStyle w:val="Hyperlink"/>
            <w:rFonts w:eastAsiaTheme="majorEastAsia"/>
            <w:noProof/>
            <w:sz w:val="18"/>
            <w:szCs w:val="18"/>
          </w:rPr>
          <w:t>Table 6</w:t>
        </w:r>
        <w:r w:rsidR="00621C9E" w:rsidRPr="00621C9E">
          <w:rPr>
            <w:rStyle w:val="Hyperlink"/>
            <w:rFonts w:eastAsiaTheme="majorEastAsia"/>
            <w:noProof/>
            <w:sz w:val="18"/>
            <w:szCs w:val="18"/>
          </w:rPr>
          <w:noBreakHyphen/>
          <w:t>23: ARR, REVENUE AND GAP SUMMARY FOR FY 2010-11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_Toc399626381 \h </w:instrText>
        </w:r>
        <w:r w:rsidRPr="00621C9E">
          <w:rPr>
            <w:noProof/>
            <w:webHidden/>
            <w:sz w:val="18"/>
            <w:szCs w:val="18"/>
          </w:rPr>
        </w:r>
        <w:r w:rsidRPr="00621C9E">
          <w:rPr>
            <w:noProof/>
            <w:webHidden/>
            <w:sz w:val="18"/>
            <w:szCs w:val="18"/>
          </w:rPr>
          <w:fldChar w:fldCharType="separate"/>
        </w:r>
        <w:r w:rsidR="00C32B27">
          <w:rPr>
            <w:noProof/>
            <w:webHidden/>
            <w:sz w:val="18"/>
            <w:szCs w:val="18"/>
          </w:rPr>
          <w:t>214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82"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1: ALLOWABLE POWER PURCHASE COST FOR FY 2011-12</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_Toc399626382 \h </w:instrText>
        </w:r>
        <w:r w:rsidRPr="00621C9E">
          <w:rPr>
            <w:noProof/>
            <w:webHidden/>
            <w:sz w:val="18"/>
            <w:szCs w:val="18"/>
          </w:rPr>
        </w:r>
        <w:r w:rsidRPr="00621C9E">
          <w:rPr>
            <w:noProof/>
            <w:webHidden/>
            <w:sz w:val="18"/>
            <w:szCs w:val="18"/>
          </w:rPr>
          <w:fldChar w:fldCharType="separate"/>
        </w:r>
        <w:r w:rsidR="00C32B27">
          <w:rPr>
            <w:noProof/>
            <w:webHidden/>
            <w:sz w:val="18"/>
            <w:szCs w:val="18"/>
          </w:rPr>
          <w:t>217</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83"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2: ALLOWABLE TRANSMISSION CHARGES FOR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_Toc399626383 \h </w:instrText>
        </w:r>
        <w:r w:rsidRPr="00621C9E">
          <w:rPr>
            <w:noProof/>
            <w:webHidden/>
            <w:sz w:val="18"/>
            <w:szCs w:val="18"/>
          </w:rPr>
        </w:r>
        <w:r w:rsidRPr="00621C9E">
          <w:rPr>
            <w:noProof/>
            <w:webHidden/>
            <w:sz w:val="18"/>
            <w:szCs w:val="18"/>
          </w:rPr>
          <w:fldChar w:fldCharType="separate"/>
        </w:r>
        <w:r w:rsidR="00C32B27">
          <w:rPr>
            <w:noProof/>
            <w:webHidden/>
            <w:sz w:val="18"/>
            <w:szCs w:val="18"/>
          </w:rPr>
          <w:t>218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84" w:history="1">
        <w:r w:rsidR="00621C9E" w:rsidRPr="00621C9E">
          <w:rPr>
            <w:rStyle w:val="Hyperlink"/>
            <w:rFonts w:eastAsiaTheme="majorEastAsia"/>
            <w:caps/>
            <w:noProof/>
            <w:sz w:val="18"/>
            <w:szCs w:val="18"/>
          </w:rPr>
          <w:t>Table 7</w:t>
        </w:r>
        <w:r w:rsidR="00621C9E" w:rsidRPr="00621C9E">
          <w:rPr>
            <w:rStyle w:val="Hyperlink"/>
            <w:rFonts w:eastAsiaTheme="majorEastAsia"/>
            <w:caps/>
            <w:noProof/>
            <w:sz w:val="18"/>
            <w:szCs w:val="18"/>
          </w:rPr>
          <w:noBreakHyphen/>
          <w:t>3: Allocation of O&amp;M EXPENSES IN FY 2011-12</w:t>
        </w:r>
        <w:r w:rsidR="00621C9E" w:rsidRPr="00621C9E">
          <w:rPr>
            <w:rStyle w:val="Hyperlink"/>
            <w:rFonts w:eastAsiaTheme="majorEastAsia"/>
            <w:noProof/>
            <w:sz w:val="18"/>
            <w:szCs w:val="18"/>
          </w:rPr>
          <w:t xml:space="preserve">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_Toc399626384 \h </w:instrText>
        </w:r>
        <w:r w:rsidRPr="00621C9E">
          <w:rPr>
            <w:noProof/>
            <w:webHidden/>
            <w:sz w:val="18"/>
            <w:szCs w:val="18"/>
          </w:rPr>
        </w:r>
        <w:r w:rsidRPr="00621C9E">
          <w:rPr>
            <w:noProof/>
            <w:webHidden/>
            <w:sz w:val="18"/>
            <w:szCs w:val="18"/>
          </w:rPr>
          <w:fldChar w:fldCharType="separate"/>
        </w:r>
        <w:r w:rsidR="00C32B27">
          <w:rPr>
            <w:noProof/>
            <w:webHidden/>
            <w:sz w:val="18"/>
            <w:szCs w:val="18"/>
          </w:rPr>
          <w:t>220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85" w:history="1">
        <w:r w:rsidR="00621C9E" w:rsidRPr="00621C9E">
          <w:rPr>
            <w:rStyle w:val="Hyperlink"/>
            <w:rFonts w:eastAsiaTheme="majorEastAsia"/>
            <w:caps/>
            <w:noProof/>
            <w:sz w:val="18"/>
            <w:szCs w:val="18"/>
          </w:rPr>
          <w:t>Table 7</w:t>
        </w:r>
        <w:r w:rsidR="00621C9E" w:rsidRPr="00621C9E">
          <w:rPr>
            <w:rStyle w:val="Hyperlink"/>
            <w:rFonts w:eastAsiaTheme="majorEastAsia"/>
            <w:caps/>
            <w:noProof/>
            <w:sz w:val="18"/>
            <w:szCs w:val="18"/>
          </w:rPr>
          <w:noBreakHyphen/>
          <w:t>4: Allocation of O&amp;M expenses among DisTRIBUTION LICENSEES in FY 2011-12</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_Toc399626385 \h </w:instrText>
        </w:r>
        <w:r w:rsidRPr="00621C9E">
          <w:rPr>
            <w:noProof/>
            <w:webHidden/>
            <w:sz w:val="18"/>
            <w:szCs w:val="18"/>
          </w:rPr>
        </w:r>
        <w:r w:rsidRPr="00621C9E">
          <w:rPr>
            <w:noProof/>
            <w:webHidden/>
            <w:sz w:val="18"/>
            <w:szCs w:val="18"/>
          </w:rPr>
          <w:fldChar w:fldCharType="separate"/>
        </w:r>
        <w:r w:rsidR="00C32B27">
          <w:rPr>
            <w:noProof/>
            <w:webHidden/>
            <w:sz w:val="18"/>
            <w:szCs w:val="18"/>
          </w:rPr>
          <w:t>221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86"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5: O&amp;M EXPENSES APPROVED BY THE COMMISSION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_Toc399626386 \h </w:instrText>
        </w:r>
        <w:r w:rsidRPr="00621C9E">
          <w:rPr>
            <w:noProof/>
            <w:webHidden/>
            <w:sz w:val="18"/>
            <w:szCs w:val="18"/>
          </w:rPr>
        </w:r>
        <w:r w:rsidRPr="00621C9E">
          <w:rPr>
            <w:noProof/>
            <w:webHidden/>
            <w:sz w:val="18"/>
            <w:szCs w:val="18"/>
          </w:rPr>
          <w:fldChar w:fldCharType="separate"/>
        </w:r>
        <w:r w:rsidR="00C32B27">
          <w:rPr>
            <w:noProof/>
            <w:webHidden/>
            <w:sz w:val="18"/>
            <w:szCs w:val="18"/>
          </w:rPr>
          <w:t>221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87" w:history="1">
        <w:r w:rsidR="00621C9E" w:rsidRPr="00621C9E">
          <w:rPr>
            <w:rStyle w:val="Hyperlink"/>
            <w:rFonts w:eastAsiaTheme="majorEastAsia"/>
            <w:caps/>
            <w:noProof/>
            <w:sz w:val="18"/>
            <w:szCs w:val="18"/>
          </w:rPr>
          <w:t>Table 7</w:t>
        </w:r>
        <w:r w:rsidR="00621C9E" w:rsidRPr="00621C9E">
          <w:rPr>
            <w:rStyle w:val="Hyperlink"/>
            <w:rFonts w:eastAsiaTheme="majorEastAsia"/>
            <w:caps/>
            <w:noProof/>
            <w:sz w:val="18"/>
            <w:szCs w:val="18"/>
          </w:rPr>
          <w:noBreakHyphen/>
          <w:t xml:space="preserve">6: Revised </w:t>
        </w:r>
        <w:r w:rsidR="00621C9E" w:rsidRPr="00621C9E">
          <w:rPr>
            <w:rStyle w:val="Hyperlink"/>
            <w:rFonts w:eastAsiaTheme="majorEastAsia"/>
            <w:noProof/>
            <w:sz w:val="18"/>
            <w:szCs w:val="18"/>
          </w:rPr>
          <w:t>COMPUTATION OF WEIGHTED AVERAGE RATE OF INTEREST SUBMITTED BY THE PETITIONER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_Toc399626387 \h </w:instrText>
        </w:r>
        <w:r w:rsidRPr="00621C9E">
          <w:rPr>
            <w:noProof/>
            <w:webHidden/>
            <w:sz w:val="18"/>
            <w:szCs w:val="18"/>
          </w:rPr>
        </w:r>
        <w:r w:rsidRPr="00621C9E">
          <w:rPr>
            <w:noProof/>
            <w:webHidden/>
            <w:sz w:val="18"/>
            <w:szCs w:val="18"/>
          </w:rPr>
          <w:fldChar w:fldCharType="separate"/>
        </w:r>
        <w:r w:rsidR="00C32B27">
          <w:rPr>
            <w:noProof/>
            <w:webHidden/>
            <w:sz w:val="18"/>
            <w:szCs w:val="18"/>
          </w:rPr>
          <w:t>223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88"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7: CAPITAL INVESTMENTS IN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_Toc399626388 \h </w:instrText>
        </w:r>
        <w:r w:rsidRPr="00621C9E">
          <w:rPr>
            <w:noProof/>
            <w:webHidden/>
            <w:sz w:val="18"/>
            <w:szCs w:val="18"/>
          </w:rPr>
        </w:r>
        <w:r w:rsidRPr="00621C9E">
          <w:rPr>
            <w:noProof/>
            <w:webHidden/>
            <w:sz w:val="18"/>
            <w:szCs w:val="18"/>
          </w:rPr>
          <w:fldChar w:fldCharType="separate"/>
        </w:r>
        <w:r w:rsidR="00C32B27">
          <w:rPr>
            <w:noProof/>
            <w:webHidden/>
            <w:sz w:val="18"/>
            <w:szCs w:val="18"/>
          </w:rPr>
          <w:t>224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89" w:history="1">
        <w:r w:rsidR="00621C9E" w:rsidRPr="00621C9E">
          <w:rPr>
            <w:rStyle w:val="Hyperlink"/>
            <w:rFonts w:eastAsiaTheme="majorEastAsia"/>
            <w:caps/>
            <w:noProof/>
            <w:sz w:val="18"/>
            <w:szCs w:val="18"/>
          </w:rPr>
          <w:t>Table 7</w:t>
        </w:r>
        <w:r w:rsidR="00621C9E" w:rsidRPr="00621C9E">
          <w:rPr>
            <w:rStyle w:val="Hyperlink"/>
            <w:rFonts w:eastAsiaTheme="majorEastAsia"/>
            <w:caps/>
            <w:noProof/>
            <w:sz w:val="18"/>
            <w:szCs w:val="18"/>
          </w:rPr>
          <w:noBreakHyphen/>
          <w:t>8:  Consumer Contribution, Grants and subsidies</w:t>
        </w:r>
        <w:r w:rsidR="00621C9E" w:rsidRPr="00621C9E">
          <w:rPr>
            <w:rStyle w:val="Hyperlink"/>
            <w:rFonts w:eastAsiaTheme="majorEastAsia"/>
            <w:noProof/>
            <w:sz w:val="18"/>
            <w:szCs w:val="18"/>
          </w:rPr>
          <w:t xml:space="preserve">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_Toc399626389 \h </w:instrText>
        </w:r>
        <w:r w:rsidRPr="00621C9E">
          <w:rPr>
            <w:noProof/>
            <w:webHidden/>
            <w:sz w:val="18"/>
            <w:szCs w:val="18"/>
          </w:rPr>
        </w:r>
        <w:r w:rsidRPr="00621C9E">
          <w:rPr>
            <w:noProof/>
            <w:webHidden/>
            <w:sz w:val="18"/>
            <w:szCs w:val="18"/>
          </w:rPr>
          <w:fldChar w:fldCharType="separate"/>
        </w:r>
        <w:r w:rsidR="00C32B27">
          <w:rPr>
            <w:noProof/>
            <w:webHidden/>
            <w:sz w:val="18"/>
            <w:szCs w:val="18"/>
          </w:rPr>
          <w:t>224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90"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9: FINANCING OF THE CAPITAL INVESTMENTS IN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_Toc399626390 \h </w:instrText>
        </w:r>
        <w:r w:rsidRPr="00621C9E">
          <w:rPr>
            <w:noProof/>
            <w:webHidden/>
            <w:sz w:val="18"/>
            <w:szCs w:val="18"/>
          </w:rPr>
        </w:r>
        <w:r w:rsidRPr="00621C9E">
          <w:rPr>
            <w:noProof/>
            <w:webHidden/>
            <w:sz w:val="18"/>
            <w:szCs w:val="18"/>
          </w:rPr>
          <w:fldChar w:fldCharType="separate"/>
        </w:r>
        <w:r w:rsidR="00C32B27">
          <w:rPr>
            <w:noProof/>
            <w:webHidden/>
            <w:sz w:val="18"/>
            <w:szCs w:val="18"/>
          </w:rPr>
          <w:t>225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91"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10: APPROVED INTEREST ON LONG TERM LOAN FOR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_Toc399626391 \h </w:instrText>
        </w:r>
        <w:r w:rsidRPr="00621C9E">
          <w:rPr>
            <w:noProof/>
            <w:webHidden/>
            <w:sz w:val="18"/>
            <w:szCs w:val="18"/>
          </w:rPr>
        </w:r>
        <w:r w:rsidRPr="00621C9E">
          <w:rPr>
            <w:noProof/>
            <w:webHidden/>
            <w:sz w:val="18"/>
            <w:szCs w:val="18"/>
          </w:rPr>
          <w:fldChar w:fldCharType="separate"/>
        </w:r>
        <w:r w:rsidR="00C32B27">
          <w:rPr>
            <w:noProof/>
            <w:webHidden/>
            <w:sz w:val="18"/>
            <w:szCs w:val="18"/>
          </w:rPr>
          <w:t>226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92"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11: ALLOWABLE FINANCE CHARGES FOR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_Toc399626392 \h </w:instrText>
        </w:r>
        <w:r w:rsidRPr="00621C9E">
          <w:rPr>
            <w:noProof/>
            <w:webHidden/>
            <w:sz w:val="18"/>
            <w:szCs w:val="18"/>
          </w:rPr>
        </w:r>
        <w:r w:rsidRPr="00621C9E">
          <w:rPr>
            <w:noProof/>
            <w:webHidden/>
            <w:sz w:val="18"/>
            <w:szCs w:val="18"/>
          </w:rPr>
          <w:fldChar w:fldCharType="separate"/>
        </w:r>
        <w:r w:rsidR="00C32B27">
          <w:rPr>
            <w:noProof/>
            <w:webHidden/>
            <w:sz w:val="18"/>
            <w:szCs w:val="18"/>
          </w:rPr>
          <w:t>227</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93"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12: ALLOWABLE INTEREST ON WORKING CAPITAL FOR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_Toc399626393 \h </w:instrText>
        </w:r>
        <w:r w:rsidRPr="00621C9E">
          <w:rPr>
            <w:noProof/>
            <w:webHidden/>
            <w:sz w:val="18"/>
            <w:szCs w:val="18"/>
          </w:rPr>
        </w:r>
        <w:r w:rsidRPr="00621C9E">
          <w:rPr>
            <w:noProof/>
            <w:webHidden/>
            <w:sz w:val="18"/>
            <w:szCs w:val="18"/>
          </w:rPr>
          <w:fldChar w:fldCharType="separate"/>
        </w:r>
        <w:r w:rsidR="00C32B27">
          <w:rPr>
            <w:noProof/>
            <w:webHidden/>
            <w:sz w:val="18"/>
            <w:szCs w:val="18"/>
          </w:rPr>
          <w:t>228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94"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13: ALLOWABLE INTEREST AND FINANCE CHARGES FOR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_Toc399626394 \h </w:instrText>
        </w:r>
        <w:r w:rsidRPr="00621C9E">
          <w:rPr>
            <w:noProof/>
            <w:webHidden/>
            <w:sz w:val="18"/>
            <w:szCs w:val="18"/>
          </w:rPr>
        </w:r>
        <w:r w:rsidRPr="00621C9E">
          <w:rPr>
            <w:noProof/>
            <w:webHidden/>
            <w:sz w:val="18"/>
            <w:szCs w:val="18"/>
          </w:rPr>
          <w:fldChar w:fldCharType="separate"/>
        </w:r>
        <w:r w:rsidR="00C32B27">
          <w:rPr>
            <w:noProof/>
            <w:webHidden/>
            <w:sz w:val="18"/>
            <w:szCs w:val="18"/>
          </w:rPr>
          <w:t>229</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95" w:history="1">
        <w:r w:rsidR="00621C9E" w:rsidRPr="00621C9E">
          <w:rPr>
            <w:rStyle w:val="Hyperlink"/>
            <w:rFonts w:eastAsiaTheme="majorEastAsia"/>
            <w:caps/>
            <w:noProof/>
            <w:sz w:val="18"/>
            <w:szCs w:val="18"/>
          </w:rPr>
          <w:t>Table 7</w:t>
        </w:r>
        <w:r w:rsidR="00621C9E" w:rsidRPr="00621C9E">
          <w:rPr>
            <w:rStyle w:val="Hyperlink"/>
            <w:rFonts w:eastAsiaTheme="majorEastAsia"/>
            <w:caps/>
            <w:noProof/>
            <w:sz w:val="18"/>
            <w:szCs w:val="18"/>
          </w:rPr>
          <w:noBreakHyphen/>
          <w:t>14: Allowable Depreciation submitted by the Petitioner</w:t>
        </w:r>
        <w:r w:rsidR="00621C9E" w:rsidRPr="00621C9E">
          <w:rPr>
            <w:rStyle w:val="Hyperlink"/>
            <w:rFonts w:eastAsiaTheme="majorEastAsia"/>
            <w:noProof/>
            <w:sz w:val="18"/>
            <w:szCs w:val="18"/>
          </w:rPr>
          <w:t xml:space="preserve">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_Toc399626395 \h </w:instrText>
        </w:r>
        <w:r w:rsidRPr="00621C9E">
          <w:rPr>
            <w:noProof/>
            <w:webHidden/>
            <w:sz w:val="18"/>
            <w:szCs w:val="18"/>
          </w:rPr>
        </w:r>
        <w:r w:rsidRPr="00621C9E">
          <w:rPr>
            <w:noProof/>
            <w:webHidden/>
            <w:sz w:val="18"/>
            <w:szCs w:val="18"/>
          </w:rPr>
          <w:fldChar w:fldCharType="separate"/>
        </w:r>
        <w:r w:rsidR="00C32B27">
          <w:rPr>
            <w:noProof/>
            <w:webHidden/>
            <w:sz w:val="18"/>
            <w:szCs w:val="18"/>
          </w:rPr>
          <w:t>231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96" w:history="1">
        <w:r w:rsidR="00621C9E" w:rsidRPr="00621C9E">
          <w:rPr>
            <w:rStyle w:val="Hyperlink"/>
            <w:rFonts w:eastAsiaTheme="majorEastAsia"/>
            <w:caps/>
            <w:noProof/>
            <w:sz w:val="18"/>
            <w:szCs w:val="18"/>
          </w:rPr>
          <w:t>Table 7</w:t>
        </w:r>
        <w:r w:rsidR="00621C9E" w:rsidRPr="00621C9E">
          <w:rPr>
            <w:rStyle w:val="Hyperlink"/>
            <w:rFonts w:eastAsiaTheme="majorEastAsia"/>
            <w:caps/>
            <w:noProof/>
            <w:sz w:val="18"/>
            <w:szCs w:val="18"/>
          </w:rPr>
          <w:noBreakHyphen/>
          <w:t xml:space="preserve">15: Revised allowable Depreciation submitted by the Petitioner </w:t>
        </w:r>
        <w:r w:rsidR="00621C9E" w:rsidRPr="00621C9E">
          <w:rPr>
            <w:rStyle w:val="Hyperlink"/>
            <w:rFonts w:eastAsiaTheme="majorEastAsia"/>
            <w:noProof/>
            <w:sz w:val="18"/>
            <w:szCs w:val="18"/>
          </w:rPr>
          <w:t>(Rs.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_Toc399626396 \h </w:instrText>
        </w:r>
        <w:r w:rsidRPr="00621C9E">
          <w:rPr>
            <w:noProof/>
            <w:webHidden/>
            <w:sz w:val="18"/>
            <w:szCs w:val="18"/>
          </w:rPr>
        </w:r>
        <w:r w:rsidRPr="00621C9E">
          <w:rPr>
            <w:noProof/>
            <w:webHidden/>
            <w:sz w:val="18"/>
            <w:szCs w:val="18"/>
          </w:rPr>
          <w:fldChar w:fldCharType="separate"/>
        </w:r>
        <w:r w:rsidR="00C32B27">
          <w:rPr>
            <w:noProof/>
            <w:webHidden/>
            <w:sz w:val="18"/>
            <w:szCs w:val="18"/>
          </w:rPr>
          <w:t>232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97"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16: DEPRECIATION EXPENSES FOR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_Toc399626397 \h </w:instrText>
        </w:r>
        <w:r w:rsidRPr="00621C9E">
          <w:rPr>
            <w:noProof/>
            <w:webHidden/>
            <w:sz w:val="18"/>
            <w:szCs w:val="18"/>
          </w:rPr>
        </w:r>
        <w:r w:rsidRPr="00621C9E">
          <w:rPr>
            <w:noProof/>
            <w:webHidden/>
            <w:sz w:val="18"/>
            <w:szCs w:val="18"/>
          </w:rPr>
          <w:fldChar w:fldCharType="separate"/>
        </w:r>
        <w:r w:rsidR="00C32B27">
          <w:rPr>
            <w:noProof/>
            <w:webHidden/>
            <w:sz w:val="18"/>
            <w:szCs w:val="18"/>
          </w:rPr>
          <w:t>233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98"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17: BREAK UP OF PRIOR PERIOD EXPENSES / INCOMES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_Toc399626398 \h </w:instrText>
        </w:r>
        <w:r w:rsidRPr="00621C9E">
          <w:rPr>
            <w:noProof/>
            <w:webHidden/>
            <w:sz w:val="18"/>
            <w:szCs w:val="18"/>
          </w:rPr>
        </w:r>
        <w:r w:rsidRPr="00621C9E">
          <w:rPr>
            <w:noProof/>
            <w:webHidden/>
            <w:sz w:val="18"/>
            <w:szCs w:val="18"/>
          </w:rPr>
          <w:fldChar w:fldCharType="separate"/>
        </w:r>
        <w:r w:rsidR="00C32B27">
          <w:rPr>
            <w:noProof/>
            <w:webHidden/>
            <w:sz w:val="18"/>
            <w:szCs w:val="18"/>
          </w:rPr>
          <w:t>234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399"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18: PRIOR PERIOD EXPENSES / INCOMES FOR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_Toc399626399 \h </w:instrText>
        </w:r>
        <w:r w:rsidRPr="00621C9E">
          <w:rPr>
            <w:noProof/>
            <w:webHidden/>
            <w:sz w:val="18"/>
            <w:szCs w:val="18"/>
          </w:rPr>
        </w:r>
        <w:r w:rsidRPr="00621C9E">
          <w:rPr>
            <w:noProof/>
            <w:webHidden/>
            <w:sz w:val="18"/>
            <w:szCs w:val="18"/>
          </w:rPr>
          <w:fldChar w:fldCharType="separate"/>
        </w:r>
        <w:r w:rsidR="00C32B27">
          <w:rPr>
            <w:noProof/>
            <w:webHidden/>
            <w:sz w:val="18"/>
            <w:szCs w:val="18"/>
          </w:rPr>
          <w:t>235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00"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19: OTHER EXPENSES FOR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_Toc399626400 \h </w:instrText>
        </w:r>
        <w:r w:rsidRPr="00621C9E">
          <w:rPr>
            <w:noProof/>
            <w:webHidden/>
            <w:sz w:val="18"/>
            <w:szCs w:val="18"/>
          </w:rPr>
        </w:r>
        <w:r w:rsidRPr="00621C9E">
          <w:rPr>
            <w:noProof/>
            <w:webHidden/>
            <w:sz w:val="18"/>
            <w:szCs w:val="18"/>
          </w:rPr>
          <w:fldChar w:fldCharType="separate"/>
        </w:r>
        <w:r w:rsidR="00C32B27">
          <w:rPr>
            <w:noProof/>
            <w:webHidden/>
            <w:sz w:val="18"/>
            <w:szCs w:val="18"/>
          </w:rPr>
          <w:t>235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01"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20: PROVISION FOR BAD AND DOUBTFUL DEBT FOR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_Toc399626401 \h </w:instrText>
        </w:r>
        <w:r w:rsidRPr="00621C9E">
          <w:rPr>
            <w:noProof/>
            <w:webHidden/>
            <w:sz w:val="18"/>
            <w:szCs w:val="18"/>
          </w:rPr>
        </w:r>
        <w:r w:rsidRPr="00621C9E">
          <w:rPr>
            <w:noProof/>
            <w:webHidden/>
            <w:sz w:val="18"/>
            <w:szCs w:val="18"/>
          </w:rPr>
          <w:fldChar w:fldCharType="separate"/>
        </w:r>
        <w:r w:rsidR="00C32B27">
          <w:rPr>
            <w:noProof/>
            <w:webHidden/>
            <w:sz w:val="18"/>
            <w:szCs w:val="18"/>
          </w:rPr>
          <w:t>236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02"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21: NON TARIFF INCOME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_Toc399626402 \h </w:instrText>
        </w:r>
        <w:r w:rsidRPr="00621C9E">
          <w:rPr>
            <w:noProof/>
            <w:webHidden/>
            <w:sz w:val="18"/>
            <w:szCs w:val="18"/>
          </w:rPr>
        </w:r>
        <w:r w:rsidRPr="00621C9E">
          <w:rPr>
            <w:noProof/>
            <w:webHidden/>
            <w:sz w:val="18"/>
            <w:szCs w:val="18"/>
          </w:rPr>
          <w:fldChar w:fldCharType="separate"/>
        </w:r>
        <w:r w:rsidR="00C32B27">
          <w:rPr>
            <w:noProof/>
            <w:webHidden/>
            <w:sz w:val="18"/>
            <w:szCs w:val="18"/>
          </w:rPr>
          <w:t>237</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03"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22: REVENUE FOR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_Toc399626403 \h </w:instrText>
        </w:r>
        <w:r w:rsidRPr="00621C9E">
          <w:rPr>
            <w:noProof/>
            <w:webHidden/>
            <w:sz w:val="18"/>
            <w:szCs w:val="18"/>
          </w:rPr>
        </w:r>
        <w:r w:rsidRPr="00621C9E">
          <w:rPr>
            <w:noProof/>
            <w:webHidden/>
            <w:sz w:val="18"/>
            <w:szCs w:val="18"/>
          </w:rPr>
          <w:fldChar w:fldCharType="separate"/>
        </w:r>
        <w:r w:rsidR="00C32B27">
          <w:rPr>
            <w:noProof/>
            <w:webHidden/>
            <w:sz w:val="18"/>
            <w:szCs w:val="18"/>
          </w:rPr>
          <w:t>238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04" w:history="1">
        <w:r w:rsidR="00621C9E" w:rsidRPr="00621C9E">
          <w:rPr>
            <w:rStyle w:val="Hyperlink"/>
            <w:rFonts w:eastAsiaTheme="majorEastAsia"/>
            <w:noProof/>
            <w:sz w:val="18"/>
            <w:szCs w:val="18"/>
          </w:rPr>
          <w:t>Table 7</w:t>
        </w:r>
        <w:r w:rsidR="00621C9E" w:rsidRPr="00621C9E">
          <w:rPr>
            <w:rStyle w:val="Hyperlink"/>
            <w:rFonts w:eastAsiaTheme="majorEastAsia"/>
            <w:noProof/>
            <w:sz w:val="18"/>
            <w:szCs w:val="18"/>
          </w:rPr>
          <w:noBreakHyphen/>
          <w:t>23: ARR, REVENUE AND GAP SUMMARY FOR FY 2011-12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_Toc399626404 \h </w:instrText>
        </w:r>
        <w:r w:rsidRPr="00621C9E">
          <w:rPr>
            <w:noProof/>
            <w:webHidden/>
            <w:sz w:val="18"/>
            <w:szCs w:val="18"/>
          </w:rPr>
        </w:r>
        <w:r w:rsidRPr="00621C9E">
          <w:rPr>
            <w:noProof/>
            <w:webHidden/>
            <w:sz w:val="18"/>
            <w:szCs w:val="18"/>
          </w:rPr>
          <w:fldChar w:fldCharType="separate"/>
        </w:r>
        <w:r w:rsidR="00C32B27">
          <w:rPr>
            <w:noProof/>
            <w:webHidden/>
            <w:sz w:val="18"/>
            <w:szCs w:val="18"/>
          </w:rPr>
          <w:t>239</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05" w:history="1">
        <w:r w:rsidR="00621C9E" w:rsidRPr="00621C9E">
          <w:rPr>
            <w:rStyle w:val="Hyperlink"/>
            <w:rFonts w:eastAsiaTheme="majorEastAsia"/>
            <w:noProof/>
            <w:sz w:val="18"/>
            <w:szCs w:val="18"/>
          </w:rPr>
          <w:t>Table 8</w:t>
        </w:r>
        <w:r w:rsidR="00621C9E" w:rsidRPr="00621C9E">
          <w:rPr>
            <w:rStyle w:val="Hyperlink"/>
            <w:rFonts w:eastAsiaTheme="majorEastAsia"/>
            <w:noProof/>
            <w:sz w:val="18"/>
            <w:szCs w:val="18"/>
          </w:rPr>
          <w:noBreakHyphen/>
          <w:t>1: YEAR WISE REVENUE GAPS / (SURPLUS) (Rs. Crores)</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_Toc399626405 \h </w:instrText>
        </w:r>
        <w:r w:rsidRPr="00621C9E">
          <w:rPr>
            <w:noProof/>
            <w:webHidden/>
            <w:sz w:val="18"/>
            <w:szCs w:val="18"/>
          </w:rPr>
        </w:r>
        <w:r w:rsidRPr="00621C9E">
          <w:rPr>
            <w:noProof/>
            <w:webHidden/>
            <w:sz w:val="18"/>
            <w:szCs w:val="18"/>
          </w:rPr>
          <w:fldChar w:fldCharType="separate"/>
        </w:r>
        <w:r w:rsidR="00C32B27">
          <w:rPr>
            <w:noProof/>
            <w:webHidden/>
            <w:sz w:val="18"/>
            <w:szCs w:val="18"/>
          </w:rPr>
          <w:t>241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06"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1: CONSUMPTION PARAMETERS SUBMITTED BY THE PETITIONER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_Toc399626406 \h </w:instrText>
        </w:r>
        <w:r w:rsidRPr="00621C9E">
          <w:rPr>
            <w:noProof/>
            <w:webHidden/>
            <w:sz w:val="18"/>
            <w:szCs w:val="18"/>
          </w:rPr>
        </w:r>
        <w:r w:rsidRPr="00621C9E">
          <w:rPr>
            <w:noProof/>
            <w:webHidden/>
            <w:sz w:val="18"/>
            <w:szCs w:val="18"/>
          </w:rPr>
          <w:fldChar w:fldCharType="separate"/>
        </w:r>
        <w:r w:rsidR="00C32B27">
          <w:rPr>
            <w:noProof/>
            <w:webHidden/>
            <w:sz w:val="18"/>
            <w:szCs w:val="18"/>
          </w:rPr>
          <w:t>245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07"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2: SOURCE OF DATA FOR HISTORICAL PARAMETERS</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_Toc399626407 \h </w:instrText>
        </w:r>
        <w:r w:rsidRPr="00621C9E">
          <w:rPr>
            <w:noProof/>
            <w:webHidden/>
            <w:sz w:val="18"/>
            <w:szCs w:val="18"/>
          </w:rPr>
        </w:r>
        <w:r w:rsidRPr="00621C9E">
          <w:rPr>
            <w:noProof/>
            <w:webHidden/>
            <w:sz w:val="18"/>
            <w:szCs w:val="18"/>
          </w:rPr>
          <w:fldChar w:fldCharType="separate"/>
        </w:r>
        <w:r w:rsidR="00C32B27">
          <w:rPr>
            <w:noProof/>
            <w:webHidden/>
            <w:sz w:val="18"/>
            <w:szCs w:val="18"/>
          </w:rPr>
          <w:t>246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08"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3: CONSUMPTION NORMS FOR UNMETERED CONSUMPTION</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_Toc399626408 \h </w:instrText>
        </w:r>
        <w:r w:rsidRPr="00621C9E">
          <w:rPr>
            <w:noProof/>
            <w:webHidden/>
            <w:sz w:val="18"/>
            <w:szCs w:val="18"/>
          </w:rPr>
        </w:r>
        <w:r w:rsidRPr="00621C9E">
          <w:rPr>
            <w:noProof/>
            <w:webHidden/>
            <w:sz w:val="18"/>
            <w:szCs w:val="18"/>
          </w:rPr>
          <w:fldChar w:fldCharType="separate"/>
        </w:r>
        <w:r w:rsidR="00C32B27">
          <w:rPr>
            <w:noProof/>
            <w:webHidden/>
            <w:sz w:val="18"/>
            <w:szCs w:val="18"/>
          </w:rPr>
          <w:t>247</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09"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4: DETAILS OF UNMETERD CATEGORIES UPTO DECEMBER, 2013</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_Toc399626409 \h </w:instrText>
        </w:r>
        <w:r w:rsidRPr="00621C9E">
          <w:rPr>
            <w:noProof/>
            <w:webHidden/>
            <w:sz w:val="18"/>
            <w:szCs w:val="18"/>
          </w:rPr>
        </w:r>
        <w:r w:rsidRPr="00621C9E">
          <w:rPr>
            <w:noProof/>
            <w:webHidden/>
            <w:sz w:val="18"/>
            <w:szCs w:val="18"/>
          </w:rPr>
          <w:fldChar w:fldCharType="separate"/>
        </w:r>
        <w:r w:rsidR="00C32B27">
          <w:rPr>
            <w:noProof/>
            <w:webHidden/>
            <w:sz w:val="18"/>
            <w:szCs w:val="18"/>
          </w:rPr>
          <w:t>250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10"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5: PAST TREND OF UNMETERD CONSUMPTION IN LMV-10 CATEGORY</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_Toc399626410 \h </w:instrText>
        </w:r>
        <w:r w:rsidRPr="00621C9E">
          <w:rPr>
            <w:noProof/>
            <w:webHidden/>
            <w:sz w:val="18"/>
            <w:szCs w:val="18"/>
          </w:rPr>
        </w:r>
        <w:r w:rsidRPr="00621C9E">
          <w:rPr>
            <w:noProof/>
            <w:webHidden/>
            <w:sz w:val="18"/>
            <w:szCs w:val="18"/>
          </w:rPr>
          <w:fldChar w:fldCharType="separate"/>
        </w:r>
        <w:r w:rsidR="00C32B27">
          <w:rPr>
            <w:noProof/>
            <w:webHidden/>
            <w:sz w:val="18"/>
            <w:szCs w:val="18"/>
          </w:rPr>
          <w:t>251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11"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6: CONSUMPTION PARAMETERS APPROVED BY COMMISSION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_Toc399626411 \h </w:instrText>
        </w:r>
        <w:r w:rsidRPr="00621C9E">
          <w:rPr>
            <w:noProof/>
            <w:webHidden/>
            <w:sz w:val="18"/>
            <w:szCs w:val="18"/>
          </w:rPr>
        </w:r>
        <w:r w:rsidRPr="00621C9E">
          <w:rPr>
            <w:noProof/>
            <w:webHidden/>
            <w:sz w:val="18"/>
            <w:szCs w:val="18"/>
          </w:rPr>
          <w:fldChar w:fldCharType="separate"/>
        </w:r>
        <w:r w:rsidR="00C32B27">
          <w:rPr>
            <w:noProof/>
            <w:webHidden/>
            <w:sz w:val="18"/>
            <w:szCs w:val="18"/>
          </w:rPr>
          <w:t>253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12"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7: NUMBER OF CONSUMERS: HISTORICAL TREND AND APPROVED VALUES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_Toc399626412 \h </w:instrText>
        </w:r>
        <w:r w:rsidRPr="00621C9E">
          <w:rPr>
            <w:noProof/>
            <w:webHidden/>
            <w:sz w:val="18"/>
            <w:szCs w:val="18"/>
          </w:rPr>
        </w:r>
        <w:r w:rsidRPr="00621C9E">
          <w:rPr>
            <w:noProof/>
            <w:webHidden/>
            <w:sz w:val="18"/>
            <w:szCs w:val="18"/>
          </w:rPr>
          <w:fldChar w:fldCharType="separate"/>
        </w:r>
        <w:r w:rsidR="00C32B27">
          <w:rPr>
            <w:noProof/>
            <w:webHidden/>
            <w:sz w:val="18"/>
            <w:szCs w:val="18"/>
          </w:rPr>
          <w:t>254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13"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8: CONNECTED LOAD (KW): HISTORICAL TREND AND APPROVED VALUES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_Toc399626413 \h </w:instrText>
        </w:r>
        <w:r w:rsidRPr="00621C9E">
          <w:rPr>
            <w:noProof/>
            <w:webHidden/>
            <w:sz w:val="18"/>
            <w:szCs w:val="18"/>
          </w:rPr>
        </w:r>
        <w:r w:rsidRPr="00621C9E">
          <w:rPr>
            <w:noProof/>
            <w:webHidden/>
            <w:sz w:val="18"/>
            <w:szCs w:val="18"/>
          </w:rPr>
          <w:fldChar w:fldCharType="separate"/>
        </w:r>
        <w:r w:rsidR="00C32B27">
          <w:rPr>
            <w:noProof/>
            <w:webHidden/>
            <w:sz w:val="18"/>
            <w:szCs w:val="18"/>
          </w:rPr>
          <w:t>255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14"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9: ENERGY SALES (MU): HISTORICAL TREND AND APPROVED VALUES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_Toc399626414 \h </w:instrText>
        </w:r>
        <w:r w:rsidRPr="00621C9E">
          <w:rPr>
            <w:noProof/>
            <w:webHidden/>
            <w:sz w:val="18"/>
            <w:szCs w:val="18"/>
          </w:rPr>
        </w:r>
        <w:r w:rsidRPr="00621C9E">
          <w:rPr>
            <w:noProof/>
            <w:webHidden/>
            <w:sz w:val="18"/>
            <w:szCs w:val="18"/>
          </w:rPr>
          <w:fldChar w:fldCharType="separate"/>
        </w:r>
        <w:r w:rsidR="00C32B27">
          <w:rPr>
            <w:noProof/>
            <w:webHidden/>
            <w:sz w:val="18"/>
            <w:szCs w:val="18"/>
          </w:rPr>
          <w:t>256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15"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10: SUMMARY OF DISTRIBUTION LOSSES</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_Toc399626415 \h </w:instrText>
        </w:r>
        <w:r w:rsidRPr="00621C9E">
          <w:rPr>
            <w:noProof/>
            <w:webHidden/>
            <w:sz w:val="18"/>
            <w:szCs w:val="18"/>
          </w:rPr>
        </w:r>
        <w:r w:rsidRPr="00621C9E">
          <w:rPr>
            <w:noProof/>
            <w:webHidden/>
            <w:sz w:val="18"/>
            <w:szCs w:val="18"/>
          </w:rPr>
          <w:fldChar w:fldCharType="separate"/>
        </w:r>
        <w:r w:rsidR="00C32B27">
          <w:rPr>
            <w:noProof/>
            <w:webHidden/>
            <w:sz w:val="18"/>
            <w:szCs w:val="18"/>
          </w:rPr>
          <w:t>261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16"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11: REVISED DISTRIBUTION LOSS TRAJECTORY SUBMITTED BY THE PETITIONERS FOR ARR PURPOSES</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_Toc399626416 \h </w:instrText>
        </w:r>
        <w:r w:rsidRPr="00621C9E">
          <w:rPr>
            <w:noProof/>
            <w:webHidden/>
            <w:sz w:val="18"/>
            <w:szCs w:val="18"/>
          </w:rPr>
        </w:r>
        <w:r w:rsidRPr="00621C9E">
          <w:rPr>
            <w:noProof/>
            <w:webHidden/>
            <w:sz w:val="18"/>
            <w:szCs w:val="18"/>
          </w:rPr>
          <w:fldChar w:fldCharType="separate"/>
        </w:r>
        <w:r w:rsidR="00C32B27">
          <w:rPr>
            <w:noProof/>
            <w:webHidden/>
            <w:sz w:val="18"/>
            <w:szCs w:val="18"/>
          </w:rPr>
          <w:t>262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17"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12: DISTRIBUTION LOSS APPROVED BY THE COMMISSION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_Toc399626417 \h </w:instrText>
        </w:r>
        <w:r w:rsidRPr="00621C9E">
          <w:rPr>
            <w:noProof/>
            <w:webHidden/>
            <w:sz w:val="18"/>
            <w:szCs w:val="18"/>
          </w:rPr>
        </w:r>
        <w:r w:rsidRPr="00621C9E">
          <w:rPr>
            <w:noProof/>
            <w:webHidden/>
            <w:sz w:val="18"/>
            <w:szCs w:val="18"/>
          </w:rPr>
          <w:fldChar w:fldCharType="separate"/>
        </w:r>
        <w:r w:rsidR="00C32B27">
          <w:rPr>
            <w:noProof/>
            <w:webHidden/>
            <w:sz w:val="18"/>
            <w:szCs w:val="18"/>
          </w:rPr>
          <w:t>263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18"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13: APPROVED ENERGY BALANCE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_Toc399626418 \h </w:instrText>
        </w:r>
        <w:r w:rsidRPr="00621C9E">
          <w:rPr>
            <w:noProof/>
            <w:webHidden/>
            <w:sz w:val="18"/>
            <w:szCs w:val="18"/>
          </w:rPr>
        </w:r>
        <w:r w:rsidRPr="00621C9E">
          <w:rPr>
            <w:noProof/>
            <w:webHidden/>
            <w:sz w:val="18"/>
            <w:szCs w:val="18"/>
          </w:rPr>
          <w:fldChar w:fldCharType="separate"/>
        </w:r>
        <w:r w:rsidR="00C32B27">
          <w:rPr>
            <w:noProof/>
            <w:webHidden/>
            <w:sz w:val="18"/>
            <w:szCs w:val="18"/>
          </w:rPr>
          <w:t>263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19"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14: POWER PROCUREMENT COST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_Toc399626419 \h </w:instrText>
        </w:r>
        <w:r w:rsidRPr="00621C9E">
          <w:rPr>
            <w:noProof/>
            <w:webHidden/>
            <w:sz w:val="18"/>
            <w:szCs w:val="18"/>
          </w:rPr>
        </w:r>
        <w:r w:rsidRPr="00621C9E">
          <w:rPr>
            <w:noProof/>
            <w:webHidden/>
            <w:sz w:val="18"/>
            <w:szCs w:val="18"/>
          </w:rPr>
          <w:fldChar w:fldCharType="separate"/>
        </w:r>
        <w:r w:rsidR="00C32B27">
          <w:rPr>
            <w:noProof/>
            <w:webHidden/>
            <w:sz w:val="18"/>
            <w:szCs w:val="18"/>
          </w:rPr>
          <w:t>270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20"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15: INTRA STATE TRANSMISSION CHARGES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_Toc399626420 \h </w:instrText>
        </w:r>
        <w:r w:rsidRPr="00621C9E">
          <w:rPr>
            <w:noProof/>
            <w:webHidden/>
            <w:sz w:val="18"/>
            <w:szCs w:val="18"/>
          </w:rPr>
        </w:r>
        <w:r w:rsidRPr="00621C9E">
          <w:rPr>
            <w:noProof/>
            <w:webHidden/>
            <w:sz w:val="18"/>
            <w:szCs w:val="18"/>
          </w:rPr>
          <w:fldChar w:fldCharType="separate"/>
        </w:r>
        <w:r w:rsidR="00C32B27">
          <w:rPr>
            <w:noProof/>
            <w:webHidden/>
            <w:sz w:val="18"/>
            <w:szCs w:val="18"/>
          </w:rPr>
          <w:t>272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21"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16: PAST TREND IN O&amp;M EXPENSES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_Toc399626421 \h </w:instrText>
        </w:r>
        <w:r w:rsidRPr="00621C9E">
          <w:rPr>
            <w:noProof/>
            <w:webHidden/>
            <w:sz w:val="18"/>
            <w:szCs w:val="18"/>
          </w:rPr>
        </w:r>
        <w:r w:rsidRPr="00621C9E">
          <w:rPr>
            <w:noProof/>
            <w:webHidden/>
            <w:sz w:val="18"/>
            <w:szCs w:val="18"/>
          </w:rPr>
          <w:fldChar w:fldCharType="separate"/>
        </w:r>
        <w:r w:rsidR="00C32B27">
          <w:rPr>
            <w:noProof/>
            <w:webHidden/>
            <w:sz w:val="18"/>
            <w:szCs w:val="18"/>
          </w:rPr>
          <w:t>275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22"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17: O&amp;M EXPENSES UP TO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_Toc399626422 \h </w:instrText>
        </w:r>
        <w:r w:rsidRPr="00621C9E">
          <w:rPr>
            <w:noProof/>
            <w:webHidden/>
            <w:sz w:val="18"/>
            <w:szCs w:val="18"/>
          </w:rPr>
        </w:r>
        <w:r w:rsidRPr="00621C9E">
          <w:rPr>
            <w:noProof/>
            <w:webHidden/>
            <w:sz w:val="18"/>
            <w:szCs w:val="18"/>
          </w:rPr>
          <w:fldChar w:fldCharType="separate"/>
        </w:r>
        <w:r w:rsidR="00C32B27">
          <w:rPr>
            <w:noProof/>
            <w:webHidden/>
            <w:sz w:val="18"/>
            <w:szCs w:val="18"/>
          </w:rPr>
          <w:t>275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23"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18: CAPITAL INVESTMENT PROPOSED BY THE PETITIONER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_Toc399626423 \h </w:instrText>
        </w:r>
        <w:r w:rsidRPr="00621C9E">
          <w:rPr>
            <w:noProof/>
            <w:webHidden/>
            <w:sz w:val="18"/>
            <w:szCs w:val="18"/>
          </w:rPr>
        </w:r>
        <w:r w:rsidRPr="00621C9E">
          <w:rPr>
            <w:noProof/>
            <w:webHidden/>
            <w:sz w:val="18"/>
            <w:szCs w:val="18"/>
          </w:rPr>
          <w:fldChar w:fldCharType="separate"/>
        </w:r>
        <w:r w:rsidR="00C32B27">
          <w:rPr>
            <w:noProof/>
            <w:webHidden/>
            <w:sz w:val="18"/>
            <w:szCs w:val="18"/>
          </w:rPr>
          <w:t>276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24"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19: CAPITALISATION &amp; WIP UP TO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_Toc399626424 \h </w:instrText>
        </w:r>
        <w:r w:rsidRPr="00621C9E">
          <w:rPr>
            <w:noProof/>
            <w:webHidden/>
            <w:sz w:val="18"/>
            <w:szCs w:val="18"/>
          </w:rPr>
        </w:r>
        <w:r w:rsidRPr="00621C9E">
          <w:rPr>
            <w:noProof/>
            <w:webHidden/>
            <w:sz w:val="18"/>
            <w:szCs w:val="18"/>
          </w:rPr>
          <w:fldChar w:fldCharType="separate"/>
        </w:r>
        <w:r w:rsidR="00C32B27">
          <w:rPr>
            <w:noProof/>
            <w:webHidden/>
            <w:sz w:val="18"/>
            <w:szCs w:val="18"/>
          </w:rPr>
          <w:t>280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25" w:history="1">
        <w:r w:rsidR="00621C9E" w:rsidRPr="00621C9E">
          <w:rPr>
            <w:rStyle w:val="Hyperlink"/>
            <w:rFonts w:eastAsiaTheme="majorEastAsia" w:cs="Calibri"/>
            <w:bCs/>
            <w:noProof/>
            <w:sz w:val="18"/>
            <w:szCs w:val="18"/>
          </w:rPr>
          <w:t>Table 9</w:t>
        </w:r>
        <w:r w:rsidR="00621C9E" w:rsidRPr="00621C9E">
          <w:rPr>
            <w:rStyle w:val="Hyperlink"/>
            <w:rFonts w:eastAsiaTheme="majorEastAsia" w:cs="Calibri"/>
            <w:bCs/>
            <w:noProof/>
            <w:sz w:val="18"/>
            <w:szCs w:val="18"/>
          </w:rPr>
          <w:noBreakHyphen/>
          <w:t>20: CONSUMER CONTRIBUTIONS, CAPITAL GRANTS AND SUBSIDIES CONSIDERED UP TO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_Toc399626425 \h </w:instrText>
        </w:r>
        <w:r w:rsidRPr="00621C9E">
          <w:rPr>
            <w:noProof/>
            <w:webHidden/>
            <w:sz w:val="18"/>
            <w:szCs w:val="18"/>
          </w:rPr>
        </w:r>
        <w:r w:rsidRPr="00621C9E">
          <w:rPr>
            <w:noProof/>
            <w:webHidden/>
            <w:sz w:val="18"/>
            <w:szCs w:val="18"/>
          </w:rPr>
          <w:fldChar w:fldCharType="separate"/>
        </w:r>
        <w:r w:rsidR="00C32B27">
          <w:rPr>
            <w:noProof/>
            <w:webHidden/>
            <w:sz w:val="18"/>
            <w:szCs w:val="18"/>
          </w:rPr>
          <w:t>282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26" w:history="1">
        <w:r w:rsidR="00621C9E" w:rsidRPr="00621C9E">
          <w:rPr>
            <w:rStyle w:val="Hyperlink"/>
            <w:rFonts w:eastAsiaTheme="majorEastAsia" w:cs="Calibri"/>
            <w:bCs/>
            <w:noProof/>
            <w:sz w:val="18"/>
            <w:szCs w:val="18"/>
          </w:rPr>
          <w:t>Table 9</w:t>
        </w:r>
        <w:r w:rsidR="00621C9E" w:rsidRPr="00621C9E">
          <w:rPr>
            <w:rStyle w:val="Hyperlink"/>
            <w:rFonts w:eastAsiaTheme="majorEastAsia" w:cs="Calibri"/>
            <w:bCs/>
            <w:noProof/>
            <w:sz w:val="18"/>
            <w:szCs w:val="18"/>
          </w:rPr>
          <w:noBreakHyphen/>
          <w:t>21: FINANCING OF THE CAPITAL INVESTMENTS UP TO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_Toc399626426 \h </w:instrText>
        </w:r>
        <w:r w:rsidRPr="00621C9E">
          <w:rPr>
            <w:noProof/>
            <w:webHidden/>
            <w:sz w:val="18"/>
            <w:szCs w:val="18"/>
          </w:rPr>
        </w:r>
        <w:r w:rsidRPr="00621C9E">
          <w:rPr>
            <w:noProof/>
            <w:webHidden/>
            <w:sz w:val="18"/>
            <w:szCs w:val="18"/>
          </w:rPr>
          <w:fldChar w:fldCharType="separate"/>
        </w:r>
        <w:r w:rsidR="00C32B27">
          <w:rPr>
            <w:noProof/>
            <w:webHidden/>
            <w:sz w:val="18"/>
            <w:szCs w:val="18"/>
          </w:rPr>
          <w:t>282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27"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22: GROSS FIXED ASSETS FOR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_Toc399626427 \h </w:instrText>
        </w:r>
        <w:r w:rsidRPr="00621C9E">
          <w:rPr>
            <w:noProof/>
            <w:webHidden/>
            <w:sz w:val="18"/>
            <w:szCs w:val="18"/>
          </w:rPr>
        </w:r>
        <w:r w:rsidRPr="00621C9E">
          <w:rPr>
            <w:noProof/>
            <w:webHidden/>
            <w:sz w:val="18"/>
            <w:szCs w:val="18"/>
          </w:rPr>
          <w:fldChar w:fldCharType="separate"/>
        </w:r>
        <w:r w:rsidR="00C32B27">
          <w:rPr>
            <w:noProof/>
            <w:webHidden/>
            <w:sz w:val="18"/>
            <w:szCs w:val="18"/>
          </w:rPr>
          <w:t>284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28"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23: APPROVED DEPRECIATION FOR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_Toc399626428 \h </w:instrText>
        </w:r>
        <w:r w:rsidRPr="00621C9E">
          <w:rPr>
            <w:noProof/>
            <w:webHidden/>
            <w:sz w:val="18"/>
            <w:szCs w:val="18"/>
          </w:rPr>
        </w:r>
        <w:r w:rsidRPr="00621C9E">
          <w:rPr>
            <w:noProof/>
            <w:webHidden/>
            <w:sz w:val="18"/>
            <w:szCs w:val="18"/>
          </w:rPr>
          <w:fldChar w:fldCharType="separate"/>
        </w:r>
        <w:r w:rsidR="00C32B27">
          <w:rPr>
            <w:noProof/>
            <w:webHidden/>
            <w:sz w:val="18"/>
            <w:szCs w:val="18"/>
          </w:rPr>
          <w:t>285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29"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24: INTEREST ON LONG TERM LOANS UP TO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_Toc399626429 \h </w:instrText>
        </w:r>
        <w:r w:rsidRPr="00621C9E">
          <w:rPr>
            <w:noProof/>
            <w:webHidden/>
            <w:sz w:val="18"/>
            <w:szCs w:val="18"/>
          </w:rPr>
        </w:r>
        <w:r w:rsidRPr="00621C9E">
          <w:rPr>
            <w:noProof/>
            <w:webHidden/>
            <w:sz w:val="18"/>
            <w:szCs w:val="18"/>
          </w:rPr>
          <w:fldChar w:fldCharType="separate"/>
        </w:r>
        <w:r w:rsidR="00C32B27">
          <w:rPr>
            <w:noProof/>
            <w:webHidden/>
            <w:sz w:val="18"/>
            <w:szCs w:val="18"/>
          </w:rPr>
          <w:t>287</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30"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25: INTEREST COST ON WORKING CAPITAL LOANS FOR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_Toc399626430 \h </w:instrText>
        </w:r>
        <w:r w:rsidRPr="00621C9E">
          <w:rPr>
            <w:noProof/>
            <w:webHidden/>
            <w:sz w:val="18"/>
            <w:szCs w:val="18"/>
          </w:rPr>
        </w:r>
        <w:r w:rsidRPr="00621C9E">
          <w:rPr>
            <w:noProof/>
            <w:webHidden/>
            <w:sz w:val="18"/>
            <w:szCs w:val="18"/>
          </w:rPr>
          <w:fldChar w:fldCharType="separate"/>
        </w:r>
        <w:r w:rsidR="00C32B27">
          <w:rPr>
            <w:noProof/>
            <w:webHidden/>
            <w:sz w:val="18"/>
            <w:szCs w:val="18"/>
          </w:rPr>
          <w:t>288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31"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26: INTEREST ON SECURITY DEPOSITS FOR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_Toc399626431 \h </w:instrText>
        </w:r>
        <w:r w:rsidRPr="00621C9E">
          <w:rPr>
            <w:noProof/>
            <w:webHidden/>
            <w:sz w:val="18"/>
            <w:szCs w:val="18"/>
          </w:rPr>
        </w:r>
        <w:r w:rsidRPr="00621C9E">
          <w:rPr>
            <w:noProof/>
            <w:webHidden/>
            <w:sz w:val="18"/>
            <w:szCs w:val="18"/>
          </w:rPr>
          <w:fldChar w:fldCharType="separate"/>
        </w:r>
        <w:r w:rsidR="00C32B27">
          <w:rPr>
            <w:noProof/>
            <w:webHidden/>
            <w:sz w:val="18"/>
            <w:szCs w:val="18"/>
          </w:rPr>
          <w:t>290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32"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27: INTEREST and FINANCE CHARGES FOR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_Toc399626432 \h </w:instrText>
        </w:r>
        <w:r w:rsidRPr="00621C9E">
          <w:rPr>
            <w:noProof/>
            <w:webHidden/>
            <w:sz w:val="18"/>
            <w:szCs w:val="18"/>
          </w:rPr>
        </w:r>
        <w:r w:rsidRPr="00621C9E">
          <w:rPr>
            <w:noProof/>
            <w:webHidden/>
            <w:sz w:val="18"/>
            <w:szCs w:val="18"/>
          </w:rPr>
          <w:fldChar w:fldCharType="separate"/>
        </w:r>
        <w:r w:rsidR="00C32B27">
          <w:rPr>
            <w:noProof/>
            <w:webHidden/>
            <w:sz w:val="18"/>
            <w:szCs w:val="18"/>
          </w:rPr>
          <w:t>291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33"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28: OTHER INCOME FOR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_Toc399626433 \h </w:instrText>
        </w:r>
        <w:r w:rsidRPr="00621C9E">
          <w:rPr>
            <w:noProof/>
            <w:webHidden/>
            <w:sz w:val="18"/>
            <w:szCs w:val="18"/>
          </w:rPr>
        </w:r>
        <w:r w:rsidRPr="00621C9E">
          <w:rPr>
            <w:noProof/>
            <w:webHidden/>
            <w:sz w:val="18"/>
            <w:szCs w:val="18"/>
          </w:rPr>
          <w:fldChar w:fldCharType="separate"/>
        </w:r>
        <w:r w:rsidR="00C32B27">
          <w:rPr>
            <w:noProof/>
            <w:webHidden/>
            <w:sz w:val="18"/>
            <w:szCs w:val="18"/>
          </w:rPr>
          <w:t>294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34"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29: EXISTING &amp; APPROVED TARIFF REVENUES: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_Toc399626434 \h </w:instrText>
        </w:r>
        <w:r w:rsidRPr="00621C9E">
          <w:rPr>
            <w:noProof/>
            <w:webHidden/>
            <w:sz w:val="18"/>
            <w:szCs w:val="18"/>
          </w:rPr>
        </w:r>
        <w:r w:rsidRPr="00621C9E">
          <w:rPr>
            <w:noProof/>
            <w:webHidden/>
            <w:sz w:val="18"/>
            <w:szCs w:val="18"/>
          </w:rPr>
          <w:fldChar w:fldCharType="separate"/>
        </w:r>
        <w:r w:rsidR="00C32B27">
          <w:rPr>
            <w:noProof/>
            <w:webHidden/>
            <w:sz w:val="18"/>
            <w:szCs w:val="18"/>
          </w:rPr>
          <w:t>297</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35" w:history="1">
        <w:r w:rsidR="00621C9E" w:rsidRPr="00621C9E">
          <w:rPr>
            <w:rStyle w:val="Hyperlink"/>
            <w:rFonts w:eastAsiaTheme="majorEastAsia"/>
            <w:noProof/>
            <w:sz w:val="18"/>
            <w:szCs w:val="18"/>
          </w:rPr>
          <w:t>Table 9</w:t>
        </w:r>
        <w:r w:rsidR="00621C9E" w:rsidRPr="00621C9E">
          <w:rPr>
            <w:rStyle w:val="Hyperlink"/>
            <w:rFonts w:eastAsiaTheme="majorEastAsia"/>
            <w:noProof/>
            <w:sz w:val="18"/>
            <w:szCs w:val="18"/>
          </w:rPr>
          <w:noBreakHyphen/>
          <w:t>30: ARR, REVENUE AND GAP SUMMARY FOR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_Toc399626435 \h </w:instrText>
        </w:r>
        <w:r w:rsidRPr="00621C9E">
          <w:rPr>
            <w:noProof/>
            <w:webHidden/>
            <w:sz w:val="18"/>
            <w:szCs w:val="18"/>
          </w:rPr>
        </w:r>
        <w:r w:rsidRPr="00621C9E">
          <w:rPr>
            <w:noProof/>
            <w:webHidden/>
            <w:sz w:val="18"/>
            <w:szCs w:val="18"/>
          </w:rPr>
          <w:fldChar w:fldCharType="separate"/>
        </w:r>
        <w:r w:rsidR="00C32B27">
          <w:rPr>
            <w:noProof/>
            <w:webHidden/>
            <w:sz w:val="18"/>
            <w:szCs w:val="18"/>
          </w:rPr>
          <w:t>298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36" w:history="1">
        <w:r w:rsidR="00621C9E" w:rsidRPr="00621C9E">
          <w:rPr>
            <w:rStyle w:val="Hyperlink"/>
            <w:rFonts w:eastAsiaTheme="majorEastAsia"/>
            <w:noProof/>
            <w:sz w:val="18"/>
            <w:szCs w:val="18"/>
          </w:rPr>
          <w:t>Table 10</w:t>
        </w:r>
        <w:r w:rsidR="00621C9E" w:rsidRPr="00621C9E">
          <w:rPr>
            <w:rStyle w:val="Hyperlink"/>
            <w:rFonts w:eastAsiaTheme="majorEastAsia"/>
            <w:noProof/>
            <w:sz w:val="18"/>
            <w:szCs w:val="18"/>
          </w:rPr>
          <w:noBreakHyphen/>
          <w:t>1: WHEELING &amp; RETAIL SUPPLY ARR FOR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_Toc399626436 \h </w:instrText>
        </w:r>
        <w:r w:rsidRPr="00621C9E">
          <w:rPr>
            <w:noProof/>
            <w:webHidden/>
            <w:sz w:val="18"/>
            <w:szCs w:val="18"/>
          </w:rPr>
        </w:r>
        <w:r w:rsidRPr="00621C9E">
          <w:rPr>
            <w:noProof/>
            <w:webHidden/>
            <w:sz w:val="18"/>
            <w:szCs w:val="18"/>
          </w:rPr>
          <w:fldChar w:fldCharType="separate"/>
        </w:r>
        <w:r w:rsidR="00C32B27">
          <w:rPr>
            <w:noProof/>
            <w:webHidden/>
            <w:sz w:val="18"/>
            <w:szCs w:val="18"/>
          </w:rPr>
          <w:t>302</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37" w:history="1">
        <w:r w:rsidR="00621C9E" w:rsidRPr="00621C9E">
          <w:rPr>
            <w:rStyle w:val="Hyperlink"/>
            <w:rFonts w:eastAsiaTheme="majorEastAsia"/>
            <w:noProof/>
            <w:sz w:val="18"/>
            <w:szCs w:val="18"/>
          </w:rPr>
          <w:t>Table 10</w:t>
        </w:r>
        <w:r w:rsidR="00621C9E" w:rsidRPr="00621C9E">
          <w:rPr>
            <w:rStyle w:val="Hyperlink"/>
            <w:rFonts w:eastAsiaTheme="majorEastAsia"/>
            <w:noProof/>
            <w:sz w:val="18"/>
            <w:szCs w:val="18"/>
          </w:rPr>
          <w:noBreakHyphen/>
          <w:t>2: WHEELING CHARGES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_Toc399626437 \h </w:instrText>
        </w:r>
        <w:r w:rsidRPr="00621C9E">
          <w:rPr>
            <w:noProof/>
            <w:webHidden/>
            <w:sz w:val="18"/>
            <w:szCs w:val="18"/>
          </w:rPr>
        </w:r>
        <w:r w:rsidRPr="00621C9E">
          <w:rPr>
            <w:noProof/>
            <w:webHidden/>
            <w:sz w:val="18"/>
            <w:szCs w:val="18"/>
          </w:rPr>
          <w:fldChar w:fldCharType="separate"/>
        </w:r>
        <w:r w:rsidR="00C32B27">
          <w:rPr>
            <w:noProof/>
            <w:webHidden/>
            <w:sz w:val="18"/>
            <w:szCs w:val="18"/>
          </w:rPr>
          <w:t>303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38" w:history="1">
        <w:r w:rsidR="00621C9E" w:rsidRPr="00621C9E">
          <w:rPr>
            <w:rStyle w:val="Hyperlink"/>
            <w:rFonts w:eastAsiaTheme="majorEastAsia"/>
            <w:noProof/>
            <w:sz w:val="18"/>
            <w:szCs w:val="18"/>
          </w:rPr>
          <w:t>Table 10</w:t>
        </w:r>
        <w:r w:rsidR="00621C9E" w:rsidRPr="00621C9E">
          <w:rPr>
            <w:rStyle w:val="Hyperlink"/>
            <w:rFonts w:eastAsiaTheme="majorEastAsia"/>
            <w:noProof/>
            <w:sz w:val="18"/>
            <w:szCs w:val="18"/>
          </w:rPr>
          <w:noBreakHyphen/>
          <w:t>3: APPROVED VOLTAGE-WISE WHEELING CHARGES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_Toc399626438 \h </w:instrText>
        </w:r>
        <w:r w:rsidRPr="00621C9E">
          <w:rPr>
            <w:noProof/>
            <w:webHidden/>
            <w:sz w:val="18"/>
            <w:szCs w:val="18"/>
          </w:rPr>
        </w:r>
        <w:r w:rsidRPr="00621C9E">
          <w:rPr>
            <w:noProof/>
            <w:webHidden/>
            <w:sz w:val="18"/>
            <w:szCs w:val="18"/>
          </w:rPr>
          <w:fldChar w:fldCharType="separate"/>
        </w:r>
        <w:r w:rsidR="00C32B27">
          <w:rPr>
            <w:noProof/>
            <w:webHidden/>
            <w:sz w:val="18"/>
            <w:szCs w:val="18"/>
          </w:rPr>
          <w:t>304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39" w:history="1">
        <w:r w:rsidR="00621C9E" w:rsidRPr="00621C9E">
          <w:rPr>
            <w:rStyle w:val="Hyperlink"/>
            <w:rFonts w:eastAsiaTheme="majorEastAsia"/>
            <w:noProof/>
            <w:sz w:val="18"/>
            <w:szCs w:val="18"/>
          </w:rPr>
          <w:t>Table 10</w:t>
        </w:r>
        <w:r w:rsidR="00621C9E" w:rsidRPr="00621C9E">
          <w:rPr>
            <w:rStyle w:val="Hyperlink"/>
            <w:rFonts w:eastAsiaTheme="majorEastAsia"/>
            <w:noProof/>
            <w:sz w:val="18"/>
            <w:szCs w:val="18"/>
          </w:rPr>
          <w:noBreakHyphen/>
          <w:t>4: COST OF SUPPLY APPROVED BY THE COMMISSION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_Toc399626439 \h </w:instrText>
        </w:r>
        <w:r w:rsidRPr="00621C9E">
          <w:rPr>
            <w:noProof/>
            <w:webHidden/>
            <w:sz w:val="18"/>
            <w:szCs w:val="18"/>
          </w:rPr>
        </w:r>
        <w:r w:rsidRPr="00621C9E">
          <w:rPr>
            <w:noProof/>
            <w:webHidden/>
            <w:sz w:val="18"/>
            <w:szCs w:val="18"/>
          </w:rPr>
          <w:fldChar w:fldCharType="separate"/>
        </w:r>
        <w:r w:rsidR="00C32B27">
          <w:rPr>
            <w:noProof/>
            <w:webHidden/>
            <w:sz w:val="18"/>
            <w:szCs w:val="18"/>
          </w:rPr>
          <w:t>310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40" w:history="1">
        <w:r w:rsidR="00621C9E" w:rsidRPr="00621C9E">
          <w:rPr>
            <w:rStyle w:val="Hyperlink"/>
            <w:rFonts w:eastAsiaTheme="majorEastAsia"/>
            <w:noProof/>
            <w:sz w:val="18"/>
            <w:szCs w:val="18"/>
          </w:rPr>
          <w:t>Table 10</w:t>
        </w:r>
        <w:r w:rsidR="00621C9E" w:rsidRPr="00621C9E">
          <w:rPr>
            <w:rStyle w:val="Hyperlink"/>
            <w:rFonts w:eastAsiaTheme="majorEastAsia"/>
            <w:noProof/>
            <w:sz w:val="18"/>
            <w:szCs w:val="18"/>
          </w:rPr>
          <w:noBreakHyphen/>
          <w:t>5: CROSS SUBSIDY SURCHARGE APROVED BY THE COMMISSISON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_Toc399626440 \h </w:instrText>
        </w:r>
        <w:r w:rsidRPr="00621C9E">
          <w:rPr>
            <w:noProof/>
            <w:webHidden/>
            <w:sz w:val="18"/>
            <w:szCs w:val="18"/>
          </w:rPr>
        </w:r>
        <w:r w:rsidRPr="00621C9E">
          <w:rPr>
            <w:noProof/>
            <w:webHidden/>
            <w:sz w:val="18"/>
            <w:szCs w:val="18"/>
          </w:rPr>
          <w:fldChar w:fldCharType="separate"/>
        </w:r>
        <w:r w:rsidR="00C32B27">
          <w:rPr>
            <w:noProof/>
            <w:webHidden/>
            <w:sz w:val="18"/>
            <w:szCs w:val="18"/>
          </w:rPr>
          <w:t>310</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41" w:history="1">
        <w:r w:rsidR="00621C9E" w:rsidRPr="00621C9E">
          <w:rPr>
            <w:rStyle w:val="Hyperlink"/>
            <w:rFonts w:eastAsiaTheme="majorEastAsia"/>
            <w:noProof/>
            <w:sz w:val="18"/>
            <w:szCs w:val="18"/>
          </w:rPr>
          <w:t>Table 12</w:t>
        </w:r>
        <w:r w:rsidR="00621C9E" w:rsidRPr="00621C9E">
          <w:rPr>
            <w:rStyle w:val="Hyperlink"/>
            <w:rFonts w:eastAsiaTheme="majorEastAsia"/>
            <w:noProof/>
            <w:sz w:val="18"/>
            <w:szCs w:val="18"/>
          </w:rPr>
          <w:noBreakHyphen/>
          <w:t>1: REVENUE FROM SALE OF POWER AT APPROVED TARIFF -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_Toc399626441 \h </w:instrText>
        </w:r>
        <w:r w:rsidRPr="00621C9E">
          <w:rPr>
            <w:noProof/>
            <w:webHidden/>
            <w:sz w:val="18"/>
            <w:szCs w:val="18"/>
          </w:rPr>
        </w:r>
        <w:r w:rsidRPr="00621C9E">
          <w:rPr>
            <w:noProof/>
            <w:webHidden/>
            <w:sz w:val="18"/>
            <w:szCs w:val="18"/>
          </w:rPr>
          <w:fldChar w:fldCharType="separate"/>
        </w:r>
        <w:r w:rsidR="00C32B27">
          <w:rPr>
            <w:noProof/>
            <w:webHidden/>
            <w:sz w:val="18"/>
            <w:szCs w:val="18"/>
          </w:rPr>
          <w:t>324</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42" w:history="1">
        <w:r w:rsidR="00621C9E" w:rsidRPr="00621C9E">
          <w:rPr>
            <w:rStyle w:val="Hyperlink"/>
            <w:rFonts w:eastAsiaTheme="majorEastAsia"/>
            <w:noProof/>
            <w:sz w:val="18"/>
            <w:szCs w:val="18"/>
          </w:rPr>
          <w:t>Table 12</w:t>
        </w:r>
        <w:r w:rsidR="00621C9E" w:rsidRPr="00621C9E">
          <w:rPr>
            <w:rStyle w:val="Hyperlink"/>
            <w:rFonts w:eastAsiaTheme="majorEastAsia"/>
            <w:noProof/>
            <w:sz w:val="18"/>
            <w:szCs w:val="18"/>
          </w:rPr>
          <w:noBreakHyphen/>
          <w:t>2: ESTIMATION OF ARR GAP/SURPLUS AT REVISED TARIFF FOR FY 2014-15 (Rs. Crore)</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_Toc399626442 \h </w:instrText>
        </w:r>
        <w:r w:rsidRPr="00621C9E">
          <w:rPr>
            <w:noProof/>
            <w:webHidden/>
            <w:sz w:val="18"/>
            <w:szCs w:val="18"/>
          </w:rPr>
        </w:r>
        <w:r w:rsidRPr="00621C9E">
          <w:rPr>
            <w:noProof/>
            <w:webHidden/>
            <w:sz w:val="18"/>
            <w:szCs w:val="18"/>
          </w:rPr>
          <w:fldChar w:fldCharType="separate"/>
        </w:r>
        <w:r w:rsidR="00C32B27">
          <w:rPr>
            <w:noProof/>
            <w:webHidden/>
            <w:sz w:val="18"/>
            <w:szCs w:val="18"/>
          </w:rPr>
          <w:t>325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43" w:history="1">
        <w:r w:rsidR="00621C9E" w:rsidRPr="00621C9E">
          <w:rPr>
            <w:rStyle w:val="Hyperlink"/>
            <w:rFonts w:eastAsiaTheme="majorEastAsia"/>
            <w:noProof/>
            <w:sz w:val="18"/>
            <w:szCs w:val="18"/>
          </w:rPr>
          <w:t>Table 12</w:t>
        </w:r>
        <w:r w:rsidR="00621C9E" w:rsidRPr="00621C9E">
          <w:rPr>
            <w:rStyle w:val="Hyperlink"/>
            <w:rFonts w:eastAsiaTheme="majorEastAsia"/>
            <w:noProof/>
            <w:sz w:val="18"/>
            <w:szCs w:val="18"/>
          </w:rPr>
          <w:noBreakHyphen/>
          <w:t>3: REVENUE REALIZED AS % OF ACOS</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_Toc399626443 \h </w:instrText>
        </w:r>
        <w:r w:rsidRPr="00621C9E">
          <w:rPr>
            <w:noProof/>
            <w:webHidden/>
            <w:sz w:val="18"/>
            <w:szCs w:val="18"/>
          </w:rPr>
        </w:r>
        <w:r w:rsidRPr="00621C9E">
          <w:rPr>
            <w:noProof/>
            <w:webHidden/>
            <w:sz w:val="18"/>
            <w:szCs w:val="18"/>
          </w:rPr>
          <w:fldChar w:fldCharType="separate"/>
        </w:r>
        <w:r w:rsidR="00C32B27">
          <w:rPr>
            <w:noProof/>
            <w:webHidden/>
            <w:sz w:val="18"/>
            <w:szCs w:val="18"/>
          </w:rPr>
          <w:t>326</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44" w:history="1">
        <w:r w:rsidR="00621C9E" w:rsidRPr="00621C9E">
          <w:rPr>
            <w:rStyle w:val="Hyperlink"/>
            <w:rFonts w:eastAsiaTheme="majorEastAsia"/>
            <w:noProof/>
            <w:sz w:val="18"/>
            <w:szCs w:val="18"/>
          </w:rPr>
          <w:t>Table 12</w:t>
        </w:r>
        <w:r w:rsidR="00621C9E" w:rsidRPr="00621C9E">
          <w:rPr>
            <w:rStyle w:val="Hyperlink"/>
            <w:rFonts w:eastAsiaTheme="majorEastAsia"/>
            <w:noProof/>
            <w:sz w:val="18"/>
            <w:szCs w:val="18"/>
          </w:rPr>
          <w:noBreakHyphen/>
          <w:t>4: REGULATORY SURCHARGE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_Toc399626444 \h </w:instrText>
        </w:r>
        <w:r w:rsidRPr="00621C9E">
          <w:rPr>
            <w:noProof/>
            <w:webHidden/>
            <w:sz w:val="18"/>
            <w:szCs w:val="18"/>
          </w:rPr>
        </w:r>
        <w:r w:rsidRPr="00621C9E">
          <w:rPr>
            <w:noProof/>
            <w:webHidden/>
            <w:sz w:val="18"/>
            <w:szCs w:val="18"/>
          </w:rPr>
          <w:fldChar w:fldCharType="separate"/>
        </w:r>
        <w:r w:rsidR="00C32B27">
          <w:rPr>
            <w:noProof/>
            <w:webHidden/>
            <w:sz w:val="18"/>
            <w:szCs w:val="18"/>
          </w:rPr>
          <w:t>328</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45" w:history="1">
        <w:r w:rsidR="00621C9E" w:rsidRPr="00621C9E">
          <w:rPr>
            <w:rStyle w:val="Hyperlink"/>
            <w:rFonts w:eastAsiaTheme="majorEastAsia"/>
            <w:noProof/>
            <w:sz w:val="18"/>
            <w:szCs w:val="18"/>
          </w:rPr>
          <w:t>TABLE 13</w:t>
        </w:r>
        <w:r w:rsidR="00621C9E" w:rsidRPr="00621C9E">
          <w:rPr>
            <w:rStyle w:val="Hyperlink"/>
            <w:rFonts w:eastAsiaTheme="majorEastAsia"/>
            <w:noProof/>
            <w:sz w:val="18"/>
            <w:szCs w:val="18"/>
          </w:rPr>
          <w:noBreakHyphen/>
          <w:t>1: STATUS OF COMPLIANCE DIRECTIVES</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_Toc399626445 \h </w:instrText>
        </w:r>
        <w:r w:rsidRPr="00621C9E">
          <w:rPr>
            <w:noProof/>
            <w:webHidden/>
            <w:sz w:val="18"/>
            <w:szCs w:val="18"/>
          </w:rPr>
        </w:r>
        <w:r w:rsidRPr="00621C9E">
          <w:rPr>
            <w:noProof/>
            <w:webHidden/>
            <w:sz w:val="18"/>
            <w:szCs w:val="18"/>
          </w:rPr>
          <w:fldChar w:fldCharType="separate"/>
        </w:r>
        <w:r w:rsidR="00C32B27">
          <w:rPr>
            <w:noProof/>
            <w:webHidden/>
            <w:sz w:val="18"/>
            <w:szCs w:val="18"/>
          </w:rPr>
          <w:t>331</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46" w:history="1">
        <w:r w:rsidR="00621C9E" w:rsidRPr="00621C9E">
          <w:rPr>
            <w:rStyle w:val="Hyperlink"/>
            <w:rFonts w:eastAsiaTheme="majorEastAsia"/>
            <w:noProof/>
            <w:sz w:val="18"/>
            <w:szCs w:val="18"/>
          </w:rPr>
          <w:t>TABLE 13</w:t>
        </w:r>
        <w:r w:rsidR="00621C9E" w:rsidRPr="00621C9E">
          <w:rPr>
            <w:rStyle w:val="Hyperlink"/>
            <w:rFonts w:eastAsiaTheme="majorEastAsia"/>
            <w:noProof/>
            <w:sz w:val="18"/>
            <w:szCs w:val="18"/>
          </w:rPr>
          <w:noBreakHyphen/>
          <w:t>2: DIRECTIVES</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_Toc399626446 \h </w:instrText>
        </w:r>
        <w:r w:rsidRPr="00621C9E">
          <w:rPr>
            <w:noProof/>
            <w:webHidden/>
            <w:sz w:val="18"/>
            <w:szCs w:val="18"/>
          </w:rPr>
        </w:r>
        <w:r w:rsidRPr="00621C9E">
          <w:rPr>
            <w:noProof/>
            <w:webHidden/>
            <w:sz w:val="18"/>
            <w:szCs w:val="18"/>
          </w:rPr>
          <w:fldChar w:fldCharType="separate"/>
        </w:r>
        <w:r w:rsidR="00C32B27">
          <w:rPr>
            <w:noProof/>
            <w:webHidden/>
            <w:sz w:val="18"/>
            <w:szCs w:val="18"/>
          </w:rPr>
          <w:t>345</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47" w:history="1">
        <w:r w:rsidR="00621C9E" w:rsidRPr="00621C9E">
          <w:rPr>
            <w:rStyle w:val="Hyperlink"/>
            <w:rFonts w:eastAsiaTheme="majorEastAsia"/>
            <w:noProof/>
            <w:sz w:val="18"/>
            <w:szCs w:val="18"/>
          </w:rPr>
          <w:t>TABLE 15</w:t>
        </w:r>
        <w:r w:rsidR="00621C9E" w:rsidRPr="00621C9E">
          <w:rPr>
            <w:rStyle w:val="Hyperlink"/>
            <w:rFonts w:eastAsiaTheme="majorEastAsia"/>
            <w:noProof/>
            <w:sz w:val="18"/>
            <w:szCs w:val="18"/>
          </w:rPr>
          <w:noBreakHyphen/>
          <w:t>1: COMMISSION’S APPROVAL OF NUMBER OF CONSUMERS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_Toc399626447 \h </w:instrText>
        </w:r>
        <w:r w:rsidRPr="00621C9E">
          <w:rPr>
            <w:noProof/>
            <w:webHidden/>
            <w:sz w:val="18"/>
            <w:szCs w:val="18"/>
          </w:rPr>
        </w:r>
        <w:r w:rsidRPr="00621C9E">
          <w:rPr>
            <w:noProof/>
            <w:webHidden/>
            <w:sz w:val="18"/>
            <w:szCs w:val="18"/>
          </w:rPr>
          <w:fldChar w:fldCharType="separate"/>
        </w:r>
        <w:r w:rsidR="00C32B27">
          <w:rPr>
            <w:noProof/>
            <w:webHidden/>
            <w:sz w:val="18"/>
            <w:szCs w:val="18"/>
          </w:rPr>
          <w:t>353</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48" w:history="1">
        <w:r w:rsidR="00621C9E" w:rsidRPr="00621C9E">
          <w:rPr>
            <w:rStyle w:val="Hyperlink"/>
            <w:rFonts w:eastAsiaTheme="majorEastAsia"/>
            <w:noProof/>
            <w:sz w:val="18"/>
            <w:szCs w:val="18"/>
          </w:rPr>
          <w:t>Table 15</w:t>
        </w:r>
        <w:r w:rsidR="00621C9E" w:rsidRPr="00621C9E">
          <w:rPr>
            <w:rStyle w:val="Hyperlink"/>
            <w:rFonts w:eastAsiaTheme="majorEastAsia"/>
            <w:noProof/>
            <w:sz w:val="18"/>
            <w:szCs w:val="18"/>
          </w:rPr>
          <w:noBreakHyphen/>
          <w:t>2: COMMISSION’S APPROVAL OF CONNECTED LOAD (KW)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_Toc399626448 \h </w:instrText>
        </w:r>
        <w:r w:rsidRPr="00621C9E">
          <w:rPr>
            <w:noProof/>
            <w:webHidden/>
            <w:sz w:val="18"/>
            <w:szCs w:val="18"/>
          </w:rPr>
        </w:r>
        <w:r w:rsidRPr="00621C9E">
          <w:rPr>
            <w:noProof/>
            <w:webHidden/>
            <w:sz w:val="18"/>
            <w:szCs w:val="18"/>
          </w:rPr>
          <w:fldChar w:fldCharType="separate"/>
        </w:r>
        <w:r w:rsidR="00C32B27">
          <w:rPr>
            <w:noProof/>
            <w:webHidden/>
            <w:sz w:val="18"/>
            <w:szCs w:val="18"/>
          </w:rPr>
          <w:t>359</w:t>
        </w:r>
        <w:r w:rsidRPr="00621C9E">
          <w:rPr>
            <w:noProof/>
            <w:webHidden/>
            <w:sz w:val="18"/>
            <w:szCs w:val="18"/>
          </w:rPr>
          <w:fldChar w:fldCharType="end"/>
        </w:r>
      </w:hyperlink>
    </w:p>
    <w:p w:rsidR="00621C9E" w:rsidRPr="00621C9E" w:rsidRDefault="005D68E7">
      <w:pPr>
        <w:pStyle w:val="TableofFigures"/>
        <w:tabs>
          <w:tab w:val="right" w:leader="dot" w:pos="8659"/>
        </w:tabs>
        <w:rPr>
          <w:rFonts w:eastAsiaTheme="minorEastAsia" w:cstheme="minorBidi"/>
          <w:smallCaps w:val="0"/>
          <w:noProof/>
          <w:sz w:val="18"/>
          <w:szCs w:val="18"/>
          <w:lang w:val="en-US"/>
        </w:rPr>
      </w:pPr>
      <w:hyperlink w:anchor="_Toc399626449" w:history="1">
        <w:r w:rsidR="00621C9E" w:rsidRPr="00621C9E">
          <w:rPr>
            <w:rStyle w:val="Hyperlink"/>
            <w:rFonts w:eastAsiaTheme="majorEastAsia"/>
            <w:noProof/>
            <w:sz w:val="18"/>
            <w:szCs w:val="18"/>
          </w:rPr>
          <w:t>Table 15</w:t>
        </w:r>
        <w:r w:rsidR="00621C9E" w:rsidRPr="00621C9E">
          <w:rPr>
            <w:rStyle w:val="Hyperlink"/>
            <w:rFonts w:eastAsiaTheme="majorEastAsia"/>
            <w:noProof/>
            <w:sz w:val="18"/>
            <w:szCs w:val="18"/>
          </w:rPr>
          <w:noBreakHyphen/>
          <w:t>3: COMMISSION’S APPROVAL OF ENERGY SALES (MU) FOR FY 2014-15</w:t>
        </w:r>
        <w:r w:rsidR="00621C9E" w:rsidRPr="00621C9E">
          <w:rPr>
            <w:noProof/>
            <w:webHidden/>
            <w:sz w:val="18"/>
            <w:szCs w:val="18"/>
          </w:rPr>
          <w:tab/>
        </w:r>
        <w:r w:rsidRPr="00621C9E">
          <w:rPr>
            <w:noProof/>
            <w:webHidden/>
            <w:sz w:val="18"/>
            <w:szCs w:val="18"/>
          </w:rPr>
          <w:fldChar w:fldCharType="begin"/>
        </w:r>
        <w:r w:rsidR="00621C9E" w:rsidRPr="00621C9E">
          <w:rPr>
            <w:noProof/>
            <w:webHidden/>
            <w:sz w:val="18"/>
            <w:szCs w:val="18"/>
          </w:rPr>
          <w:instrText xml:space="preserve"> PAGEREF _Toc399626449 \h </w:instrText>
        </w:r>
        <w:r w:rsidRPr="00621C9E">
          <w:rPr>
            <w:noProof/>
            <w:webHidden/>
            <w:sz w:val="18"/>
            <w:szCs w:val="18"/>
          </w:rPr>
        </w:r>
        <w:r w:rsidRPr="00621C9E">
          <w:rPr>
            <w:noProof/>
            <w:webHidden/>
            <w:sz w:val="18"/>
            <w:szCs w:val="18"/>
          </w:rPr>
          <w:fldChar w:fldCharType="separate"/>
        </w:r>
        <w:r w:rsidR="00C32B27">
          <w:rPr>
            <w:noProof/>
            <w:webHidden/>
            <w:sz w:val="18"/>
            <w:szCs w:val="18"/>
          </w:rPr>
          <w:t>365</w:t>
        </w:r>
        <w:r w:rsidRPr="00621C9E">
          <w:rPr>
            <w:noProof/>
            <w:webHidden/>
            <w:sz w:val="18"/>
            <w:szCs w:val="18"/>
          </w:rPr>
          <w:fldChar w:fldCharType="end"/>
        </w:r>
      </w:hyperlink>
    </w:p>
    <w:p w:rsidR="00E6329E" w:rsidRPr="00562551" w:rsidRDefault="005D68E7" w:rsidP="0015232B">
      <w:pPr>
        <w:pStyle w:val="TableofFigures"/>
        <w:tabs>
          <w:tab w:val="right" w:leader="dot" w:pos="8659"/>
        </w:tabs>
        <w:rPr>
          <w:sz w:val="18"/>
          <w:szCs w:val="18"/>
        </w:rPr>
      </w:pPr>
      <w:r w:rsidRPr="00562551">
        <w:rPr>
          <w:rStyle w:val="Hyperlink"/>
          <w:noProof/>
          <w:sz w:val="18"/>
          <w:szCs w:val="18"/>
        </w:rPr>
        <w:fldChar w:fldCharType="end"/>
      </w:r>
    </w:p>
    <w:p w:rsidR="00E6329E" w:rsidRPr="00B53423" w:rsidRDefault="00E6329E" w:rsidP="00247D53">
      <w:pPr>
        <w:spacing w:before="0" w:line="240" w:lineRule="auto"/>
        <w:jc w:val="center"/>
        <w:rPr>
          <w:b/>
        </w:rPr>
      </w:pPr>
      <w:r w:rsidRPr="00B53423">
        <w:rPr>
          <w:rFonts w:asciiTheme="minorHAnsi" w:hAnsiTheme="minorHAnsi" w:cstheme="minorHAnsi"/>
          <w:caps/>
        </w:rPr>
        <w:br w:type="page"/>
      </w:r>
      <w:r w:rsidRPr="00B53423">
        <w:rPr>
          <w:b/>
        </w:rPr>
        <w:t>Before</w:t>
      </w:r>
    </w:p>
    <w:p w:rsidR="00E6329E" w:rsidRPr="00B53423" w:rsidRDefault="00E6329E" w:rsidP="00247D53">
      <w:pPr>
        <w:spacing w:before="0" w:line="240" w:lineRule="auto"/>
        <w:jc w:val="center"/>
        <w:rPr>
          <w:b/>
        </w:rPr>
      </w:pPr>
    </w:p>
    <w:p w:rsidR="00E6329E" w:rsidRPr="00B53423" w:rsidRDefault="00E6329E" w:rsidP="00247D53">
      <w:pPr>
        <w:spacing w:before="0" w:line="240" w:lineRule="auto"/>
        <w:jc w:val="center"/>
        <w:rPr>
          <w:b/>
        </w:rPr>
      </w:pPr>
      <w:r w:rsidRPr="00B53423">
        <w:rPr>
          <w:b/>
        </w:rPr>
        <w:t>UTTAR PRADESH ELECTRICITY REGULATORY COMMISSION</w:t>
      </w:r>
    </w:p>
    <w:p w:rsidR="00E6329E" w:rsidRPr="00B53423" w:rsidRDefault="00E6329E" w:rsidP="00247D53">
      <w:pPr>
        <w:spacing w:before="0" w:line="240" w:lineRule="auto"/>
        <w:jc w:val="center"/>
        <w:rPr>
          <w:b/>
        </w:rPr>
      </w:pPr>
    </w:p>
    <w:p w:rsidR="00E6329E" w:rsidRPr="00B53423" w:rsidRDefault="00F7686E" w:rsidP="00247D53">
      <w:pPr>
        <w:pStyle w:val="Default"/>
        <w:jc w:val="center"/>
        <w:rPr>
          <w:rFonts w:asciiTheme="minorHAnsi" w:hAnsiTheme="minorHAnsi" w:cstheme="minorHAnsi"/>
        </w:rPr>
      </w:pPr>
      <w:r w:rsidRPr="00B53423">
        <w:t xml:space="preserve">PETITION No. </w:t>
      </w:r>
      <w:r w:rsidR="00952F26" w:rsidRPr="00B53423">
        <w:t>889 / 2013 and 921 / 2013</w:t>
      </w:r>
    </w:p>
    <w:p w:rsidR="00E6329E" w:rsidRPr="00B53423" w:rsidRDefault="00E6329E" w:rsidP="00247D53">
      <w:pPr>
        <w:pStyle w:val="Default"/>
        <w:jc w:val="both"/>
        <w:rPr>
          <w:rFonts w:asciiTheme="minorHAnsi" w:hAnsiTheme="minorHAnsi" w:cstheme="minorHAnsi"/>
          <w:b/>
          <w:bCs/>
        </w:rPr>
      </w:pPr>
    </w:p>
    <w:p w:rsidR="00E6329E" w:rsidRPr="00B53423" w:rsidRDefault="00E6329E" w:rsidP="00247D53">
      <w:pPr>
        <w:pStyle w:val="Default"/>
        <w:jc w:val="both"/>
        <w:rPr>
          <w:rFonts w:asciiTheme="minorHAnsi" w:hAnsiTheme="minorHAnsi" w:cstheme="minorHAnsi"/>
          <w:b/>
          <w:bCs/>
        </w:rPr>
      </w:pPr>
    </w:p>
    <w:p w:rsidR="00FE6E8A" w:rsidRPr="00B53423" w:rsidRDefault="00FE6E8A" w:rsidP="00247D53">
      <w:pPr>
        <w:spacing w:before="0" w:line="240" w:lineRule="auto"/>
        <w:jc w:val="left"/>
        <w:rPr>
          <w:b/>
        </w:rPr>
      </w:pPr>
      <w:r w:rsidRPr="00B53423">
        <w:rPr>
          <w:b/>
        </w:rPr>
        <w:t>IN THE MATTER OF:</w:t>
      </w:r>
    </w:p>
    <w:p w:rsidR="00FE6E8A" w:rsidRPr="00B53423" w:rsidRDefault="00FE6E8A" w:rsidP="00247D53">
      <w:pPr>
        <w:spacing w:before="0" w:line="240" w:lineRule="auto"/>
        <w:rPr>
          <w:rFonts w:cstheme="minorHAnsi"/>
        </w:rPr>
      </w:pPr>
      <w:r w:rsidRPr="00B53423">
        <w:t xml:space="preserve">Determination of Aggregate Revenue Requirement (ARR) and Tariff for FY 2014-15 and True-up of FY 2008-09 to FY 2011-12 of </w:t>
      </w:r>
      <w:r w:rsidRPr="00B53423">
        <w:rPr>
          <w:rFonts w:cstheme="minorHAnsi"/>
        </w:rPr>
        <w:t>Kanpur Electricity Supply Company Limited (KESCO)</w:t>
      </w:r>
    </w:p>
    <w:p w:rsidR="00FE6E8A" w:rsidRPr="00B53423" w:rsidRDefault="00FE6E8A" w:rsidP="00247D53">
      <w:pPr>
        <w:spacing w:before="0" w:line="240" w:lineRule="auto"/>
        <w:rPr>
          <w:rFonts w:cstheme="minorHAnsi"/>
          <w:b/>
        </w:rPr>
      </w:pPr>
    </w:p>
    <w:p w:rsidR="00FE6E8A" w:rsidRPr="00B53423" w:rsidRDefault="00FE6E8A" w:rsidP="00247D53">
      <w:pPr>
        <w:spacing w:before="0" w:line="240" w:lineRule="auto"/>
        <w:rPr>
          <w:rFonts w:cstheme="minorHAnsi"/>
          <w:b/>
        </w:rPr>
      </w:pPr>
      <w:r w:rsidRPr="00B53423">
        <w:rPr>
          <w:rFonts w:cstheme="minorHAnsi"/>
          <w:b/>
        </w:rPr>
        <w:t>And</w:t>
      </w:r>
    </w:p>
    <w:p w:rsidR="00FE6E8A" w:rsidRPr="00B53423" w:rsidRDefault="00FE6E8A" w:rsidP="00247D53">
      <w:pPr>
        <w:spacing w:before="0" w:line="240" w:lineRule="auto"/>
        <w:rPr>
          <w:rFonts w:cstheme="minorHAnsi"/>
          <w:b/>
        </w:rPr>
      </w:pPr>
    </w:p>
    <w:p w:rsidR="00FE6E8A" w:rsidRPr="00B53423" w:rsidRDefault="00FE6E8A" w:rsidP="00247D53">
      <w:pPr>
        <w:spacing w:before="0" w:line="240" w:lineRule="auto"/>
        <w:rPr>
          <w:rFonts w:cstheme="minorHAnsi"/>
          <w:b/>
        </w:rPr>
      </w:pPr>
      <w:r w:rsidRPr="00B53423">
        <w:rPr>
          <w:rFonts w:cstheme="minorHAnsi"/>
          <w:b/>
        </w:rPr>
        <w:t>IN THE MATTER OF:</w:t>
      </w:r>
    </w:p>
    <w:p w:rsidR="00FE6E8A" w:rsidRPr="00B53423" w:rsidRDefault="00FE6E8A" w:rsidP="00247D53">
      <w:pPr>
        <w:spacing w:before="0" w:line="240" w:lineRule="auto"/>
        <w:rPr>
          <w:rFonts w:cstheme="minorHAnsi"/>
        </w:rPr>
      </w:pPr>
      <w:r w:rsidRPr="00B53423">
        <w:rPr>
          <w:rFonts w:cstheme="minorHAnsi"/>
        </w:rPr>
        <w:t>Kanpur Electricity Supply Company Limited (KESCO)</w:t>
      </w:r>
    </w:p>
    <w:p w:rsidR="00FE6E8A" w:rsidRPr="00B53423" w:rsidRDefault="00FE6E8A" w:rsidP="00247D53">
      <w:pPr>
        <w:spacing w:before="0" w:line="240" w:lineRule="auto"/>
        <w:rPr>
          <w:rFonts w:cstheme="minorHAnsi"/>
          <w:b/>
        </w:rPr>
      </w:pPr>
    </w:p>
    <w:p w:rsidR="00FE6E8A" w:rsidRPr="00B53423" w:rsidRDefault="00FE6E8A" w:rsidP="00247D53">
      <w:pPr>
        <w:spacing w:before="0" w:line="240" w:lineRule="auto"/>
        <w:rPr>
          <w:rFonts w:cstheme="minorHAnsi"/>
          <w:b/>
        </w:rPr>
      </w:pPr>
      <w:r w:rsidRPr="00B53423">
        <w:rPr>
          <w:rFonts w:cstheme="minorHAnsi"/>
          <w:b/>
        </w:rPr>
        <w:t>Before</w:t>
      </w:r>
    </w:p>
    <w:p w:rsidR="00FE6E8A" w:rsidRPr="00B53423" w:rsidRDefault="00FE6E8A" w:rsidP="00247D53">
      <w:pPr>
        <w:autoSpaceDE w:val="0"/>
        <w:autoSpaceDN w:val="0"/>
        <w:adjustRightInd w:val="0"/>
        <w:spacing w:before="0" w:line="240" w:lineRule="auto"/>
        <w:rPr>
          <w:b/>
        </w:rPr>
      </w:pPr>
      <w:r w:rsidRPr="00B53423">
        <w:rPr>
          <w:b/>
        </w:rPr>
        <w:t>UTTAR PRADESH ELECTRICITY REGULATORY COMMISSION</w:t>
      </w:r>
    </w:p>
    <w:p w:rsidR="00FE6E8A" w:rsidRPr="00B53423" w:rsidRDefault="00FE6E8A" w:rsidP="00247D53">
      <w:pPr>
        <w:spacing w:before="0" w:line="240" w:lineRule="auto"/>
        <w:rPr>
          <w:rFonts w:cstheme="minorHAnsi"/>
          <w:b/>
          <w:caps/>
        </w:rPr>
      </w:pPr>
    </w:p>
    <w:p w:rsidR="00FE6E8A" w:rsidRPr="00B53423" w:rsidRDefault="00FE6E8A" w:rsidP="00247D53">
      <w:pPr>
        <w:pStyle w:val="Default"/>
        <w:jc w:val="both"/>
        <w:rPr>
          <w:rFonts w:cstheme="minorHAnsi"/>
          <w:caps/>
        </w:rPr>
      </w:pPr>
    </w:p>
    <w:p w:rsidR="00FE6E8A" w:rsidRPr="00B53423" w:rsidRDefault="00FE6E8A" w:rsidP="00247D53">
      <w:pPr>
        <w:pStyle w:val="Default"/>
        <w:jc w:val="center"/>
        <w:rPr>
          <w:rFonts w:asciiTheme="minorHAnsi" w:hAnsiTheme="minorHAnsi" w:cstheme="minorHAnsi"/>
          <w:b/>
          <w:bCs/>
          <w:u w:val="single"/>
        </w:rPr>
      </w:pPr>
      <w:r w:rsidRPr="00B53423">
        <w:rPr>
          <w:rFonts w:asciiTheme="minorHAnsi" w:hAnsiTheme="minorHAnsi" w:cstheme="minorHAnsi"/>
          <w:b/>
          <w:bCs/>
          <w:u w:val="single"/>
        </w:rPr>
        <w:t>ORDER</w:t>
      </w:r>
    </w:p>
    <w:p w:rsidR="00FE6E8A" w:rsidRPr="00B53423" w:rsidRDefault="00FE6E8A" w:rsidP="00247D53">
      <w:pPr>
        <w:pStyle w:val="Default"/>
        <w:jc w:val="both"/>
        <w:rPr>
          <w:rFonts w:asciiTheme="minorHAnsi" w:hAnsiTheme="minorHAnsi" w:cstheme="minorHAnsi"/>
        </w:rPr>
      </w:pPr>
    </w:p>
    <w:p w:rsidR="00E6329E" w:rsidRPr="00B53423" w:rsidRDefault="00FE6E8A" w:rsidP="00247D53">
      <w:pPr>
        <w:spacing w:before="0" w:line="240" w:lineRule="auto"/>
        <w:rPr>
          <w:rFonts w:asciiTheme="minorHAnsi" w:hAnsiTheme="minorHAnsi" w:cstheme="minorHAnsi"/>
        </w:rPr>
      </w:pPr>
      <w:r w:rsidRPr="00B53423">
        <w:rPr>
          <w:rFonts w:asciiTheme="minorHAnsi" w:hAnsiTheme="minorHAnsi" w:cstheme="minorHAnsi"/>
        </w:rPr>
        <w:t>The Commission having deliberated upon the True-up and ARR petitions and also the subsequent filings by the Petitioner, and the petitions thereafter being admitted on 3</w:t>
      </w:r>
      <w:r w:rsidRPr="00B53423">
        <w:rPr>
          <w:rFonts w:asciiTheme="minorHAnsi" w:hAnsiTheme="minorHAnsi" w:cstheme="minorHAnsi"/>
          <w:vertAlign w:val="superscript"/>
        </w:rPr>
        <w:t>rd</w:t>
      </w:r>
      <w:r w:rsidRPr="00B53423">
        <w:rPr>
          <w:rFonts w:asciiTheme="minorHAnsi" w:hAnsiTheme="minorHAnsi" w:cstheme="minorHAnsi"/>
        </w:rPr>
        <w:t xml:space="preserve"> June, 2014 and having considered the views / comments / suggestions / objections / representations received from the stakeholders during the course of the above proceedings and also in the public hearings held, in exercise of power vested under Sections 61, 62, 64 and 86 of the Electricity Act, 2003 (hereinafter referred to as ‘the Act’), hereby passes this Order signed, dated and issued on </w:t>
      </w:r>
      <w:r w:rsidR="00E373E3">
        <w:rPr>
          <w:rFonts w:asciiTheme="minorHAnsi" w:hAnsiTheme="minorHAnsi" w:cstheme="minorHAnsi"/>
        </w:rPr>
        <w:t>1</w:t>
      </w:r>
      <w:r w:rsidR="00E373E3" w:rsidRPr="00E373E3">
        <w:rPr>
          <w:rFonts w:asciiTheme="minorHAnsi" w:hAnsiTheme="minorHAnsi" w:cstheme="minorHAnsi"/>
          <w:vertAlign w:val="superscript"/>
        </w:rPr>
        <w:t>st</w:t>
      </w:r>
      <w:r w:rsidR="00E373E3">
        <w:rPr>
          <w:rFonts w:asciiTheme="minorHAnsi" w:hAnsiTheme="minorHAnsi" w:cstheme="minorHAnsi"/>
        </w:rPr>
        <w:t xml:space="preserve"> October, </w:t>
      </w:r>
      <w:r w:rsidRPr="00B53423">
        <w:rPr>
          <w:rFonts w:asciiTheme="minorHAnsi" w:hAnsiTheme="minorHAnsi" w:cstheme="minorHAnsi"/>
        </w:rPr>
        <w:t xml:space="preserve">2014. </w:t>
      </w:r>
      <w:r w:rsidR="005B31C0" w:rsidRPr="00B53423">
        <w:rPr>
          <w:rFonts w:cs="Calibri"/>
        </w:rPr>
        <w:t xml:space="preserve">The licensee, in accordance with Section 139 of the Uttar Pradesh Electricity Regulatory Commission (Conduct of Business) Regulations, 2004, shall </w:t>
      </w:r>
      <w:r w:rsidR="008435E7" w:rsidRPr="00B53423">
        <w:rPr>
          <w:rFonts w:cs="Calibri"/>
        </w:rPr>
        <w:t>arrange to get published within three days from the date of issue of this Order, the tariffs and regulatory surcharge approved herein by the Commission. The tariffs so published shall become the notified tariffs and shall come into force after seven days from the date of such publication of the tariffs, and unless amended or revoked, shall continue to be in force till issuance of the next Tariff Order. The regulatory surcharge shall be applicable as detailed in this Order.</w:t>
      </w:r>
      <w:r w:rsidR="00E6329E" w:rsidRPr="00B53423" w:rsidDel="0082659E">
        <w:rPr>
          <w:rFonts w:asciiTheme="minorHAnsi" w:hAnsiTheme="minorHAnsi" w:cstheme="minorHAnsi"/>
        </w:rPr>
        <w:t xml:space="preserve"> </w:t>
      </w:r>
    </w:p>
    <w:p w:rsidR="00E6329E" w:rsidRPr="00B53423" w:rsidRDefault="00E6329E" w:rsidP="0015232B">
      <w:pPr>
        <w:spacing w:before="0" w:line="240" w:lineRule="auto"/>
        <w:jc w:val="left"/>
        <w:rPr>
          <w:rFonts w:cs="Arial"/>
          <w:color w:val="333399"/>
          <w:kern w:val="32"/>
          <w:szCs w:val="32"/>
        </w:rPr>
      </w:pPr>
      <w:r w:rsidRPr="00B53423">
        <w:rPr>
          <w:b/>
          <w:bCs/>
        </w:rPr>
        <w:br w:type="page"/>
      </w:r>
    </w:p>
    <w:p w:rsidR="004C74C2" w:rsidRPr="00B53423" w:rsidRDefault="003A6B3B" w:rsidP="0015232B">
      <w:pPr>
        <w:pStyle w:val="Heading1"/>
        <w:keepNext w:val="0"/>
        <w:numPr>
          <w:ilvl w:val="0"/>
          <w:numId w:val="1"/>
        </w:numPr>
        <w:ind w:left="720" w:hanging="1080"/>
        <w:rPr>
          <w:color w:val="auto"/>
        </w:rPr>
      </w:pPr>
      <w:bookmarkStart w:id="0" w:name="_Toc357702729"/>
      <w:bookmarkStart w:id="1" w:name="_Toc357703111"/>
      <w:bookmarkStart w:id="2" w:name="_Toc357703301"/>
      <w:bookmarkStart w:id="3" w:name="_Toc357707161"/>
      <w:bookmarkStart w:id="4" w:name="_Toc394439272"/>
      <w:bookmarkStart w:id="5" w:name="_Toc399626098"/>
      <w:bookmarkEnd w:id="0"/>
      <w:bookmarkEnd w:id="1"/>
      <w:bookmarkEnd w:id="2"/>
      <w:bookmarkEnd w:id="3"/>
      <w:r w:rsidRPr="00B53423">
        <w:rPr>
          <w:color w:val="auto"/>
        </w:rPr>
        <w:t>BACKGROUND AND BRIEF HISTORY</w:t>
      </w:r>
      <w:bookmarkEnd w:id="4"/>
      <w:bookmarkEnd w:id="5"/>
    </w:p>
    <w:p w:rsidR="004C74C2" w:rsidRPr="00B53423" w:rsidRDefault="004C74C2" w:rsidP="0015232B">
      <w:pPr>
        <w:pStyle w:val="Heading2"/>
        <w:keepNext w:val="0"/>
        <w:numPr>
          <w:ilvl w:val="0"/>
          <w:numId w:val="0"/>
        </w:numPr>
        <w:ind w:left="780"/>
      </w:pPr>
    </w:p>
    <w:p w:rsidR="004C74C2" w:rsidRPr="00B53423" w:rsidRDefault="004C74C2" w:rsidP="0015232B">
      <w:pPr>
        <w:pStyle w:val="Heading2"/>
        <w:keepNext w:val="0"/>
        <w:numPr>
          <w:ilvl w:val="1"/>
          <w:numId w:val="16"/>
        </w:numPr>
        <w:autoSpaceDE w:val="0"/>
        <w:autoSpaceDN w:val="0"/>
        <w:adjustRightInd w:val="0"/>
        <w:spacing w:before="120" w:line="240" w:lineRule="auto"/>
        <w:ind w:left="900" w:hanging="1260"/>
        <w:contextualSpacing/>
      </w:pPr>
      <w:bookmarkStart w:id="6" w:name="_Toc394439273"/>
      <w:bookmarkStart w:id="7" w:name="_Toc399626099"/>
      <w:r w:rsidRPr="00B53423">
        <w:t>BACKGROUND:</w:t>
      </w:r>
      <w:bookmarkEnd w:id="6"/>
      <w:bookmarkEnd w:id="7"/>
    </w:p>
    <w:p w:rsidR="009A21EE" w:rsidRPr="00B53423" w:rsidRDefault="009A21EE" w:rsidP="0015232B">
      <w:pPr>
        <w:pStyle w:val="Heading2"/>
        <w:keepNext w:val="0"/>
        <w:numPr>
          <w:ilvl w:val="0"/>
          <w:numId w:val="0"/>
        </w:numPr>
        <w:autoSpaceDE w:val="0"/>
        <w:autoSpaceDN w:val="0"/>
        <w:adjustRightInd w:val="0"/>
        <w:spacing w:before="120" w:line="240" w:lineRule="auto"/>
        <w:ind w:left="900"/>
        <w:contextualSpacing/>
      </w:pPr>
    </w:p>
    <w:p w:rsidR="004C74C2" w:rsidRPr="00B53423" w:rsidRDefault="004C74C2" w:rsidP="0015232B">
      <w:pPr>
        <w:pStyle w:val="Heading3"/>
        <w:keepNext w:val="0"/>
        <w:ind w:hanging="1080"/>
      </w:pPr>
      <w:r w:rsidRPr="00B53423">
        <w:t>The Uttar Pradesh Electricity Regulatory Commission (UPERC) was formed under U.P. Electricity Reforms Act, 1999 by Government of Uttar Pradesh (GoUP) in one of the first steps of reforms and restructuring process of the power sector in the State. Thereafter, in pursuance of the reforms and restructuring process, the erstwhile Uttar Pradesh State Electricity Board (UPSEB) was unbundled into the following three separate entities through the first reforms Transfer Scheme dated 14</w:t>
      </w:r>
      <w:r w:rsidRPr="00B53423">
        <w:rPr>
          <w:vertAlign w:val="superscript"/>
        </w:rPr>
        <w:t>th</w:t>
      </w:r>
      <w:r w:rsidRPr="00B53423">
        <w:t xml:space="preserve"> January, 2000: </w:t>
      </w:r>
    </w:p>
    <w:p w:rsidR="004C74C2" w:rsidRPr="00B53423" w:rsidRDefault="004C74C2" w:rsidP="0015232B">
      <w:pPr>
        <w:pStyle w:val="ListParagraph"/>
        <w:numPr>
          <w:ilvl w:val="0"/>
          <w:numId w:val="18"/>
        </w:numPr>
        <w:autoSpaceDE w:val="0"/>
        <w:autoSpaceDN w:val="0"/>
        <w:adjustRightInd w:val="0"/>
        <w:rPr>
          <w:rFonts w:asciiTheme="minorHAnsi" w:hAnsiTheme="minorHAnsi" w:cstheme="minorHAnsi"/>
          <w:color w:val="000000"/>
        </w:rPr>
      </w:pPr>
      <w:r w:rsidRPr="00B53423">
        <w:rPr>
          <w:rFonts w:asciiTheme="minorHAnsi" w:hAnsiTheme="minorHAnsi" w:cstheme="minorHAnsi"/>
          <w:color w:val="000000"/>
        </w:rPr>
        <w:t xml:space="preserve">Uttar Pradesh Power Corporation Limited (UPPCL): vested with the function of Transmission and Distribution within the State. </w:t>
      </w:r>
    </w:p>
    <w:p w:rsidR="004C74C2" w:rsidRPr="00B53423" w:rsidRDefault="004C74C2" w:rsidP="0015232B">
      <w:pPr>
        <w:pStyle w:val="ListParagraph"/>
        <w:numPr>
          <w:ilvl w:val="0"/>
          <w:numId w:val="18"/>
        </w:numPr>
        <w:autoSpaceDE w:val="0"/>
        <w:autoSpaceDN w:val="0"/>
        <w:adjustRightInd w:val="0"/>
        <w:rPr>
          <w:rFonts w:asciiTheme="minorHAnsi" w:hAnsiTheme="minorHAnsi" w:cstheme="minorHAnsi"/>
          <w:color w:val="000000"/>
        </w:rPr>
      </w:pPr>
      <w:r w:rsidRPr="00B53423">
        <w:rPr>
          <w:rFonts w:asciiTheme="minorHAnsi" w:hAnsiTheme="minorHAnsi" w:cstheme="minorHAnsi"/>
          <w:color w:val="000000"/>
        </w:rPr>
        <w:t xml:space="preserve">Uttar Pradesh Rajya Vidyut Utpadan Nigam Limited (UPRVUNL): vested with the function of Thermal Generation within the State </w:t>
      </w:r>
    </w:p>
    <w:p w:rsidR="004C74C2" w:rsidRPr="00B53423" w:rsidRDefault="004C74C2" w:rsidP="0015232B">
      <w:pPr>
        <w:pStyle w:val="ListParagraph"/>
        <w:numPr>
          <w:ilvl w:val="0"/>
          <w:numId w:val="18"/>
        </w:numPr>
        <w:autoSpaceDE w:val="0"/>
        <w:autoSpaceDN w:val="0"/>
        <w:adjustRightInd w:val="0"/>
        <w:rPr>
          <w:rFonts w:asciiTheme="minorHAnsi" w:hAnsiTheme="minorHAnsi" w:cstheme="minorHAnsi"/>
          <w:color w:val="000000"/>
        </w:rPr>
      </w:pPr>
      <w:r w:rsidRPr="00B53423">
        <w:rPr>
          <w:rFonts w:asciiTheme="minorHAnsi" w:hAnsiTheme="minorHAnsi" w:cstheme="minorHAnsi"/>
          <w:color w:val="000000"/>
        </w:rPr>
        <w:t xml:space="preserve">Uttar Pradesh Jal Vidyut Nigam Limited (UPJVNL): vested with the function of Hydro Generation within the State. </w:t>
      </w:r>
    </w:p>
    <w:p w:rsidR="000206FE" w:rsidRPr="00B53423" w:rsidRDefault="000206FE" w:rsidP="0015232B">
      <w:pPr>
        <w:pStyle w:val="ListParagraph"/>
        <w:autoSpaceDE w:val="0"/>
        <w:autoSpaceDN w:val="0"/>
        <w:adjustRightInd w:val="0"/>
        <w:ind w:left="2160"/>
        <w:rPr>
          <w:rFonts w:asciiTheme="minorHAnsi" w:hAnsiTheme="minorHAnsi" w:cstheme="minorHAnsi"/>
          <w:color w:val="000000"/>
        </w:rPr>
      </w:pPr>
    </w:p>
    <w:p w:rsidR="004C74C2" w:rsidRPr="00B53423" w:rsidRDefault="004C74C2" w:rsidP="0015232B">
      <w:pPr>
        <w:pStyle w:val="Heading3"/>
        <w:keepNext w:val="0"/>
        <w:ind w:hanging="1080"/>
      </w:pPr>
      <w:r w:rsidRPr="00B53423">
        <w:t>Through another Transfer Scheme dated 15</w:t>
      </w:r>
      <w:r w:rsidR="003A6B3B" w:rsidRPr="00B53423">
        <w:rPr>
          <w:vertAlign w:val="superscript"/>
        </w:rPr>
        <w:t>th</w:t>
      </w:r>
      <w:r w:rsidRPr="00B53423">
        <w:t xml:space="preserve"> January, 2000, assets, liabilities and personnel of Kanpur Electricity Supply Authority (KESA) under UPSEB were transferred to Kanpur Electricity Supply Company Limited (KESCO), a company registered under the Companies Act, 1956. </w:t>
      </w:r>
    </w:p>
    <w:p w:rsidR="009A21EE" w:rsidRPr="00B53423" w:rsidRDefault="009A21EE" w:rsidP="0015232B">
      <w:pPr>
        <w:pStyle w:val="Heading3"/>
        <w:keepNext w:val="0"/>
        <w:numPr>
          <w:ilvl w:val="0"/>
          <w:numId w:val="0"/>
        </w:numPr>
        <w:ind w:left="720"/>
      </w:pPr>
    </w:p>
    <w:p w:rsidR="004C74C2" w:rsidRPr="00B53423" w:rsidRDefault="004C74C2" w:rsidP="0015232B">
      <w:pPr>
        <w:pStyle w:val="Heading3"/>
        <w:keepNext w:val="0"/>
        <w:ind w:hanging="1080"/>
      </w:pPr>
      <w:r w:rsidRPr="00B53423">
        <w:t>After the enactment of the Electricity Act, 2003 (EA 2003) the need was felt for further unbundling of UPPCL (responsible for both Transmission and Distribution functions) along functional lines. Therefore, the following four new distribution companies (hereinafter coll</w:t>
      </w:r>
      <w:r w:rsidR="00846312" w:rsidRPr="00B53423">
        <w:t>ectively referred to as ‘Distribution Licensees</w:t>
      </w:r>
      <w:r w:rsidRPr="00B53423">
        <w:t>’) were created vide Uttar Pradesh Transfer of Distribution Undertaking Scheme, 2003 dated 12</w:t>
      </w:r>
      <w:r w:rsidR="003A6B3B" w:rsidRPr="00B53423">
        <w:rPr>
          <w:vertAlign w:val="superscript"/>
        </w:rPr>
        <w:t>th</w:t>
      </w:r>
      <w:r w:rsidRPr="00B53423">
        <w:t xml:space="preserve"> August, 2003 to undertake distribution and supply of electricity in the areas under their respective zones specified in the scheme: </w:t>
      </w:r>
    </w:p>
    <w:p w:rsidR="004C74C2" w:rsidRPr="00B53423" w:rsidRDefault="004C74C2" w:rsidP="0015232B">
      <w:pPr>
        <w:pStyle w:val="ListParagraph"/>
        <w:numPr>
          <w:ilvl w:val="0"/>
          <w:numId w:val="15"/>
        </w:numPr>
        <w:autoSpaceDE w:val="0"/>
        <w:autoSpaceDN w:val="0"/>
        <w:adjustRightInd w:val="0"/>
        <w:contextualSpacing/>
        <w:rPr>
          <w:rFonts w:asciiTheme="minorHAnsi" w:hAnsiTheme="minorHAnsi" w:cstheme="minorHAnsi"/>
          <w:color w:val="000000"/>
        </w:rPr>
      </w:pPr>
      <w:r w:rsidRPr="00B53423">
        <w:rPr>
          <w:rFonts w:asciiTheme="minorHAnsi" w:hAnsiTheme="minorHAnsi" w:cstheme="minorHAnsi"/>
          <w:color w:val="000000"/>
        </w:rPr>
        <w:t>Dakshinanchal Vidyut V</w:t>
      </w:r>
      <w:r w:rsidR="002F44AA" w:rsidRPr="00B53423">
        <w:rPr>
          <w:rFonts w:asciiTheme="minorHAnsi" w:hAnsiTheme="minorHAnsi" w:cstheme="minorHAnsi"/>
          <w:color w:val="000000"/>
        </w:rPr>
        <w:t>itran Nigam Limited (Agra Discom</w:t>
      </w:r>
      <w:r w:rsidRPr="00B53423">
        <w:rPr>
          <w:rFonts w:asciiTheme="minorHAnsi" w:hAnsiTheme="minorHAnsi" w:cstheme="minorHAnsi"/>
          <w:color w:val="000000"/>
        </w:rPr>
        <w:t xml:space="preserve"> or DVVNL) </w:t>
      </w:r>
    </w:p>
    <w:p w:rsidR="004C74C2" w:rsidRPr="00B53423" w:rsidRDefault="004C74C2" w:rsidP="0015232B">
      <w:pPr>
        <w:pStyle w:val="ListParagraph"/>
        <w:numPr>
          <w:ilvl w:val="0"/>
          <w:numId w:val="15"/>
        </w:numPr>
        <w:autoSpaceDE w:val="0"/>
        <w:autoSpaceDN w:val="0"/>
        <w:adjustRightInd w:val="0"/>
        <w:contextualSpacing/>
        <w:rPr>
          <w:rFonts w:asciiTheme="minorHAnsi" w:hAnsiTheme="minorHAnsi" w:cstheme="minorHAnsi"/>
          <w:color w:val="000000"/>
        </w:rPr>
      </w:pPr>
      <w:r w:rsidRPr="00B53423">
        <w:rPr>
          <w:rFonts w:asciiTheme="minorHAnsi" w:hAnsiTheme="minorHAnsi" w:cstheme="minorHAnsi"/>
          <w:color w:val="000000"/>
        </w:rPr>
        <w:t xml:space="preserve">Madhyanchal Vidyut Vitran Nigam Limited (Lucknow Discom or MVVNL) </w:t>
      </w:r>
    </w:p>
    <w:p w:rsidR="004C74C2" w:rsidRPr="00B53423" w:rsidRDefault="004C74C2" w:rsidP="0015232B">
      <w:pPr>
        <w:pStyle w:val="ListParagraph"/>
        <w:numPr>
          <w:ilvl w:val="0"/>
          <w:numId w:val="15"/>
        </w:numPr>
        <w:autoSpaceDE w:val="0"/>
        <w:autoSpaceDN w:val="0"/>
        <w:adjustRightInd w:val="0"/>
        <w:contextualSpacing/>
        <w:rPr>
          <w:rFonts w:asciiTheme="minorHAnsi" w:hAnsiTheme="minorHAnsi" w:cstheme="minorHAnsi"/>
          <w:color w:val="000000"/>
        </w:rPr>
      </w:pPr>
      <w:r w:rsidRPr="00B53423">
        <w:rPr>
          <w:rFonts w:asciiTheme="minorHAnsi" w:hAnsiTheme="minorHAnsi" w:cstheme="minorHAnsi"/>
          <w:color w:val="000000"/>
        </w:rPr>
        <w:t xml:space="preserve">Paschimanchal Vidyut Vitran Nigam Limited (Meerut Discom or PVVNL) </w:t>
      </w:r>
    </w:p>
    <w:p w:rsidR="004C74C2" w:rsidRPr="00B53423" w:rsidRDefault="004C74C2" w:rsidP="0015232B">
      <w:pPr>
        <w:pStyle w:val="ListParagraph"/>
        <w:numPr>
          <w:ilvl w:val="0"/>
          <w:numId w:val="15"/>
        </w:numPr>
        <w:autoSpaceDE w:val="0"/>
        <w:autoSpaceDN w:val="0"/>
        <w:adjustRightInd w:val="0"/>
        <w:contextualSpacing/>
        <w:rPr>
          <w:rFonts w:asciiTheme="minorHAnsi" w:hAnsiTheme="minorHAnsi" w:cstheme="minorHAnsi"/>
          <w:color w:val="000000"/>
        </w:rPr>
      </w:pPr>
      <w:r w:rsidRPr="00B53423">
        <w:rPr>
          <w:rFonts w:asciiTheme="minorHAnsi" w:hAnsiTheme="minorHAnsi" w:cstheme="minorHAnsi"/>
          <w:color w:val="000000"/>
        </w:rPr>
        <w:t>Purvanchal Vidyut Vitran Nigam Limited (Varanasi Discom or PuVVNL)</w:t>
      </w:r>
    </w:p>
    <w:p w:rsidR="00564993" w:rsidRPr="00B53423" w:rsidRDefault="00564993" w:rsidP="0015232B">
      <w:pPr>
        <w:pStyle w:val="Heading3"/>
        <w:keepNext w:val="0"/>
        <w:numPr>
          <w:ilvl w:val="0"/>
          <w:numId w:val="0"/>
        </w:numPr>
        <w:ind w:left="720"/>
      </w:pPr>
    </w:p>
    <w:p w:rsidR="004C74C2" w:rsidRPr="00B53423" w:rsidRDefault="004C74C2" w:rsidP="0015232B">
      <w:pPr>
        <w:pStyle w:val="Heading3"/>
        <w:keepNext w:val="0"/>
        <w:ind w:hanging="1080"/>
      </w:pPr>
      <w:r w:rsidRPr="00B53423">
        <w:t>Under this scheme, the role of UPPCL was specified as “Bulk Supply Licensee” as per the license granted by this Commission and as “State Transmission Utility” under sub-section (1) of Section 27-B of the Indian Electricity Act, 1910.</w:t>
      </w:r>
    </w:p>
    <w:p w:rsidR="009A21EE" w:rsidRPr="00B53423" w:rsidRDefault="009A21EE" w:rsidP="0015232B">
      <w:pPr>
        <w:pStyle w:val="Heading3"/>
        <w:keepNext w:val="0"/>
        <w:numPr>
          <w:ilvl w:val="0"/>
          <w:numId w:val="0"/>
        </w:numPr>
        <w:ind w:left="720"/>
      </w:pPr>
    </w:p>
    <w:p w:rsidR="004C74C2" w:rsidRPr="00B53423" w:rsidRDefault="004C74C2" w:rsidP="0015232B">
      <w:pPr>
        <w:pStyle w:val="Heading3"/>
        <w:keepNext w:val="0"/>
        <w:ind w:hanging="1080"/>
      </w:pPr>
      <w:r w:rsidRPr="00B53423">
        <w:t>Subsequently, the Uttar Pradesh Power Transmission Corporation Limited (UPPTCL), a Transmission Company (Transco), was incorporated under the Companies Act, 1956 by an amendment in the ‘Object and Name’ clause of the Uttar Pradesh Vidyut Vyapar Nigam Limited. The Transco is entrusted with the business of transmission of electrical energy to various utilities within the State of Uttar Pradesh. This function was earlier vested with UPPCL. Further, Government of Uttar Pradesh (GoUP), in exercise of power under the Section 30 of the EA 2003, vide notification No. 122/U.N.N.P/24-07 dated 18</w:t>
      </w:r>
      <w:r w:rsidRPr="00B53423">
        <w:rPr>
          <w:vertAlign w:val="superscript"/>
        </w:rPr>
        <w:t>th</w:t>
      </w:r>
      <w:r w:rsidRPr="00B53423">
        <w:t xml:space="preserve"> July, 2007 notified Uttar Pradesh Power Transmission Corporation Limited as the “State Transmission Utility” of Uttar Pradesh. Subsequently, on 23</w:t>
      </w:r>
      <w:r w:rsidRPr="00B53423">
        <w:rPr>
          <w:vertAlign w:val="superscript"/>
        </w:rPr>
        <w:t>rd</w:t>
      </w:r>
      <w:r w:rsidRPr="00B53423">
        <w:t xml:space="preserve"> December 2010, the Government of Uttar Pradesh notified the Uttar Pradesh Electricity Reforms (Transfer of Transmission and Related Activities Including the Assets, Liabilities and Related Proceedings) Scheme, 2010 which provided for the transfer of assets and liabilities from UPPCL to UPPTCL with effect from 1</w:t>
      </w:r>
      <w:r w:rsidRPr="00B53423">
        <w:rPr>
          <w:vertAlign w:val="superscript"/>
        </w:rPr>
        <w:t>st</w:t>
      </w:r>
      <w:r w:rsidRPr="00B53423">
        <w:t xml:space="preserve"> April, 2007.</w:t>
      </w:r>
    </w:p>
    <w:p w:rsidR="009A21EE" w:rsidRPr="00B53423" w:rsidRDefault="009A21EE"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Thereafter, on 21</w:t>
      </w:r>
      <w:r w:rsidRPr="00B53423">
        <w:rPr>
          <w:vertAlign w:val="superscript"/>
        </w:rPr>
        <w:t>st</w:t>
      </w:r>
      <w:r w:rsidRPr="00B53423">
        <w:t xml:space="preserve"> January, 2010, as the successor distribution companies of UPPCL </w:t>
      </w:r>
      <w:r w:rsidR="00AB48AB" w:rsidRPr="00B53423">
        <w:t>(a deemed Licensee), the Distribution Licensees</w:t>
      </w:r>
      <w:r w:rsidRPr="00B53423">
        <w:t xml:space="preserve"> which were created through the notification of the UP Power Sector Reforms (Transfer of Distribution Undertakings) Scheme, 2003 and were issued fresh distribution licenses which replaced the UP Power Corporation Ltd (UPPCL) Distribution, Retail &amp; Bulk Supply License, 2000.</w:t>
      </w:r>
    </w:p>
    <w:p w:rsidR="004C74C2" w:rsidRPr="00B53423" w:rsidRDefault="004C74C2" w:rsidP="0015232B">
      <w:pPr>
        <w:pStyle w:val="Default"/>
        <w:spacing w:line="276" w:lineRule="auto"/>
        <w:jc w:val="both"/>
        <w:rPr>
          <w:rFonts w:asciiTheme="minorHAnsi" w:hAnsiTheme="minorHAnsi" w:cstheme="minorHAnsi"/>
        </w:rPr>
      </w:pPr>
    </w:p>
    <w:p w:rsidR="004C74C2" w:rsidRPr="00B53423" w:rsidRDefault="004C74C2" w:rsidP="0015232B">
      <w:pPr>
        <w:pStyle w:val="Heading2"/>
        <w:keepNext w:val="0"/>
        <w:numPr>
          <w:ilvl w:val="1"/>
          <w:numId w:val="16"/>
        </w:numPr>
        <w:autoSpaceDE w:val="0"/>
        <w:autoSpaceDN w:val="0"/>
        <w:adjustRightInd w:val="0"/>
        <w:spacing w:before="120" w:line="240" w:lineRule="auto"/>
        <w:ind w:left="900" w:hanging="1260"/>
        <w:contextualSpacing/>
      </w:pPr>
      <w:bookmarkStart w:id="8" w:name="_Toc394439274"/>
      <w:bookmarkStart w:id="9" w:name="_Toc399626100"/>
      <w:r w:rsidRPr="00B53423">
        <w:t>DISTRIBUTION TARIFF REGULATIONS:</w:t>
      </w:r>
      <w:bookmarkEnd w:id="8"/>
      <w:bookmarkEnd w:id="9"/>
    </w:p>
    <w:p w:rsidR="009A21EE" w:rsidRPr="00B53423" w:rsidRDefault="009A21EE" w:rsidP="0015232B">
      <w:pPr>
        <w:pStyle w:val="Heading3"/>
        <w:keepNext w:val="0"/>
        <w:numPr>
          <w:ilvl w:val="0"/>
          <w:numId w:val="0"/>
        </w:numPr>
        <w:ind w:left="720"/>
      </w:pPr>
    </w:p>
    <w:p w:rsidR="009268E4" w:rsidRPr="00B53423" w:rsidRDefault="009268E4" w:rsidP="0015232B">
      <w:pPr>
        <w:pStyle w:val="ListParagraph"/>
        <w:numPr>
          <w:ilvl w:val="1"/>
          <w:numId w:val="1"/>
        </w:numPr>
        <w:spacing w:before="0"/>
        <w:outlineLvl w:val="1"/>
        <w:rPr>
          <w:rFonts w:asciiTheme="minorHAnsi" w:hAnsiTheme="minorHAnsi" w:cstheme="minorHAnsi"/>
          <w:b/>
          <w:bCs/>
          <w:vanish/>
          <w:color w:val="000000"/>
        </w:rPr>
      </w:pPr>
      <w:bookmarkStart w:id="10" w:name="_Toc396689731"/>
      <w:bookmarkStart w:id="11" w:name="_Toc396689828"/>
      <w:bookmarkStart w:id="12" w:name="_Toc396690089"/>
      <w:bookmarkStart w:id="13" w:name="_Toc396690181"/>
      <w:bookmarkStart w:id="14" w:name="_Toc396690661"/>
      <w:bookmarkStart w:id="15" w:name="_Toc396908997"/>
      <w:bookmarkStart w:id="16" w:name="_Toc396918274"/>
      <w:bookmarkStart w:id="17" w:name="_Toc397184295"/>
      <w:bookmarkStart w:id="18" w:name="_Toc397185181"/>
      <w:bookmarkStart w:id="19" w:name="_Toc397185674"/>
      <w:bookmarkStart w:id="20" w:name="_Toc397186167"/>
      <w:bookmarkStart w:id="21" w:name="_Toc397186330"/>
      <w:bookmarkStart w:id="22" w:name="_Toc397351462"/>
      <w:bookmarkStart w:id="23" w:name="_Toc397619424"/>
      <w:bookmarkStart w:id="24" w:name="_Toc397619594"/>
      <w:bookmarkStart w:id="25" w:name="_Toc399507276"/>
      <w:bookmarkStart w:id="26" w:name="_Toc399507470"/>
      <w:bookmarkStart w:id="27" w:name="_Toc399507651"/>
      <w:bookmarkStart w:id="28" w:name="_Toc399507831"/>
      <w:bookmarkStart w:id="29" w:name="_Toc399508010"/>
      <w:bookmarkStart w:id="30" w:name="_Toc399514021"/>
      <w:bookmarkStart w:id="31" w:name="_Toc399514212"/>
      <w:bookmarkStart w:id="32" w:name="_Toc399514392"/>
      <w:bookmarkStart w:id="33" w:name="_Toc399653541"/>
      <w:bookmarkStart w:id="34" w:name="_Toc399653721"/>
      <w:bookmarkStart w:id="35" w:name="_Toc399674242"/>
      <w:bookmarkStart w:id="36" w:name="_Toc399674424"/>
      <w:bookmarkStart w:id="37" w:name="_Toc399624817"/>
      <w:bookmarkStart w:id="38" w:name="_Toc399625287"/>
      <w:bookmarkStart w:id="39" w:name="_Toc399625726"/>
      <w:bookmarkStart w:id="40" w:name="_Toc399625935"/>
      <w:bookmarkStart w:id="41" w:name="_Toc399626101"/>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rsidR="004C74C2" w:rsidRPr="00B53423" w:rsidRDefault="004C74C2" w:rsidP="0015232B">
      <w:pPr>
        <w:pStyle w:val="Heading3"/>
        <w:keepNext w:val="0"/>
        <w:ind w:hanging="1080"/>
      </w:pPr>
      <w:r w:rsidRPr="00B53423">
        <w:t>Uttar Pradesh Electricity Regulatory Commission (Terms and Conditions for Determination of Distribution Tariff) Regulations, 2006 (hereinafter referred to as the “Distribution Tariff Regulations, 2006”) were notified on 6</w:t>
      </w:r>
      <w:r w:rsidRPr="00B53423">
        <w:rPr>
          <w:vertAlign w:val="superscript"/>
        </w:rPr>
        <w:t>th</w:t>
      </w:r>
      <w:r w:rsidRPr="00B53423">
        <w:t xml:space="preserve"> October, 2006. These Regulations are applicable for the purposes of ARR filing and Tariff determination to all the Distribution Licensees within the State of Uttar Pradesh from FY 2007-08 onwards.</w:t>
      </w:r>
    </w:p>
    <w:p w:rsidR="009A21EE" w:rsidRPr="00B53423" w:rsidRDefault="009A21EE" w:rsidP="0015232B">
      <w:pPr>
        <w:spacing w:before="0" w:after="200"/>
        <w:jc w:val="left"/>
        <w:rPr>
          <w:rFonts w:cs="Arial"/>
          <w:b/>
          <w:bCs/>
          <w:color w:val="333399"/>
          <w:kern w:val="32"/>
          <w:szCs w:val="32"/>
        </w:rPr>
      </w:pPr>
      <w:bookmarkStart w:id="42" w:name="_Toc337095407"/>
      <w:bookmarkStart w:id="43" w:name="_Toc337097073"/>
      <w:bookmarkStart w:id="44" w:name="_Toc337124787"/>
      <w:bookmarkStart w:id="45" w:name="_Toc337126623"/>
      <w:bookmarkStart w:id="46" w:name="_Toc337128118"/>
      <w:bookmarkStart w:id="47" w:name="_Toc337133878"/>
      <w:bookmarkStart w:id="48" w:name="_Toc337144486"/>
      <w:bookmarkStart w:id="49" w:name="_Toc337145071"/>
      <w:bookmarkStart w:id="50" w:name="_Toc337146391"/>
      <w:bookmarkStart w:id="51" w:name="_Toc337182826"/>
      <w:bookmarkStart w:id="52" w:name="_Toc337183799"/>
      <w:bookmarkStart w:id="53" w:name="_Toc337183990"/>
      <w:bookmarkStart w:id="54" w:name="_Toc337186733"/>
      <w:bookmarkStart w:id="55" w:name="_Toc337187822"/>
      <w:bookmarkStart w:id="56" w:name="_Toc337190139"/>
      <w:bookmarkStart w:id="57" w:name="_Toc337192435"/>
      <w:bookmarkStart w:id="58" w:name="_Toc337197967"/>
      <w:bookmarkStart w:id="59" w:name="_Toc337198820"/>
      <w:bookmarkStart w:id="60" w:name="_Toc337199166"/>
      <w:bookmarkStart w:id="61" w:name="_Toc337199408"/>
      <w:bookmarkStart w:id="62" w:name="_Toc337199636"/>
      <w:bookmarkStart w:id="63" w:name="_Toc337199953"/>
      <w:bookmarkStart w:id="64" w:name="_Toc337200120"/>
      <w:bookmarkStart w:id="65" w:name="_Toc394439275"/>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B53423">
        <w:br w:type="page"/>
      </w:r>
    </w:p>
    <w:p w:rsidR="004C74C2" w:rsidRPr="00B53423" w:rsidRDefault="003A6B3B" w:rsidP="0015232B">
      <w:pPr>
        <w:pStyle w:val="Heading1"/>
        <w:keepNext w:val="0"/>
        <w:numPr>
          <w:ilvl w:val="0"/>
          <w:numId w:val="1"/>
        </w:numPr>
        <w:ind w:left="720" w:hanging="1080"/>
        <w:rPr>
          <w:color w:val="auto"/>
        </w:rPr>
      </w:pPr>
      <w:bookmarkStart w:id="66" w:name="_Toc399626102"/>
      <w:r w:rsidRPr="00B53423">
        <w:rPr>
          <w:color w:val="auto"/>
        </w:rPr>
        <w:t>PROCEDURAL HISTORY</w:t>
      </w:r>
      <w:bookmarkEnd w:id="65"/>
      <w:bookmarkEnd w:id="66"/>
    </w:p>
    <w:p w:rsidR="004C74C2" w:rsidRPr="00B53423" w:rsidRDefault="004C74C2" w:rsidP="0015232B">
      <w:pPr>
        <w:autoSpaceDE w:val="0"/>
        <w:autoSpaceDN w:val="0"/>
        <w:adjustRightInd w:val="0"/>
        <w:spacing w:before="0"/>
        <w:rPr>
          <w:rFonts w:asciiTheme="minorHAnsi" w:hAnsiTheme="minorHAnsi" w:cstheme="minorHAnsi"/>
          <w:color w:val="000000"/>
        </w:rPr>
      </w:pPr>
    </w:p>
    <w:p w:rsidR="009A21EE" w:rsidRPr="00B53423" w:rsidRDefault="009A21EE" w:rsidP="0015232B">
      <w:pPr>
        <w:pStyle w:val="ListParagraph"/>
        <w:numPr>
          <w:ilvl w:val="0"/>
          <w:numId w:val="19"/>
        </w:numPr>
        <w:autoSpaceDE w:val="0"/>
        <w:autoSpaceDN w:val="0"/>
        <w:adjustRightInd w:val="0"/>
        <w:spacing w:line="240" w:lineRule="auto"/>
        <w:contextualSpacing/>
        <w:outlineLvl w:val="1"/>
        <w:rPr>
          <w:rFonts w:asciiTheme="minorHAnsi" w:hAnsiTheme="minorHAnsi" w:cstheme="minorHAnsi"/>
          <w:b/>
          <w:bCs/>
          <w:vanish/>
          <w:color w:val="000000"/>
        </w:rPr>
      </w:pPr>
      <w:bookmarkStart w:id="67" w:name="_Toc396689733"/>
      <w:bookmarkStart w:id="68" w:name="_Toc396689830"/>
      <w:bookmarkStart w:id="69" w:name="_Toc396690091"/>
      <w:bookmarkStart w:id="70" w:name="_Toc396690183"/>
      <w:bookmarkStart w:id="71" w:name="_Toc396690663"/>
      <w:bookmarkStart w:id="72" w:name="_Toc396908999"/>
      <w:bookmarkStart w:id="73" w:name="_Toc396918276"/>
      <w:bookmarkStart w:id="74" w:name="_Toc397184297"/>
      <w:bookmarkStart w:id="75" w:name="_Toc397185183"/>
      <w:bookmarkStart w:id="76" w:name="_Toc397185676"/>
      <w:bookmarkStart w:id="77" w:name="_Toc397186169"/>
      <w:bookmarkStart w:id="78" w:name="_Toc397186332"/>
      <w:bookmarkStart w:id="79" w:name="_Toc397351464"/>
      <w:bookmarkStart w:id="80" w:name="_Toc397619426"/>
      <w:bookmarkStart w:id="81" w:name="_Toc397619596"/>
      <w:bookmarkStart w:id="82" w:name="_Toc399507278"/>
      <w:bookmarkStart w:id="83" w:name="_Toc399507472"/>
      <w:bookmarkStart w:id="84" w:name="_Toc399507653"/>
      <w:bookmarkStart w:id="85" w:name="_Toc399507833"/>
      <w:bookmarkStart w:id="86" w:name="_Toc399508012"/>
      <w:bookmarkStart w:id="87" w:name="_Toc399514023"/>
      <w:bookmarkStart w:id="88" w:name="_Toc399514214"/>
      <w:bookmarkStart w:id="89" w:name="_Toc399514394"/>
      <w:bookmarkStart w:id="90" w:name="_Toc399653543"/>
      <w:bookmarkStart w:id="91" w:name="_Toc399653723"/>
      <w:bookmarkStart w:id="92" w:name="_Toc399674244"/>
      <w:bookmarkStart w:id="93" w:name="_Toc399674426"/>
      <w:bookmarkStart w:id="94" w:name="_Toc399624819"/>
      <w:bookmarkStart w:id="95" w:name="_Toc399625289"/>
      <w:bookmarkStart w:id="96" w:name="_Toc399625728"/>
      <w:bookmarkStart w:id="97" w:name="_Toc399625937"/>
      <w:bookmarkStart w:id="98" w:name="_Toc399626103"/>
      <w:bookmarkStart w:id="99" w:name="_Toc39443927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rsidR="009A21EE" w:rsidRPr="00B53423" w:rsidRDefault="009A21EE" w:rsidP="0015232B">
      <w:pPr>
        <w:pStyle w:val="ListParagraph"/>
        <w:numPr>
          <w:ilvl w:val="0"/>
          <w:numId w:val="19"/>
        </w:numPr>
        <w:autoSpaceDE w:val="0"/>
        <w:autoSpaceDN w:val="0"/>
        <w:adjustRightInd w:val="0"/>
        <w:spacing w:line="240" w:lineRule="auto"/>
        <w:contextualSpacing/>
        <w:outlineLvl w:val="1"/>
        <w:rPr>
          <w:rFonts w:asciiTheme="minorHAnsi" w:hAnsiTheme="minorHAnsi" w:cstheme="minorHAnsi"/>
          <w:b/>
          <w:bCs/>
          <w:vanish/>
          <w:color w:val="000000"/>
        </w:rPr>
      </w:pPr>
      <w:bookmarkStart w:id="100" w:name="_Toc396689734"/>
      <w:bookmarkStart w:id="101" w:name="_Toc396689831"/>
      <w:bookmarkStart w:id="102" w:name="_Toc396690092"/>
      <w:bookmarkStart w:id="103" w:name="_Toc396690184"/>
      <w:bookmarkStart w:id="104" w:name="_Toc396690664"/>
      <w:bookmarkStart w:id="105" w:name="_Toc396909000"/>
      <w:bookmarkStart w:id="106" w:name="_Toc396918277"/>
      <w:bookmarkStart w:id="107" w:name="_Toc397184298"/>
      <w:bookmarkStart w:id="108" w:name="_Toc397185184"/>
      <w:bookmarkStart w:id="109" w:name="_Toc397185677"/>
      <w:bookmarkStart w:id="110" w:name="_Toc397186170"/>
      <w:bookmarkStart w:id="111" w:name="_Toc397186333"/>
      <w:bookmarkStart w:id="112" w:name="_Toc397351465"/>
      <w:bookmarkStart w:id="113" w:name="_Toc397619427"/>
      <w:bookmarkStart w:id="114" w:name="_Toc397619597"/>
      <w:bookmarkStart w:id="115" w:name="_Toc399507279"/>
      <w:bookmarkStart w:id="116" w:name="_Toc399507473"/>
      <w:bookmarkStart w:id="117" w:name="_Toc399507654"/>
      <w:bookmarkStart w:id="118" w:name="_Toc399507834"/>
      <w:bookmarkStart w:id="119" w:name="_Toc399508013"/>
      <w:bookmarkStart w:id="120" w:name="_Toc399514024"/>
      <w:bookmarkStart w:id="121" w:name="_Toc399514215"/>
      <w:bookmarkStart w:id="122" w:name="_Toc399514395"/>
      <w:bookmarkStart w:id="123" w:name="_Toc399653544"/>
      <w:bookmarkStart w:id="124" w:name="_Toc399653724"/>
      <w:bookmarkStart w:id="125" w:name="_Toc399674245"/>
      <w:bookmarkStart w:id="126" w:name="_Toc399674427"/>
      <w:bookmarkStart w:id="127" w:name="_Toc399624820"/>
      <w:bookmarkStart w:id="128" w:name="_Toc399625290"/>
      <w:bookmarkStart w:id="129" w:name="_Toc399625729"/>
      <w:bookmarkStart w:id="130" w:name="_Toc399625938"/>
      <w:bookmarkStart w:id="131" w:name="_Toc399626104"/>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rsidR="004C74C2" w:rsidRPr="00B53423" w:rsidRDefault="004C74C2" w:rsidP="0015232B">
      <w:pPr>
        <w:pStyle w:val="Heading2"/>
        <w:keepNext w:val="0"/>
        <w:numPr>
          <w:ilvl w:val="1"/>
          <w:numId w:val="19"/>
        </w:numPr>
        <w:autoSpaceDE w:val="0"/>
        <w:autoSpaceDN w:val="0"/>
        <w:adjustRightInd w:val="0"/>
        <w:spacing w:before="120" w:line="240" w:lineRule="auto"/>
        <w:ind w:left="720" w:hanging="1080"/>
        <w:contextualSpacing/>
      </w:pPr>
      <w:bookmarkStart w:id="132" w:name="_Toc399626105"/>
      <w:r w:rsidRPr="00B53423">
        <w:t>ARR / TARIF AND TRUE-UP PETITIONS FILING BY THE LICENSEE</w:t>
      </w:r>
      <w:bookmarkEnd w:id="99"/>
      <w:bookmarkEnd w:id="132"/>
    </w:p>
    <w:p w:rsidR="004C74C2" w:rsidRPr="00B53423" w:rsidRDefault="004C74C2" w:rsidP="0015232B">
      <w:pPr>
        <w:pStyle w:val="Heading2"/>
        <w:keepNext w:val="0"/>
        <w:numPr>
          <w:ilvl w:val="0"/>
          <w:numId w:val="0"/>
        </w:numPr>
        <w:autoSpaceDE w:val="0"/>
        <w:autoSpaceDN w:val="0"/>
        <w:adjustRightInd w:val="0"/>
        <w:spacing w:before="120" w:line="240" w:lineRule="auto"/>
        <w:ind w:left="900"/>
        <w:contextualSpacing/>
      </w:pPr>
    </w:p>
    <w:p w:rsidR="004C74C2" w:rsidRPr="00B53423" w:rsidRDefault="004C74C2" w:rsidP="0015232B">
      <w:pPr>
        <w:pStyle w:val="Heading3"/>
        <w:keepNext w:val="0"/>
        <w:ind w:hanging="1080"/>
      </w:pPr>
      <w:r w:rsidRPr="00B53423">
        <w:t>As per the provisions of the UPERC (Terms and Conditions for Determination of Distribution Tariff) Regulations, 2006, the Distribution Licensees’ are required to file their ARR / Tariff Petitions before the Commission latest by 30</w:t>
      </w:r>
      <w:r w:rsidR="003A6B3B" w:rsidRPr="00B53423">
        <w:rPr>
          <w:vertAlign w:val="superscript"/>
        </w:rPr>
        <w:t>th</w:t>
      </w:r>
      <w:r w:rsidRPr="00B53423">
        <w:t xml:space="preserve"> November each year so that the tariff can be determined and be made applicable from the 1</w:t>
      </w:r>
      <w:r w:rsidR="003A6B3B" w:rsidRPr="00B53423">
        <w:rPr>
          <w:vertAlign w:val="superscript"/>
        </w:rPr>
        <w:t>st</w:t>
      </w:r>
      <w:r w:rsidRPr="00B53423">
        <w:t xml:space="preserve"> of April of the subsequent financial year.</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ARR / Tariff Petition for FY 2014-15 and True</w:t>
      </w:r>
      <w:r w:rsidR="00FC0E06" w:rsidRPr="00B53423">
        <w:t>-</w:t>
      </w:r>
      <w:r w:rsidRPr="00B53423">
        <w:t>up Petition for FY 2008-09 to FY 2011-12 was filed by KESCO (hereinafter referred to as the ‘Licensee’ or the ‘Petitioner’) under Sections 62 and 64 of the Electricity Act, 2003 on 29</w:t>
      </w:r>
      <w:r w:rsidR="004D0378" w:rsidRPr="00B53423">
        <w:rPr>
          <w:vertAlign w:val="superscript"/>
        </w:rPr>
        <w:t xml:space="preserve">th </w:t>
      </w:r>
      <w:r w:rsidRPr="00B53423">
        <w:t>November, 2013 and 14</w:t>
      </w:r>
      <w:r w:rsidR="004D0378" w:rsidRPr="00B53423">
        <w:rPr>
          <w:vertAlign w:val="superscript"/>
        </w:rPr>
        <w:t>th</w:t>
      </w:r>
      <w:r w:rsidRPr="00B53423">
        <w:t xml:space="preserve"> May, 2014 respectively (Petition Nos.</w:t>
      </w:r>
      <w:r w:rsidR="004D0378" w:rsidRPr="00B53423">
        <w:t xml:space="preserve"> 889 / 2013 and 921 / 2013</w:t>
      </w:r>
      <w:r w:rsidRPr="00B53423">
        <w:t>.</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The Commission observed that the Licensee had submitted the Audited Accounts for </w:t>
      </w:r>
      <w:r w:rsidR="00AB48AB" w:rsidRPr="00B53423">
        <w:t xml:space="preserve">FY 2008-09 to </w:t>
      </w:r>
      <w:r w:rsidRPr="00B53423">
        <w:t xml:space="preserve">FY 2011-12 </w:t>
      </w:r>
      <w:r w:rsidR="00AB48AB" w:rsidRPr="00B53423">
        <w:t xml:space="preserve">and provisional accounts of FY 2012-13 </w:t>
      </w:r>
      <w:r w:rsidRPr="00B53423">
        <w:t xml:space="preserve">along with the calculations of revenue gap for FY 2014-15 and the projected revenue for FY 2014-15 based on current </w:t>
      </w:r>
      <w:r w:rsidR="00AB48AB" w:rsidRPr="00B53423">
        <w:t>T</w:t>
      </w:r>
      <w:r w:rsidRPr="00B53423">
        <w:t xml:space="preserve">ariff in their ARR Petitions. However, the ARR Petitions did not contain a proposal to bridge the revenue gap through </w:t>
      </w:r>
      <w:r w:rsidR="00AB48AB" w:rsidRPr="00B53423">
        <w:t>T</w:t>
      </w:r>
      <w:r w:rsidRPr="00B53423">
        <w:t>ariff hike or through any other mechanism. The Licensee further submitted the Rate Schedule on 18</w:t>
      </w:r>
      <w:r w:rsidR="004D0378" w:rsidRPr="00B53423">
        <w:rPr>
          <w:vertAlign w:val="superscript"/>
        </w:rPr>
        <w:t>th</w:t>
      </w:r>
      <w:r w:rsidRPr="00B53423">
        <w:t xml:space="preserve"> December, 2013.</w:t>
      </w:r>
    </w:p>
    <w:p w:rsidR="004C74C2" w:rsidRPr="00B53423" w:rsidRDefault="004C74C2" w:rsidP="0015232B">
      <w:pPr>
        <w:spacing w:before="0"/>
        <w:rPr>
          <w:rFonts w:asciiTheme="minorHAnsi" w:hAnsiTheme="minorHAnsi" w:cstheme="minorHAnsi"/>
        </w:rPr>
      </w:pPr>
    </w:p>
    <w:p w:rsidR="004C74C2" w:rsidRPr="00B53423" w:rsidRDefault="004C74C2" w:rsidP="0015232B">
      <w:pPr>
        <w:pStyle w:val="Heading2"/>
        <w:keepNext w:val="0"/>
        <w:numPr>
          <w:ilvl w:val="1"/>
          <w:numId w:val="19"/>
        </w:numPr>
        <w:autoSpaceDE w:val="0"/>
        <w:autoSpaceDN w:val="0"/>
        <w:adjustRightInd w:val="0"/>
        <w:spacing w:before="120" w:line="240" w:lineRule="auto"/>
        <w:ind w:left="720" w:hanging="1080"/>
        <w:contextualSpacing/>
      </w:pPr>
      <w:bookmarkStart w:id="133" w:name="_Toc394439277"/>
      <w:bookmarkStart w:id="134" w:name="_Toc399626106"/>
      <w:r w:rsidRPr="00B53423">
        <w:t>PRELIMINARY SCRUTINY OF THE PETITIONS:</w:t>
      </w:r>
      <w:bookmarkEnd w:id="133"/>
      <w:bookmarkEnd w:id="134"/>
    </w:p>
    <w:p w:rsidR="004C74C2" w:rsidRPr="00B53423" w:rsidRDefault="004C74C2" w:rsidP="0015232B">
      <w:pPr>
        <w:pStyle w:val="Heading3"/>
        <w:keepNext w:val="0"/>
        <w:numPr>
          <w:ilvl w:val="0"/>
          <w:numId w:val="0"/>
        </w:numPr>
        <w:ind w:left="720"/>
      </w:pPr>
    </w:p>
    <w:p w:rsidR="00A41301" w:rsidRPr="00B53423" w:rsidRDefault="00A41301" w:rsidP="0015232B">
      <w:pPr>
        <w:pStyle w:val="ListParagraph"/>
        <w:numPr>
          <w:ilvl w:val="1"/>
          <w:numId w:val="1"/>
        </w:numPr>
        <w:spacing w:before="0"/>
        <w:outlineLvl w:val="1"/>
        <w:rPr>
          <w:rFonts w:asciiTheme="minorHAnsi" w:hAnsiTheme="minorHAnsi" w:cstheme="minorHAnsi"/>
          <w:b/>
          <w:bCs/>
          <w:vanish/>
          <w:color w:val="000000"/>
        </w:rPr>
      </w:pPr>
      <w:bookmarkStart w:id="135" w:name="_Toc396689737"/>
      <w:bookmarkStart w:id="136" w:name="_Toc396689834"/>
      <w:bookmarkStart w:id="137" w:name="_Toc396690095"/>
      <w:bookmarkStart w:id="138" w:name="_Toc396690187"/>
      <w:bookmarkStart w:id="139" w:name="_Toc396690667"/>
      <w:bookmarkStart w:id="140" w:name="_Toc396909003"/>
      <w:bookmarkStart w:id="141" w:name="_Toc396918280"/>
      <w:bookmarkStart w:id="142" w:name="_Toc397184301"/>
      <w:bookmarkStart w:id="143" w:name="_Toc397185187"/>
      <w:bookmarkStart w:id="144" w:name="_Toc397185680"/>
      <w:bookmarkStart w:id="145" w:name="_Toc397186173"/>
      <w:bookmarkStart w:id="146" w:name="_Toc397186336"/>
      <w:bookmarkStart w:id="147" w:name="_Toc397351468"/>
      <w:bookmarkStart w:id="148" w:name="_Toc397619430"/>
      <w:bookmarkStart w:id="149" w:name="_Toc397619600"/>
      <w:bookmarkStart w:id="150" w:name="_Toc399507282"/>
      <w:bookmarkStart w:id="151" w:name="_Toc399507476"/>
      <w:bookmarkStart w:id="152" w:name="_Toc399507657"/>
      <w:bookmarkStart w:id="153" w:name="_Toc399507837"/>
      <w:bookmarkStart w:id="154" w:name="_Toc399508016"/>
      <w:bookmarkStart w:id="155" w:name="_Toc399514027"/>
      <w:bookmarkStart w:id="156" w:name="_Toc399514218"/>
      <w:bookmarkStart w:id="157" w:name="_Toc399514398"/>
      <w:bookmarkStart w:id="158" w:name="_Toc399653547"/>
      <w:bookmarkStart w:id="159" w:name="_Toc399653727"/>
      <w:bookmarkStart w:id="160" w:name="_Toc399674248"/>
      <w:bookmarkStart w:id="161" w:name="_Toc399674430"/>
      <w:bookmarkStart w:id="162" w:name="_Toc399624823"/>
      <w:bookmarkStart w:id="163" w:name="_Toc399625293"/>
      <w:bookmarkStart w:id="164" w:name="_Toc399625732"/>
      <w:bookmarkStart w:id="165" w:name="_Toc399625941"/>
      <w:bookmarkStart w:id="166" w:name="_Toc399626107"/>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rsidR="004C74C2" w:rsidRPr="00B53423" w:rsidRDefault="004C74C2" w:rsidP="0015232B">
      <w:pPr>
        <w:pStyle w:val="Heading3"/>
        <w:keepNext w:val="0"/>
        <w:ind w:hanging="1080"/>
      </w:pPr>
      <w:r w:rsidRPr="00B53423">
        <w:t xml:space="preserve">A preliminary analysis of the Petition was conducted by the Commission wherein it was observed that the ARR Petition did not propose any mechanism to bridge the revenue gap which was in contravention to the stipulation of Regulations 2.1.4 of the Distribution Tariff Regulations. </w:t>
      </w:r>
    </w:p>
    <w:p w:rsidR="009A21EE" w:rsidRPr="00B53423" w:rsidRDefault="009A21EE" w:rsidP="0015232B">
      <w:pPr>
        <w:pStyle w:val="Heading3"/>
        <w:keepNext w:val="0"/>
        <w:numPr>
          <w:ilvl w:val="0"/>
          <w:numId w:val="0"/>
        </w:numPr>
        <w:ind w:left="720"/>
      </w:pPr>
    </w:p>
    <w:p w:rsidR="004C74C2" w:rsidRPr="00B53423" w:rsidRDefault="004C74C2" w:rsidP="0015232B">
      <w:pPr>
        <w:pStyle w:val="Heading3"/>
        <w:keepNext w:val="0"/>
        <w:ind w:hanging="1080"/>
      </w:pPr>
      <w:r w:rsidRPr="00B53423">
        <w:t>In this regard, a deficiency note was issued by the Commission on 22</w:t>
      </w:r>
      <w:r w:rsidRPr="00B53423">
        <w:rPr>
          <w:vertAlign w:val="superscript"/>
        </w:rPr>
        <w:t>nd</w:t>
      </w:r>
      <w:r w:rsidRPr="00B53423">
        <w:t xml:space="preserve"> February, 2014 directing the Petitioner to submit their proposal for bridging the revenue gap. Such deficiency note also sought clarifications on other issues in regard to the ARR Petition filed. The Commission had granted a time of 10 days to respond on the deficiency note i.e., by 3</w:t>
      </w:r>
      <w:r w:rsidRPr="00B53423">
        <w:rPr>
          <w:vertAlign w:val="superscript"/>
        </w:rPr>
        <w:t>rd</w:t>
      </w:r>
      <w:r w:rsidRPr="00B53423">
        <w:t xml:space="preserve"> March, 2014.</w:t>
      </w:r>
    </w:p>
    <w:p w:rsidR="009A21EE" w:rsidRPr="00B53423" w:rsidRDefault="009A21EE" w:rsidP="0015232B">
      <w:pPr>
        <w:pStyle w:val="ListParagraph"/>
      </w:pPr>
    </w:p>
    <w:p w:rsidR="004C74C2" w:rsidRPr="00B53423" w:rsidRDefault="004C74C2" w:rsidP="0015232B">
      <w:pPr>
        <w:pStyle w:val="Heading3"/>
        <w:keepNext w:val="0"/>
        <w:ind w:hanging="1080"/>
      </w:pPr>
      <w:r w:rsidRPr="00B53423">
        <w:t>Thereafter, the Petitioner requested for a time extension by 15 days vide letter dated 4</w:t>
      </w:r>
      <w:r w:rsidRPr="00B53423">
        <w:rPr>
          <w:vertAlign w:val="superscript"/>
        </w:rPr>
        <w:t>th</w:t>
      </w:r>
      <w:r w:rsidRPr="00B53423">
        <w:t xml:space="preserve"> March, 2014, to respond on the deficiency note.</w:t>
      </w:r>
    </w:p>
    <w:p w:rsidR="009A21EE" w:rsidRPr="00B53423" w:rsidRDefault="009A21EE"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provided some of the critical data required by the Commission for acceptance / admission of the Petition on 19</w:t>
      </w:r>
      <w:r w:rsidRPr="00B53423">
        <w:rPr>
          <w:vertAlign w:val="superscript"/>
        </w:rPr>
        <w:t>th</w:t>
      </w:r>
      <w:r w:rsidRPr="00B53423">
        <w:t xml:space="preserve"> March, 2014.</w:t>
      </w:r>
    </w:p>
    <w:p w:rsidR="009A21EE" w:rsidRPr="00B53423" w:rsidRDefault="009A21EE" w:rsidP="0015232B">
      <w:pPr>
        <w:pStyle w:val="Heading3"/>
        <w:keepNext w:val="0"/>
        <w:numPr>
          <w:ilvl w:val="0"/>
          <w:numId w:val="0"/>
        </w:numPr>
        <w:ind w:left="720"/>
      </w:pPr>
    </w:p>
    <w:p w:rsidR="004C74C2" w:rsidRPr="00B53423" w:rsidRDefault="004C74C2" w:rsidP="0015232B">
      <w:pPr>
        <w:pStyle w:val="Heading3"/>
        <w:keepNext w:val="0"/>
        <w:ind w:hanging="1080"/>
      </w:pPr>
      <w:r w:rsidRPr="00B53423">
        <w:t>Based on the reply submitted by the Petitioner, the Commission issued a second deficiency note which included all the pending queries along with few additional queries vide letter dated 21</w:t>
      </w:r>
      <w:r w:rsidRPr="00B53423">
        <w:rPr>
          <w:vertAlign w:val="superscript"/>
        </w:rPr>
        <w:t>st</w:t>
      </w:r>
      <w:r w:rsidRPr="00B53423">
        <w:t xml:space="preserve"> April, 2014. The Commission also directed the Licensees to submit its replies within 15 days.</w:t>
      </w:r>
    </w:p>
    <w:p w:rsidR="009A21EE" w:rsidRPr="00B53423" w:rsidRDefault="009A21EE"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submitted the replies to the second deficiency note on 23</w:t>
      </w:r>
      <w:r w:rsidRPr="00B53423">
        <w:rPr>
          <w:vertAlign w:val="superscript"/>
        </w:rPr>
        <w:t>rd</w:t>
      </w:r>
      <w:r w:rsidRPr="00B53423">
        <w:t xml:space="preserve"> May, 2014.</w:t>
      </w:r>
    </w:p>
    <w:p w:rsidR="009A21EE" w:rsidRPr="00B53423" w:rsidRDefault="009A21EE"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Hon’ble APTEL in its Judgment dated 21</w:t>
      </w:r>
      <w:r w:rsidRPr="00B53423">
        <w:rPr>
          <w:vertAlign w:val="superscript"/>
        </w:rPr>
        <w:t>st</w:t>
      </w:r>
      <w:r w:rsidRPr="00B53423">
        <w:t xml:space="preserve"> October, 2011 in Appeal No. 121 of 2010 has ruled that, if the Audited Accounts for the previous year are not available for some reasons then the Audited Accounts for the year just prior to the previous year alongwith the provisional accounts for the previous year may be considered. Thus, based on the above ruling of the Hon’ble APTEL, the Audited Accounts for FY 2011-12 (i.e. year just prior to the previous year) has been considered for the current proceedings in the matter of approval of Annual Revenue Requirement and Tariff Determination of FY 2014-15. </w:t>
      </w:r>
    </w:p>
    <w:p w:rsidR="004C74C2" w:rsidRPr="00B53423" w:rsidRDefault="004C74C2" w:rsidP="0015232B">
      <w:pPr>
        <w:pStyle w:val="Heading3"/>
        <w:keepNext w:val="0"/>
        <w:numPr>
          <w:ilvl w:val="0"/>
          <w:numId w:val="0"/>
        </w:numPr>
        <w:ind w:left="993"/>
      </w:pPr>
    </w:p>
    <w:p w:rsidR="004C74C2" w:rsidRPr="00B53423" w:rsidRDefault="004C74C2" w:rsidP="0015232B">
      <w:pPr>
        <w:pStyle w:val="Heading2"/>
        <w:keepNext w:val="0"/>
        <w:numPr>
          <w:ilvl w:val="1"/>
          <w:numId w:val="19"/>
        </w:numPr>
        <w:autoSpaceDE w:val="0"/>
        <w:autoSpaceDN w:val="0"/>
        <w:adjustRightInd w:val="0"/>
        <w:spacing w:before="120" w:line="240" w:lineRule="auto"/>
        <w:ind w:left="720" w:hanging="1080"/>
        <w:contextualSpacing/>
      </w:pPr>
      <w:bookmarkStart w:id="167" w:name="_Toc356912865"/>
      <w:bookmarkStart w:id="168" w:name="_Toc394439278"/>
      <w:bookmarkStart w:id="169" w:name="_Toc399626108"/>
      <w:r w:rsidRPr="00B53423">
        <w:t xml:space="preserve">ADMITTANCE OF </w:t>
      </w:r>
      <w:r w:rsidR="000638AA" w:rsidRPr="00B53423">
        <w:t>THE TRUE-UP AND</w:t>
      </w:r>
      <w:r w:rsidRPr="00B53423">
        <w:t xml:space="preserve"> ARR / TARIFF PETITION</w:t>
      </w:r>
      <w:bookmarkEnd w:id="167"/>
      <w:r w:rsidRPr="00B53423">
        <w:t>S</w:t>
      </w:r>
      <w:bookmarkEnd w:id="168"/>
      <w:bookmarkEnd w:id="169"/>
    </w:p>
    <w:p w:rsidR="004C74C2" w:rsidRPr="00B53423" w:rsidRDefault="004C74C2" w:rsidP="0015232B">
      <w:pPr>
        <w:pStyle w:val="Heading3"/>
        <w:keepNext w:val="0"/>
        <w:numPr>
          <w:ilvl w:val="0"/>
          <w:numId w:val="0"/>
        </w:numPr>
        <w:ind w:left="720"/>
      </w:pPr>
    </w:p>
    <w:p w:rsidR="000206FE" w:rsidRPr="00B53423" w:rsidRDefault="000206FE" w:rsidP="0015232B">
      <w:pPr>
        <w:pStyle w:val="ListParagraph"/>
        <w:numPr>
          <w:ilvl w:val="1"/>
          <w:numId w:val="1"/>
        </w:numPr>
        <w:spacing w:before="0"/>
        <w:outlineLvl w:val="1"/>
        <w:rPr>
          <w:rFonts w:asciiTheme="minorHAnsi" w:hAnsiTheme="minorHAnsi" w:cstheme="minorHAnsi"/>
          <w:b/>
          <w:bCs/>
          <w:vanish/>
          <w:color w:val="000000"/>
        </w:rPr>
      </w:pPr>
      <w:bookmarkStart w:id="170" w:name="_Toc396690669"/>
      <w:bookmarkStart w:id="171" w:name="_Toc396909005"/>
      <w:bookmarkStart w:id="172" w:name="_Toc396918282"/>
      <w:bookmarkStart w:id="173" w:name="_Toc397184303"/>
      <w:bookmarkStart w:id="174" w:name="_Toc397185189"/>
      <w:bookmarkStart w:id="175" w:name="_Toc397185682"/>
      <w:bookmarkStart w:id="176" w:name="_Toc397186175"/>
      <w:bookmarkStart w:id="177" w:name="_Toc397186338"/>
      <w:bookmarkStart w:id="178" w:name="_Toc397351470"/>
      <w:bookmarkStart w:id="179" w:name="_Toc397619432"/>
      <w:bookmarkStart w:id="180" w:name="_Toc397619602"/>
      <w:bookmarkStart w:id="181" w:name="_Toc399507284"/>
      <w:bookmarkStart w:id="182" w:name="_Toc399507478"/>
      <w:bookmarkStart w:id="183" w:name="_Toc399507659"/>
      <w:bookmarkStart w:id="184" w:name="_Toc399507839"/>
      <w:bookmarkStart w:id="185" w:name="_Toc399508018"/>
      <w:bookmarkStart w:id="186" w:name="_Toc399514029"/>
      <w:bookmarkStart w:id="187" w:name="_Toc399514220"/>
      <w:bookmarkStart w:id="188" w:name="_Toc399514400"/>
      <w:bookmarkStart w:id="189" w:name="_Toc399653549"/>
      <w:bookmarkStart w:id="190" w:name="_Toc399653729"/>
      <w:bookmarkStart w:id="191" w:name="_Toc399674250"/>
      <w:bookmarkStart w:id="192" w:name="_Toc399674432"/>
      <w:bookmarkStart w:id="193" w:name="_Toc399624825"/>
      <w:bookmarkStart w:id="194" w:name="_Toc399625295"/>
      <w:bookmarkStart w:id="195" w:name="_Toc399625734"/>
      <w:bookmarkStart w:id="196" w:name="_Toc399625943"/>
      <w:bookmarkStart w:id="197" w:name="_Toc39962610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rsidR="004C74C2" w:rsidRPr="00B53423" w:rsidRDefault="004C74C2" w:rsidP="0015232B">
      <w:pPr>
        <w:pStyle w:val="Heading3"/>
        <w:keepNext w:val="0"/>
        <w:ind w:hanging="1080"/>
      </w:pPr>
      <w:r w:rsidRPr="00B53423">
        <w:t>The Commission through its Admittance Order dated 3</w:t>
      </w:r>
      <w:r w:rsidR="004D0378" w:rsidRPr="00B53423">
        <w:rPr>
          <w:vertAlign w:val="superscript"/>
        </w:rPr>
        <w:t>rd</w:t>
      </w:r>
      <w:r w:rsidRPr="00B53423">
        <w:t xml:space="preserve"> June, 2014 directed the Petitioner to publish, within 3 days from the date of issue of that Order, the Public Notice detailing the salient information and facts of the True-up Petitions for FY 2008-09 to FY 2011-12, ARR Petitions for FY 2014-15 and the Rate Schedule (Tariff Proposed for different categories/ sub-categories of consumers) in at least two daily newspapers (one English and one Hindi) for two successive days for inviting views / objections by all stakeholders and public at large. The Commission had also directed the Petitioner to upload the response to the deficiency notes and all subsequent submissions on their website.</w:t>
      </w:r>
    </w:p>
    <w:p w:rsidR="009A21EE" w:rsidRPr="00B53423" w:rsidRDefault="009A21EE"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Commission also directed the Petitioner to inform the public at large vide the Public Notice about the Staff Papers prepared by the Commission containing salient features of the Petitions and the In-house Papers on certain additional issues / new matters also available on the Commission’s website www.uperc.org for comments from all stakeholders and public at large within the stipulated time of 15 days from the date of publication of the Public Notice.</w:t>
      </w:r>
    </w:p>
    <w:p w:rsidR="004C74C2" w:rsidRPr="00B53423" w:rsidRDefault="004C74C2" w:rsidP="0015232B">
      <w:pPr>
        <w:pStyle w:val="Heading2"/>
        <w:keepNext w:val="0"/>
        <w:numPr>
          <w:ilvl w:val="0"/>
          <w:numId w:val="0"/>
        </w:numPr>
        <w:ind w:left="782"/>
      </w:pPr>
    </w:p>
    <w:p w:rsidR="004C74C2" w:rsidRPr="00B53423" w:rsidRDefault="004C74C2" w:rsidP="0015232B">
      <w:pPr>
        <w:pStyle w:val="Heading2"/>
        <w:keepNext w:val="0"/>
        <w:numPr>
          <w:ilvl w:val="1"/>
          <w:numId w:val="19"/>
        </w:numPr>
        <w:autoSpaceDE w:val="0"/>
        <w:autoSpaceDN w:val="0"/>
        <w:adjustRightInd w:val="0"/>
        <w:spacing w:before="120" w:line="240" w:lineRule="auto"/>
        <w:ind w:left="720" w:hanging="1080"/>
        <w:contextualSpacing/>
      </w:pPr>
      <w:bookmarkStart w:id="198" w:name="_Toc394439279"/>
      <w:bookmarkStart w:id="199" w:name="_Toc399626110"/>
      <w:r w:rsidRPr="00B53423">
        <w:t>PUBLICITY OF THE PETITION</w:t>
      </w:r>
      <w:bookmarkEnd w:id="198"/>
      <w:bookmarkEnd w:id="199"/>
    </w:p>
    <w:p w:rsidR="009268E4" w:rsidRPr="00B53423" w:rsidRDefault="009268E4" w:rsidP="0015232B">
      <w:pPr>
        <w:pStyle w:val="Heading3"/>
        <w:keepNext w:val="0"/>
        <w:numPr>
          <w:ilvl w:val="0"/>
          <w:numId w:val="0"/>
        </w:numPr>
        <w:ind w:left="720"/>
      </w:pPr>
    </w:p>
    <w:p w:rsidR="00E6206E" w:rsidRPr="00B53423" w:rsidRDefault="00E6206E" w:rsidP="0015232B">
      <w:pPr>
        <w:pStyle w:val="ListParagraph"/>
        <w:numPr>
          <w:ilvl w:val="1"/>
          <w:numId w:val="1"/>
        </w:numPr>
        <w:spacing w:before="0"/>
        <w:outlineLvl w:val="1"/>
        <w:rPr>
          <w:rFonts w:asciiTheme="minorHAnsi" w:hAnsiTheme="minorHAnsi" w:cstheme="minorHAnsi"/>
          <w:b/>
          <w:bCs/>
          <w:vanish/>
          <w:color w:val="000000"/>
        </w:rPr>
      </w:pPr>
      <w:bookmarkStart w:id="200" w:name="_Toc396689740"/>
      <w:bookmarkStart w:id="201" w:name="_Toc396689837"/>
      <w:bookmarkStart w:id="202" w:name="_Toc396690098"/>
      <w:bookmarkStart w:id="203" w:name="_Toc396690190"/>
      <w:bookmarkStart w:id="204" w:name="_Toc396689741"/>
      <w:bookmarkStart w:id="205" w:name="_Toc396689838"/>
      <w:bookmarkStart w:id="206" w:name="_Toc396690099"/>
      <w:bookmarkStart w:id="207" w:name="_Toc396690191"/>
      <w:bookmarkStart w:id="208" w:name="_Toc396690671"/>
      <w:bookmarkStart w:id="209" w:name="_Toc396909007"/>
      <w:bookmarkStart w:id="210" w:name="_Toc396918284"/>
      <w:bookmarkStart w:id="211" w:name="_Toc397184305"/>
      <w:bookmarkStart w:id="212" w:name="_Toc397185191"/>
      <w:bookmarkStart w:id="213" w:name="_Toc397185684"/>
      <w:bookmarkStart w:id="214" w:name="_Toc397186177"/>
      <w:bookmarkStart w:id="215" w:name="_Toc397186340"/>
      <w:bookmarkStart w:id="216" w:name="_Toc397351472"/>
      <w:bookmarkStart w:id="217" w:name="_Toc397619434"/>
      <w:bookmarkStart w:id="218" w:name="_Toc397619604"/>
      <w:bookmarkStart w:id="219" w:name="_Toc399507286"/>
      <w:bookmarkStart w:id="220" w:name="_Toc399507480"/>
      <w:bookmarkStart w:id="221" w:name="_Toc399507661"/>
      <w:bookmarkStart w:id="222" w:name="_Toc399507841"/>
      <w:bookmarkStart w:id="223" w:name="_Toc399508020"/>
      <w:bookmarkStart w:id="224" w:name="_Toc399514031"/>
      <w:bookmarkStart w:id="225" w:name="_Toc399514222"/>
      <w:bookmarkStart w:id="226" w:name="_Toc399514402"/>
      <w:bookmarkStart w:id="227" w:name="_Toc399653551"/>
      <w:bookmarkStart w:id="228" w:name="_Toc399653731"/>
      <w:bookmarkStart w:id="229" w:name="_Toc399674252"/>
      <w:bookmarkStart w:id="230" w:name="_Toc399674434"/>
      <w:bookmarkStart w:id="231" w:name="_Toc399624827"/>
      <w:bookmarkStart w:id="232" w:name="_Toc399625297"/>
      <w:bookmarkStart w:id="233" w:name="_Toc399625736"/>
      <w:bookmarkStart w:id="234" w:name="_Toc399625945"/>
      <w:bookmarkStart w:id="235" w:name="_Toc399626111"/>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rsidR="004C74C2" w:rsidRPr="00B53423" w:rsidRDefault="004C74C2" w:rsidP="0015232B">
      <w:pPr>
        <w:pStyle w:val="Heading3"/>
        <w:keepNext w:val="0"/>
        <w:ind w:hanging="1080"/>
      </w:pPr>
      <w:r w:rsidRPr="00B53423">
        <w:t xml:space="preserve">The Public Notice detailing the salient features of the True-up Petitions for FY 2008-09 to FY 2011-12 and ARR Petitions  for FY 2014-15 were made by UPPCL on behalf of the Petitioner and they appeared in daily newspapers as detailed below inviting objections from the public at large and all stakeholders: </w:t>
      </w:r>
    </w:p>
    <w:p w:rsidR="004C74C2" w:rsidRPr="00B53423" w:rsidRDefault="004C74C2" w:rsidP="0015232B">
      <w:pPr>
        <w:pStyle w:val="Heading3"/>
        <w:keepNext w:val="0"/>
        <w:numPr>
          <w:ilvl w:val="0"/>
          <w:numId w:val="17"/>
        </w:numPr>
        <w:tabs>
          <w:tab w:val="left" w:pos="864"/>
        </w:tabs>
        <w:snapToGrid w:val="0"/>
        <w:spacing w:before="120" w:after="120"/>
        <w:ind w:left="1440"/>
      </w:pPr>
      <w:r w:rsidRPr="00B53423">
        <w:t>Times of India (English)</w:t>
      </w:r>
      <w:r w:rsidRPr="00B53423">
        <w:tab/>
      </w:r>
      <w:r w:rsidRPr="00B53423">
        <w:tab/>
        <w:t>: 7</w:t>
      </w:r>
      <w:r w:rsidRPr="00B53423">
        <w:rPr>
          <w:vertAlign w:val="superscript"/>
        </w:rPr>
        <w:t>th</w:t>
      </w:r>
      <w:r w:rsidRPr="00B53423">
        <w:t xml:space="preserve"> June, 2014; 8</w:t>
      </w:r>
      <w:r w:rsidRPr="00B53423">
        <w:rPr>
          <w:vertAlign w:val="superscript"/>
        </w:rPr>
        <w:t>th</w:t>
      </w:r>
      <w:r w:rsidRPr="00B53423">
        <w:t xml:space="preserve"> June, 2014</w:t>
      </w:r>
    </w:p>
    <w:p w:rsidR="004C74C2" w:rsidRPr="00B53423" w:rsidRDefault="004C74C2" w:rsidP="0015232B">
      <w:pPr>
        <w:pStyle w:val="Heading3"/>
        <w:keepNext w:val="0"/>
        <w:numPr>
          <w:ilvl w:val="0"/>
          <w:numId w:val="17"/>
        </w:numPr>
        <w:tabs>
          <w:tab w:val="left" w:pos="864"/>
        </w:tabs>
        <w:snapToGrid w:val="0"/>
        <w:spacing w:before="120" w:after="120"/>
        <w:ind w:left="1440"/>
      </w:pPr>
      <w:r w:rsidRPr="00B53423">
        <w:t>Hindustan Times (English)</w:t>
      </w:r>
      <w:r w:rsidRPr="00B53423">
        <w:tab/>
      </w:r>
      <w:r w:rsidRPr="00B53423">
        <w:tab/>
        <w:t>: 7</w:t>
      </w:r>
      <w:r w:rsidRPr="00B53423">
        <w:rPr>
          <w:vertAlign w:val="superscript"/>
        </w:rPr>
        <w:t>th</w:t>
      </w:r>
      <w:r w:rsidRPr="00B53423">
        <w:t xml:space="preserve"> June, 2014; 8</w:t>
      </w:r>
      <w:r w:rsidRPr="00B53423">
        <w:rPr>
          <w:vertAlign w:val="superscript"/>
        </w:rPr>
        <w:t>th</w:t>
      </w:r>
      <w:r w:rsidRPr="00B53423">
        <w:t xml:space="preserve"> June, 2014</w:t>
      </w:r>
    </w:p>
    <w:p w:rsidR="004C74C2" w:rsidRPr="00B53423" w:rsidRDefault="004C74C2" w:rsidP="0015232B">
      <w:pPr>
        <w:pStyle w:val="Heading3"/>
        <w:keepNext w:val="0"/>
        <w:numPr>
          <w:ilvl w:val="0"/>
          <w:numId w:val="17"/>
        </w:numPr>
        <w:tabs>
          <w:tab w:val="left" w:pos="864"/>
        </w:tabs>
        <w:snapToGrid w:val="0"/>
        <w:spacing w:before="120" w:after="120"/>
        <w:ind w:left="1440"/>
      </w:pPr>
      <w:r w:rsidRPr="00B53423">
        <w:t>The Indian Express (English)</w:t>
      </w:r>
      <w:r w:rsidRPr="00B53423">
        <w:tab/>
      </w:r>
      <w:r w:rsidRPr="00B53423">
        <w:tab/>
        <w:t>: 7</w:t>
      </w:r>
      <w:r w:rsidRPr="00B53423">
        <w:rPr>
          <w:vertAlign w:val="superscript"/>
        </w:rPr>
        <w:t>th</w:t>
      </w:r>
      <w:r w:rsidRPr="00B53423">
        <w:t xml:space="preserve"> June, 2014; 8</w:t>
      </w:r>
      <w:r w:rsidRPr="00B53423">
        <w:rPr>
          <w:vertAlign w:val="superscript"/>
        </w:rPr>
        <w:t>th</w:t>
      </w:r>
      <w:r w:rsidRPr="00B53423">
        <w:t xml:space="preserve"> June, 2014</w:t>
      </w:r>
    </w:p>
    <w:p w:rsidR="004C74C2" w:rsidRPr="00B53423" w:rsidRDefault="004C74C2" w:rsidP="0015232B">
      <w:pPr>
        <w:pStyle w:val="Heading3"/>
        <w:keepNext w:val="0"/>
        <w:numPr>
          <w:ilvl w:val="0"/>
          <w:numId w:val="17"/>
        </w:numPr>
        <w:tabs>
          <w:tab w:val="left" w:pos="864"/>
        </w:tabs>
        <w:snapToGrid w:val="0"/>
        <w:spacing w:before="120" w:after="120"/>
        <w:ind w:left="1440"/>
      </w:pPr>
      <w:r w:rsidRPr="00B53423">
        <w:t xml:space="preserve">Dainik Jagran (Hindi) </w:t>
      </w:r>
      <w:r w:rsidRPr="00B53423">
        <w:tab/>
      </w:r>
      <w:r w:rsidRPr="00B53423">
        <w:tab/>
      </w:r>
      <w:r w:rsidRPr="00B53423">
        <w:tab/>
        <w:t>: 7</w:t>
      </w:r>
      <w:r w:rsidRPr="00B53423">
        <w:rPr>
          <w:vertAlign w:val="superscript"/>
        </w:rPr>
        <w:t>th</w:t>
      </w:r>
      <w:r w:rsidRPr="00B53423">
        <w:t xml:space="preserve"> June, 2014; 8</w:t>
      </w:r>
      <w:r w:rsidRPr="00B53423">
        <w:rPr>
          <w:vertAlign w:val="superscript"/>
        </w:rPr>
        <w:t>th</w:t>
      </w:r>
      <w:r w:rsidRPr="00B53423">
        <w:t xml:space="preserve"> June, 2014</w:t>
      </w:r>
    </w:p>
    <w:p w:rsidR="004C74C2" w:rsidRPr="00B53423" w:rsidRDefault="004C74C2" w:rsidP="0015232B">
      <w:pPr>
        <w:pStyle w:val="Heading3"/>
        <w:keepNext w:val="0"/>
        <w:numPr>
          <w:ilvl w:val="0"/>
          <w:numId w:val="17"/>
        </w:numPr>
        <w:tabs>
          <w:tab w:val="left" w:pos="864"/>
        </w:tabs>
        <w:snapToGrid w:val="0"/>
        <w:spacing w:before="120" w:after="120"/>
        <w:ind w:left="1440"/>
      </w:pPr>
      <w:r w:rsidRPr="00B53423">
        <w:t xml:space="preserve">Amar Ujala (Hindi) </w:t>
      </w:r>
      <w:r w:rsidRPr="00B53423">
        <w:tab/>
      </w:r>
      <w:r w:rsidRPr="00B53423">
        <w:tab/>
      </w:r>
      <w:r w:rsidRPr="00B53423">
        <w:tab/>
        <w:t>: 7</w:t>
      </w:r>
      <w:r w:rsidRPr="00B53423">
        <w:rPr>
          <w:vertAlign w:val="superscript"/>
        </w:rPr>
        <w:t>th</w:t>
      </w:r>
      <w:r w:rsidRPr="00B53423">
        <w:t xml:space="preserve"> June, 2014; 8</w:t>
      </w:r>
      <w:r w:rsidRPr="00B53423">
        <w:rPr>
          <w:vertAlign w:val="superscript"/>
        </w:rPr>
        <w:t>th</w:t>
      </w:r>
      <w:r w:rsidRPr="00B53423">
        <w:t xml:space="preserve"> June, 2014</w:t>
      </w:r>
    </w:p>
    <w:p w:rsidR="004C74C2" w:rsidRPr="00B53423" w:rsidRDefault="004C74C2" w:rsidP="0015232B">
      <w:pPr>
        <w:pStyle w:val="Heading3"/>
        <w:keepNext w:val="0"/>
        <w:numPr>
          <w:ilvl w:val="0"/>
          <w:numId w:val="17"/>
        </w:numPr>
        <w:tabs>
          <w:tab w:val="left" w:pos="864"/>
        </w:tabs>
        <w:snapToGrid w:val="0"/>
        <w:spacing w:before="120" w:after="120"/>
        <w:ind w:left="1440"/>
      </w:pPr>
      <w:r w:rsidRPr="00B53423">
        <w:t xml:space="preserve">Swatantra Bharat (Hindi) </w:t>
      </w:r>
      <w:r w:rsidRPr="00B53423">
        <w:tab/>
      </w:r>
      <w:r w:rsidRPr="00B53423">
        <w:tab/>
        <w:t>: 7</w:t>
      </w:r>
      <w:r w:rsidRPr="00B53423">
        <w:rPr>
          <w:vertAlign w:val="superscript"/>
        </w:rPr>
        <w:t>th</w:t>
      </w:r>
      <w:r w:rsidRPr="00B53423">
        <w:t xml:space="preserve"> June, 2014; 8</w:t>
      </w:r>
      <w:r w:rsidRPr="00B53423">
        <w:rPr>
          <w:vertAlign w:val="superscript"/>
        </w:rPr>
        <w:t>th</w:t>
      </w:r>
      <w:r w:rsidRPr="00B53423">
        <w:t xml:space="preserve"> June, 2014</w:t>
      </w:r>
    </w:p>
    <w:p w:rsidR="004C74C2" w:rsidRPr="00B53423" w:rsidRDefault="004C74C2" w:rsidP="0015232B">
      <w:pPr>
        <w:pStyle w:val="Heading3"/>
        <w:keepNext w:val="0"/>
        <w:numPr>
          <w:ilvl w:val="0"/>
          <w:numId w:val="17"/>
        </w:numPr>
        <w:tabs>
          <w:tab w:val="left" w:pos="864"/>
        </w:tabs>
        <w:snapToGrid w:val="0"/>
        <w:spacing w:before="120" w:after="120"/>
        <w:ind w:left="1440"/>
      </w:pPr>
      <w:r w:rsidRPr="00B53423">
        <w:t xml:space="preserve">Rashtriya Sahara (Hindi) </w:t>
      </w:r>
      <w:r w:rsidRPr="00B53423">
        <w:tab/>
      </w:r>
      <w:r w:rsidRPr="00B53423">
        <w:tab/>
        <w:t>: 7</w:t>
      </w:r>
      <w:r w:rsidRPr="00B53423">
        <w:rPr>
          <w:vertAlign w:val="superscript"/>
        </w:rPr>
        <w:t>th</w:t>
      </w:r>
      <w:r w:rsidRPr="00B53423">
        <w:t xml:space="preserve"> June, 2014; 8</w:t>
      </w:r>
      <w:r w:rsidRPr="00B53423">
        <w:rPr>
          <w:vertAlign w:val="superscript"/>
        </w:rPr>
        <w:t>th</w:t>
      </w:r>
      <w:r w:rsidRPr="00B53423">
        <w:t xml:space="preserve"> June, 2014</w:t>
      </w:r>
    </w:p>
    <w:p w:rsidR="004C74C2" w:rsidRPr="00B53423" w:rsidRDefault="004C74C2" w:rsidP="0015232B">
      <w:pPr>
        <w:pStyle w:val="Heading3"/>
        <w:keepNext w:val="0"/>
        <w:numPr>
          <w:ilvl w:val="0"/>
          <w:numId w:val="17"/>
        </w:numPr>
        <w:tabs>
          <w:tab w:val="left" w:pos="864"/>
        </w:tabs>
        <w:snapToGrid w:val="0"/>
        <w:spacing w:before="120" w:after="120"/>
        <w:ind w:left="1440"/>
      </w:pPr>
      <w:r w:rsidRPr="00B53423">
        <w:t>HIndustan (Hindi)</w:t>
      </w:r>
      <w:r w:rsidRPr="00B53423">
        <w:tab/>
      </w:r>
      <w:r w:rsidRPr="00B53423">
        <w:tab/>
      </w:r>
      <w:r w:rsidRPr="00B53423">
        <w:tab/>
        <w:t>: 7</w:t>
      </w:r>
      <w:r w:rsidRPr="00B53423">
        <w:rPr>
          <w:vertAlign w:val="superscript"/>
        </w:rPr>
        <w:t>th</w:t>
      </w:r>
      <w:r w:rsidRPr="00B53423">
        <w:t xml:space="preserve"> June, 2014; 8</w:t>
      </w:r>
      <w:r w:rsidRPr="00B53423">
        <w:rPr>
          <w:vertAlign w:val="superscript"/>
        </w:rPr>
        <w:t>th</w:t>
      </w:r>
      <w:r w:rsidRPr="00B53423">
        <w:t xml:space="preserve"> June, 2014</w:t>
      </w:r>
    </w:p>
    <w:p w:rsidR="004C74C2" w:rsidRPr="00B53423" w:rsidRDefault="004C74C2" w:rsidP="0015232B">
      <w:pPr>
        <w:pStyle w:val="Heading3"/>
        <w:keepNext w:val="0"/>
        <w:numPr>
          <w:ilvl w:val="0"/>
          <w:numId w:val="17"/>
        </w:numPr>
        <w:tabs>
          <w:tab w:val="left" w:pos="864"/>
        </w:tabs>
        <w:snapToGrid w:val="0"/>
        <w:spacing w:before="120" w:after="120"/>
        <w:ind w:left="1440"/>
      </w:pPr>
      <w:r w:rsidRPr="00B53423">
        <w:t xml:space="preserve">Voice of Lucknow (Hindi) </w:t>
      </w:r>
      <w:r w:rsidRPr="00B53423">
        <w:tab/>
      </w:r>
      <w:r w:rsidRPr="00B53423">
        <w:tab/>
        <w:t>: 7</w:t>
      </w:r>
      <w:r w:rsidRPr="00B53423">
        <w:rPr>
          <w:vertAlign w:val="superscript"/>
        </w:rPr>
        <w:t>th</w:t>
      </w:r>
      <w:r w:rsidRPr="00B53423">
        <w:t xml:space="preserve"> June, 2014; 8</w:t>
      </w:r>
      <w:r w:rsidRPr="00B53423">
        <w:rPr>
          <w:vertAlign w:val="superscript"/>
        </w:rPr>
        <w:t>th</w:t>
      </w:r>
      <w:r w:rsidRPr="00B53423">
        <w:t xml:space="preserve"> June, 2014</w:t>
      </w:r>
    </w:p>
    <w:p w:rsidR="004C74C2" w:rsidRPr="00B53423" w:rsidRDefault="004C74C2" w:rsidP="0015232B">
      <w:pPr>
        <w:pStyle w:val="Heading3"/>
        <w:keepNext w:val="0"/>
        <w:numPr>
          <w:ilvl w:val="0"/>
          <w:numId w:val="17"/>
        </w:numPr>
        <w:tabs>
          <w:tab w:val="left" w:pos="864"/>
        </w:tabs>
        <w:snapToGrid w:val="0"/>
        <w:spacing w:before="120" w:after="120"/>
        <w:ind w:left="1440"/>
      </w:pPr>
      <w:r w:rsidRPr="00B53423">
        <w:t>In Dino</w:t>
      </w:r>
      <w:r w:rsidRPr="00B53423">
        <w:tab/>
        <w:t>(Urdu)</w:t>
      </w:r>
      <w:r w:rsidRPr="00B53423">
        <w:tab/>
      </w:r>
      <w:r w:rsidRPr="00B53423">
        <w:tab/>
      </w:r>
      <w:r w:rsidRPr="00B53423">
        <w:tab/>
      </w:r>
      <w:r w:rsidRPr="00B53423">
        <w:tab/>
        <w:t>: 7</w:t>
      </w:r>
      <w:r w:rsidRPr="00B53423">
        <w:rPr>
          <w:vertAlign w:val="superscript"/>
        </w:rPr>
        <w:t>th</w:t>
      </w:r>
      <w:r w:rsidRPr="00B53423">
        <w:t xml:space="preserve"> June, 2014; 8</w:t>
      </w:r>
      <w:r w:rsidRPr="00B53423">
        <w:rPr>
          <w:vertAlign w:val="superscript"/>
        </w:rPr>
        <w:t>th</w:t>
      </w:r>
      <w:r w:rsidRPr="00B53423">
        <w:t xml:space="preserve"> June, 2014</w:t>
      </w:r>
    </w:p>
    <w:p w:rsidR="00564993" w:rsidRPr="00B53423" w:rsidRDefault="00564993" w:rsidP="0015232B">
      <w:pPr>
        <w:pStyle w:val="Heading3"/>
        <w:keepNext w:val="0"/>
        <w:numPr>
          <w:ilvl w:val="0"/>
          <w:numId w:val="0"/>
        </w:numPr>
        <w:ind w:left="720"/>
      </w:pPr>
    </w:p>
    <w:p w:rsidR="004C74C2" w:rsidRPr="00B53423" w:rsidRDefault="004C74C2" w:rsidP="0015232B">
      <w:pPr>
        <w:pStyle w:val="Heading3"/>
        <w:keepNext w:val="0"/>
        <w:ind w:hanging="1080"/>
      </w:pPr>
      <w:r w:rsidRPr="00B53423">
        <w:t>Further, a set of additional queries were sent to the Licensee vide email dated 18</w:t>
      </w:r>
      <w:r w:rsidRPr="00B53423">
        <w:rPr>
          <w:vertAlign w:val="superscript"/>
        </w:rPr>
        <w:t>th</w:t>
      </w:r>
      <w:r w:rsidRPr="00B53423">
        <w:t xml:space="preserve"> July, 2014, in response to which the Licensee submitted its reply on 4</w:t>
      </w:r>
      <w:r w:rsidRPr="00B53423">
        <w:rPr>
          <w:vertAlign w:val="superscript"/>
        </w:rPr>
        <w:t>th</w:t>
      </w:r>
      <w:r w:rsidRPr="00B53423">
        <w:t xml:space="preserve"> August, 2014.</w:t>
      </w:r>
    </w:p>
    <w:p w:rsidR="00E6206E" w:rsidRPr="00B53423" w:rsidRDefault="00E6206E" w:rsidP="0015232B">
      <w:pPr>
        <w:pStyle w:val="Heading2"/>
        <w:keepNext w:val="0"/>
        <w:numPr>
          <w:ilvl w:val="0"/>
          <w:numId w:val="0"/>
        </w:numPr>
        <w:autoSpaceDE w:val="0"/>
        <w:autoSpaceDN w:val="0"/>
        <w:adjustRightInd w:val="0"/>
        <w:spacing w:before="120" w:line="240" w:lineRule="auto"/>
        <w:ind w:left="720"/>
        <w:contextualSpacing/>
      </w:pPr>
    </w:p>
    <w:p w:rsidR="004C74C2" w:rsidRPr="00B53423" w:rsidRDefault="004C74C2" w:rsidP="0015232B">
      <w:pPr>
        <w:pStyle w:val="Heading2"/>
        <w:keepNext w:val="0"/>
        <w:numPr>
          <w:ilvl w:val="1"/>
          <w:numId w:val="19"/>
        </w:numPr>
        <w:autoSpaceDE w:val="0"/>
        <w:autoSpaceDN w:val="0"/>
        <w:adjustRightInd w:val="0"/>
        <w:spacing w:before="120" w:line="240" w:lineRule="auto"/>
        <w:ind w:left="720" w:hanging="1080"/>
        <w:contextualSpacing/>
      </w:pPr>
      <w:bookmarkStart w:id="236" w:name="_Toc399626112"/>
      <w:r w:rsidRPr="00B53423">
        <w:t>PUBLIC HEARING PROCESS</w:t>
      </w:r>
      <w:bookmarkEnd w:id="236"/>
    </w:p>
    <w:p w:rsidR="009268E4" w:rsidRPr="00B53423" w:rsidRDefault="009268E4" w:rsidP="0015232B">
      <w:pPr>
        <w:pStyle w:val="Heading3"/>
        <w:keepNext w:val="0"/>
        <w:numPr>
          <w:ilvl w:val="0"/>
          <w:numId w:val="0"/>
        </w:numPr>
        <w:ind w:left="720"/>
      </w:pPr>
    </w:p>
    <w:p w:rsidR="009268E4" w:rsidRPr="00B53423" w:rsidRDefault="009268E4" w:rsidP="0015232B">
      <w:pPr>
        <w:pStyle w:val="ListParagraph"/>
        <w:numPr>
          <w:ilvl w:val="1"/>
          <w:numId w:val="1"/>
        </w:numPr>
        <w:spacing w:before="0"/>
        <w:outlineLvl w:val="1"/>
        <w:rPr>
          <w:rFonts w:asciiTheme="minorHAnsi" w:hAnsiTheme="minorHAnsi" w:cstheme="minorHAnsi"/>
          <w:b/>
          <w:bCs/>
          <w:vanish/>
          <w:color w:val="000000"/>
        </w:rPr>
      </w:pPr>
      <w:bookmarkStart w:id="237" w:name="_Toc396689743"/>
      <w:bookmarkStart w:id="238" w:name="_Toc396689840"/>
      <w:bookmarkStart w:id="239" w:name="_Toc396690101"/>
      <w:bookmarkStart w:id="240" w:name="_Toc396690193"/>
      <w:bookmarkStart w:id="241" w:name="_Toc396690673"/>
      <w:bookmarkStart w:id="242" w:name="_Toc396909009"/>
      <w:bookmarkStart w:id="243" w:name="_Toc396918286"/>
      <w:bookmarkStart w:id="244" w:name="_Toc397184307"/>
      <w:bookmarkStart w:id="245" w:name="_Toc397185193"/>
      <w:bookmarkStart w:id="246" w:name="_Toc397185686"/>
      <w:bookmarkStart w:id="247" w:name="_Toc397186179"/>
      <w:bookmarkStart w:id="248" w:name="_Toc397186342"/>
      <w:bookmarkStart w:id="249" w:name="_Toc397351474"/>
      <w:bookmarkStart w:id="250" w:name="_Toc397619436"/>
      <w:bookmarkStart w:id="251" w:name="_Toc397619606"/>
      <w:bookmarkStart w:id="252" w:name="_Toc399507288"/>
      <w:bookmarkStart w:id="253" w:name="_Toc399507482"/>
      <w:bookmarkStart w:id="254" w:name="_Toc399507663"/>
      <w:bookmarkStart w:id="255" w:name="_Toc399507843"/>
      <w:bookmarkStart w:id="256" w:name="_Toc399508022"/>
      <w:bookmarkStart w:id="257" w:name="_Toc399514033"/>
      <w:bookmarkStart w:id="258" w:name="_Toc399514224"/>
      <w:bookmarkStart w:id="259" w:name="_Toc399514404"/>
      <w:bookmarkStart w:id="260" w:name="_Toc399653553"/>
      <w:bookmarkStart w:id="261" w:name="_Toc399653733"/>
      <w:bookmarkStart w:id="262" w:name="_Toc399674254"/>
      <w:bookmarkStart w:id="263" w:name="_Toc399674436"/>
      <w:bookmarkStart w:id="264" w:name="_Toc399624829"/>
      <w:bookmarkStart w:id="265" w:name="_Toc399625299"/>
      <w:bookmarkStart w:id="266" w:name="_Toc399625738"/>
      <w:bookmarkStart w:id="267" w:name="_Toc399625947"/>
      <w:bookmarkStart w:id="268" w:name="_Toc399626113"/>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rsidR="004C74C2" w:rsidRPr="00B53423" w:rsidRDefault="004C74C2" w:rsidP="0015232B">
      <w:pPr>
        <w:pStyle w:val="Heading3"/>
        <w:keepNext w:val="0"/>
        <w:ind w:hanging="1080"/>
      </w:pPr>
      <w:r w:rsidRPr="00B53423">
        <w:t>The Commission invited comments / suggestions from consumers and all other stakeholders on the ARR &amp; Tariff proposals of the licensees. To provide an opportunity to all sections of the population in the State and to obtain feedback from them, public hearings were held by the Commission in the State. Consumer representatives, industry associations and other individual consumers participated actively in the public hearing process.</w:t>
      </w:r>
    </w:p>
    <w:p w:rsidR="009268E4" w:rsidRPr="00B53423" w:rsidRDefault="009268E4" w:rsidP="0015232B">
      <w:pPr>
        <w:pStyle w:val="Heading3"/>
        <w:keepNext w:val="0"/>
        <w:numPr>
          <w:ilvl w:val="0"/>
          <w:numId w:val="0"/>
        </w:numPr>
        <w:ind w:left="720"/>
      </w:pPr>
    </w:p>
    <w:p w:rsidR="004C74C2" w:rsidRPr="00B53423" w:rsidRDefault="004C74C2" w:rsidP="0015232B">
      <w:pPr>
        <w:pStyle w:val="Heading3"/>
        <w:keepNext w:val="0"/>
        <w:ind w:hanging="1080"/>
        <w:rPr>
          <w:rFonts w:cs="Arial"/>
          <w:b/>
          <w:bCs w:val="0"/>
          <w:color w:val="333399"/>
          <w:kern w:val="32"/>
          <w:szCs w:val="32"/>
        </w:rPr>
      </w:pPr>
      <w:r w:rsidRPr="00B53423">
        <w:t>The Commission conducted the public hearing in the above matter for KESCO on 4</w:t>
      </w:r>
      <w:r w:rsidRPr="00B53423">
        <w:rPr>
          <w:vertAlign w:val="superscript"/>
        </w:rPr>
        <w:t>th</w:t>
      </w:r>
      <w:r w:rsidRPr="00B53423">
        <w:t xml:space="preserve"> July, 2014 at Kanpur.</w:t>
      </w:r>
      <w:r w:rsidRPr="00B53423">
        <w:br w:type="page"/>
      </w:r>
    </w:p>
    <w:p w:rsidR="005D7AFD" w:rsidRPr="00B53423" w:rsidRDefault="003A6B3B" w:rsidP="000174C0">
      <w:pPr>
        <w:pStyle w:val="Heading1"/>
        <w:keepNext w:val="0"/>
        <w:numPr>
          <w:ilvl w:val="0"/>
          <w:numId w:val="74"/>
        </w:numPr>
        <w:ind w:left="990" w:hanging="990"/>
        <w:rPr>
          <w:rFonts w:eastAsiaTheme="majorEastAsia"/>
          <w:color w:val="auto"/>
          <w:kern w:val="0"/>
          <w:lang w:val="en-US"/>
        </w:rPr>
      </w:pPr>
      <w:bookmarkStart w:id="269" w:name="_Toc396573709"/>
      <w:bookmarkStart w:id="270" w:name="_Toc399626114"/>
      <w:r w:rsidRPr="00B53423">
        <w:rPr>
          <w:color w:val="auto"/>
        </w:rPr>
        <w:t>PUBLIC HEARING PROCESS</w:t>
      </w:r>
      <w:bookmarkEnd w:id="269"/>
      <w:bookmarkEnd w:id="270"/>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pPr>
      <w:bookmarkStart w:id="271" w:name="_Toc396573710"/>
      <w:bookmarkStart w:id="272" w:name="_Toc399626115"/>
      <w:r w:rsidRPr="00B53423">
        <w:t>OBJECTIVE:</w:t>
      </w:r>
      <w:bookmarkEnd w:id="271"/>
      <w:bookmarkEnd w:id="272"/>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w:t>
      </w:r>
      <w:r w:rsidRPr="00B53423">
        <w:rPr>
          <w:rFonts w:cs="Calibri"/>
        </w:rPr>
        <w:t>Commission</w:t>
      </w:r>
      <w:r w:rsidRPr="00B53423">
        <w:t xml:space="preserve">, in order to achieve the twin objective i.e. to observe transparency in its proceedings and functions and to protect interest of consumers has always attached importance to the views / comments / suggestions / objections / representations of the public. The process gains significant importance in a “cost plus regime”, where the entire cost allowed to the licensee gets transferred to the consumer. The consumers therefore have a locus-standi to comment on the True-up and ARR &amp; Tariff Petitions filed by the licensees.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comments of the consumers play an important role in the determination of Tariff and the design of the Rate Schedule. Factors such as quality of electricity supply and the service levels need to be considered while determining the Tariff. The Commission takes into consideration the submissions of the consumers before it embarks upon the exercise of determining the Tariff.</w:t>
      </w:r>
    </w:p>
    <w:p w:rsidR="005D7AFD" w:rsidRPr="00B53423" w:rsidRDefault="005D7AFD" w:rsidP="0015232B">
      <w:pPr>
        <w:pStyle w:val="ListParagraph"/>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by holding public hearings, has provided the various stakeholders as well as the public at large, a platform where they were able to share their views / comments / suggestions / objections / representations for determination of the retail Tariff for FY 2014-15. This process also enables the Commission to adopt a transparent and participative approach in the process of Tariff determination</w:t>
      </w:r>
    </w:p>
    <w:p w:rsidR="002A1F3B" w:rsidRPr="00B53423" w:rsidRDefault="002A1F3B" w:rsidP="0015232B">
      <w:pPr>
        <w:pStyle w:val="ListParagraph"/>
        <w:spacing w:before="0" w:line="312" w:lineRule="auto"/>
        <w:ind w:left="180"/>
        <w:contextualSpacing/>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pPr>
      <w:bookmarkStart w:id="273" w:name="_Toc337201333"/>
      <w:bookmarkStart w:id="274" w:name="_Toc337459174"/>
      <w:bookmarkStart w:id="275" w:name="_Toc357720831"/>
      <w:bookmarkStart w:id="276" w:name="_Toc396573711"/>
      <w:bookmarkStart w:id="277" w:name="_Toc399626116"/>
      <w:r w:rsidRPr="00B53423">
        <w:t>PUBLIC HEARING:</w:t>
      </w:r>
      <w:bookmarkEnd w:id="273"/>
      <w:bookmarkEnd w:id="274"/>
      <w:bookmarkEnd w:id="275"/>
      <w:bookmarkEnd w:id="276"/>
      <w:bookmarkEnd w:id="277"/>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To provide an opportunity to all sections of the population in the State to express their views and to also obtain feedback from them, public hearings for each Distribution Licensee were held by the Commission at various places in the State. The public hearings were conducted from 4</w:t>
      </w:r>
      <w:r w:rsidRPr="00B53423">
        <w:rPr>
          <w:vertAlign w:val="superscript"/>
        </w:rPr>
        <w:t>th</w:t>
      </w:r>
      <w:r w:rsidRPr="00B53423">
        <w:t xml:space="preserve"> July, 2014 to 30</w:t>
      </w:r>
      <w:r w:rsidRPr="00B53423">
        <w:rPr>
          <w:vertAlign w:val="superscript"/>
        </w:rPr>
        <w:t>th</w:t>
      </w:r>
      <w:r w:rsidRPr="00B53423">
        <w:t xml:space="preserve"> July, 2014 as per details given below:</w:t>
      </w:r>
    </w:p>
    <w:p w:rsidR="002A1F3B" w:rsidRPr="00B53423" w:rsidRDefault="002A1F3B" w:rsidP="0015232B">
      <w:pPr>
        <w:pStyle w:val="Heading3"/>
        <w:keepNext w:val="0"/>
        <w:numPr>
          <w:ilvl w:val="0"/>
          <w:numId w:val="0"/>
        </w:numPr>
        <w:ind w:left="720"/>
      </w:pPr>
    </w:p>
    <w:p w:rsidR="002A1F3B" w:rsidRPr="00B53423" w:rsidRDefault="002A1F3B" w:rsidP="0015232B">
      <w:pPr>
        <w:spacing w:before="0"/>
        <w:jc w:val="center"/>
        <w:rPr>
          <w:b/>
          <w:sz w:val="22"/>
          <w:szCs w:val="22"/>
          <w:lang w:val="en-US"/>
        </w:rPr>
      </w:pPr>
      <w:bookmarkStart w:id="278" w:name="_Toc337201459"/>
      <w:bookmarkStart w:id="279" w:name="_Toc337459303"/>
      <w:bookmarkStart w:id="280" w:name="_Toc357721088"/>
      <w:bookmarkStart w:id="281" w:name="_Toc396573861"/>
      <w:bookmarkStart w:id="282" w:name="_Toc399626311"/>
      <w:r w:rsidRPr="00B53423">
        <w:rPr>
          <w:b/>
          <w:sz w:val="22"/>
          <w:szCs w:val="22"/>
          <w:lang w:val="en-US"/>
        </w:rPr>
        <w:t xml:space="preserve">Table </w:t>
      </w:r>
      <w:r w:rsidR="005D68E7" w:rsidRPr="00B53423">
        <w:rPr>
          <w:b/>
          <w:sz w:val="22"/>
          <w:szCs w:val="22"/>
          <w:lang w:val="en-US"/>
        </w:rPr>
        <w:fldChar w:fldCharType="begin"/>
      </w:r>
      <w:r w:rsidRPr="00B53423">
        <w:rPr>
          <w:b/>
          <w:sz w:val="22"/>
          <w:szCs w:val="22"/>
          <w:lang w:val="en-US"/>
        </w:rPr>
        <w:instrText xml:space="preserve"> STYLEREF 1 \s </w:instrText>
      </w:r>
      <w:r w:rsidR="005D68E7" w:rsidRPr="00B53423">
        <w:rPr>
          <w:b/>
          <w:sz w:val="22"/>
          <w:szCs w:val="22"/>
          <w:lang w:val="en-US"/>
        </w:rPr>
        <w:fldChar w:fldCharType="separate"/>
      </w:r>
      <w:r w:rsidR="00847C1B">
        <w:rPr>
          <w:b/>
          <w:noProof/>
          <w:sz w:val="22"/>
          <w:szCs w:val="22"/>
          <w:lang w:val="en-US"/>
        </w:rPr>
        <w:t>3</w:t>
      </w:r>
      <w:r w:rsidR="005D68E7" w:rsidRPr="00B53423">
        <w:rPr>
          <w:b/>
          <w:sz w:val="22"/>
          <w:szCs w:val="22"/>
          <w:lang w:val="en-US"/>
        </w:rPr>
        <w:fldChar w:fldCharType="end"/>
      </w:r>
      <w:r w:rsidRPr="00B53423">
        <w:rPr>
          <w:b/>
          <w:sz w:val="22"/>
          <w:szCs w:val="22"/>
          <w:lang w:val="en-US"/>
        </w:rPr>
        <w:noBreakHyphen/>
      </w:r>
      <w:r w:rsidR="005D68E7" w:rsidRPr="00B53423">
        <w:rPr>
          <w:b/>
          <w:sz w:val="22"/>
          <w:szCs w:val="22"/>
          <w:lang w:val="en-US"/>
        </w:rPr>
        <w:fldChar w:fldCharType="begin"/>
      </w:r>
      <w:r w:rsidRPr="00B53423">
        <w:rPr>
          <w:b/>
          <w:sz w:val="22"/>
          <w:szCs w:val="22"/>
          <w:lang w:val="en-US"/>
        </w:rPr>
        <w:instrText xml:space="preserve"> SEQ Table \* ARABIC \s 1 </w:instrText>
      </w:r>
      <w:r w:rsidR="005D68E7" w:rsidRPr="00B53423">
        <w:rPr>
          <w:b/>
          <w:sz w:val="22"/>
          <w:szCs w:val="22"/>
          <w:lang w:val="en-US"/>
        </w:rPr>
        <w:fldChar w:fldCharType="separate"/>
      </w:r>
      <w:r w:rsidR="00847C1B">
        <w:rPr>
          <w:b/>
          <w:noProof/>
          <w:sz w:val="22"/>
          <w:szCs w:val="22"/>
          <w:lang w:val="en-US"/>
        </w:rPr>
        <w:t>1</w:t>
      </w:r>
      <w:r w:rsidR="005D68E7" w:rsidRPr="00B53423">
        <w:rPr>
          <w:b/>
          <w:sz w:val="22"/>
          <w:szCs w:val="22"/>
          <w:lang w:val="en-US"/>
        </w:rPr>
        <w:fldChar w:fldCharType="end"/>
      </w:r>
      <w:r w:rsidRPr="00B53423">
        <w:rPr>
          <w:b/>
          <w:sz w:val="22"/>
          <w:szCs w:val="22"/>
          <w:lang w:val="en-US"/>
        </w:rPr>
        <w:t>: SCHEDULE OF PUBLIC HEARING AT VARIOUS LOCATIONS OF THE STATE</w:t>
      </w:r>
      <w:bookmarkEnd w:id="278"/>
      <w:bookmarkEnd w:id="279"/>
      <w:bookmarkEnd w:id="280"/>
      <w:bookmarkEnd w:id="281"/>
      <w:bookmarkEnd w:id="282"/>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745"/>
        <w:gridCol w:w="1773"/>
        <w:gridCol w:w="1843"/>
        <w:gridCol w:w="4524"/>
      </w:tblGrid>
      <w:tr w:rsidR="002A1F3B" w:rsidRPr="00B53423" w:rsidTr="00CD5A87">
        <w:trPr>
          <w:trHeight w:val="457"/>
          <w:tblHeader/>
          <w:jc w:val="center"/>
        </w:trPr>
        <w:tc>
          <w:tcPr>
            <w:tcW w:w="419" w:type="pct"/>
            <w:shd w:val="clear" w:color="auto" w:fill="DBE5F1"/>
          </w:tcPr>
          <w:p w:rsidR="002A1F3B" w:rsidRPr="00B53423" w:rsidRDefault="002A1F3B" w:rsidP="0015232B">
            <w:pPr>
              <w:tabs>
                <w:tab w:val="left" w:pos="1260"/>
              </w:tabs>
              <w:spacing w:before="0" w:line="240" w:lineRule="auto"/>
              <w:jc w:val="center"/>
              <w:rPr>
                <w:rFonts w:cstheme="minorHAnsi"/>
                <w:b/>
                <w:bCs/>
                <w:color w:val="333399"/>
                <w:kern w:val="32"/>
                <w:szCs w:val="32"/>
              </w:rPr>
            </w:pPr>
            <w:r w:rsidRPr="00B53423">
              <w:rPr>
                <w:rFonts w:cstheme="minorHAnsi"/>
                <w:b/>
              </w:rPr>
              <w:t>S.No</w:t>
            </w:r>
          </w:p>
        </w:tc>
        <w:tc>
          <w:tcPr>
            <w:tcW w:w="998" w:type="pct"/>
            <w:shd w:val="clear" w:color="auto" w:fill="DBE5F1"/>
          </w:tcPr>
          <w:p w:rsidR="002A1F3B" w:rsidRPr="00B53423" w:rsidRDefault="002A1F3B" w:rsidP="0015232B">
            <w:pPr>
              <w:tabs>
                <w:tab w:val="left" w:pos="1260"/>
              </w:tabs>
              <w:spacing w:before="0" w:line="240" w:lineRule="auto"/>
              <w:jc w:val="center"/>
              <w:rPr>
                <w:rFonts w:cstheme="minorHAnsi"/>
                <w:b/>
              </w:rPr>
            </w:pPr>
            <w:r w:rsidRPr="00B53423">
              <w:rPr>
                <w:rFonts w:cstheme="minorHAnsi"/>
                <w:b/>
              </w:rPr>
              <w:t>Date</w:t>
            </w:r>
          </w:p>
        </w:tc>
        <w:tc>
          <w:tcPr>
            <w:tcW w:w="1037" w:type="pct"/>
            <w:shd w:val="clear" w:color="auto" w:fill="DBE5F1"/>
          </w:tcPr>
          <w:p w:rsidR="002A1F3B" w:rsidRPr="00B53423" w:rsidRDefault="002A1F3B" w:rsidP="0015232B">
            <w:pPr>
              <w:tabs>
                <w:tab w:val="left" w:pos="1260"/>
              </w:tabs>
              <w:spacing w:before="0" w:line="240" w:lineRule="auto"/>
              <w:jc w:val="center"/>
              <w:rPr>
                <w:rFonts w:cstheme="minorHAnsi"/>
                <w:b/>
              </w:rPr>
            </w:pPr>
            <w:r w:rsidRPr="00B53423">
              <w:rPr>
                <w:rFonts w:cstheme="minorHAnsi"/>
                <w:b/>
              </w:rPr>
              <w:t>Place of Hearing</w:t>
            </w:r>
          </w:p>
        </w:tc>
        <w:tc>
          <w:tcPr>
            <w:tcW w:w="2546" w:type="pct"/>
            <w:shd w:val="clear" w:color="auto" w:fill="DBE5F1"/>
          </w:tcPr>
          <w:p w:rsidR="002A1F3B" w:rsidRPr="00B53423" w:rsidRDefault="002A1F3B" w:rsidP="0015232B">
            <w:pPr>
              <w:tabs>
                <w:tab w:val="left" w:pos="1260"/>
              </w:tabs>
              <w:spacing w:before="0" w:line="240" w:lineRule="auto"/>
              <w:jc w:val="center"/>
              <w:rPr>
                <w:rFonts w:cstheme="minorHAnsi"/>
                <w:b/>
              </w:rPr>
            </w:pPr>
            <w:r w:rsidRPr="00B53423">
              <w:rPr>
                <w:rFonts w:cstheme="minorHAnsi"/>
                <w:b/>
              </w:rPr>
              <w:t>Hearings in the matter of</w:t>
            </w:r>
          </w:p>
        </w:tc>
      </w:tr>
      <w:tr w:rsidR="002A1F3B" w:rsidRPr="00B53423" w:rsidTr="00CD5A87">
        <w:trPr>
          <w:trHeight w:val="341"/>
          <w:jc w:val="center"/>
        </w:trPr>
        <w:tc>
          <w:tcPr>
            <w:tcW w:w="419" w:type="pct"/>
            <w:vAlign w:val="center"/>
          </w:tcPr>
          <w:p w:rsidR="002A1F3B" w:rsidRPr="00B53423" w:rsidRDefault="002A1F3B" w:rsidP="000174C0">
            <w:pPr>
              <w:pStyle w:val="ListParagraph"/>
              <w:numPr>
                <w:ilvl w:val="0"/>
                <w:numId w:val="59"/>
              </w:numPr>
              <w:tabs>
                <w:tab w:val="left" w:pos="1260"/>
              </w:tabs>
              <w:spacing w:before="0" w:line="240" w:lineRule="auto"/>
              <w:jc w:val="center"/>
              <w:rPr>
                <w:rFonts w:asciiTheme="minorHAnsi" w:hAnsiTheme="minorHAnsi" w:cstheme="minorHAnsi"/>
              </w:rPr>
            </w:pPr>
          </w:p>
        </w:tc>
        <w:tc>
          <w:tcPr>
            <w:tcW w:w="998" w:type="pct"/>
            <w:vAlign w:val="center"/>
          </w:tcPr>
          <w:p w:rsidR="002A1F3B" w:rsidRPr="00B53423" w:rsidRDefault="002A1F3B" w:rsidP="0015232B">
            <w:pPr>
              <w:tabs>
                <w:tab w:val="left" w:pos="1260"/>
              </w:tabs>
              <w:spacing w:before="0" w:line="240" w:lineRule="auto"/>
              <w:jc w:val="center"/>
              <w:rPr>
                <w:rFonts w:cstheme="minorHAnsi"/>
              </w:rPr>
            </w:pPr>
            <w:r w:rsidRPr="00B53423">
              <w:rPr>
                <w:rFonts w:cstheme="minorHAnsi"/>
              </w:rPr>
              <w:t>4.07.2014</w:t>
            </w:r>
          </w:p>
        </w:tc>
        <w:tc>
          <w:tcPr>
            <w:tcW w:w="1037" w:type="pct"/>
            <w:vAlign w:val="center"/>
          </w:tcPr>
          <w:p w:rsidR="002A1F3B" w:rsidRPr="00B53423" w:rsidRDefault="002A1F3B" w:rsidP="0015232B">
            <w:pPr>
              <w:tabs>
                <w:tab w:val="left" w:pos="1260"/>
              </w:tabs>
              <w:spacing w:before="0" w:line="240" w:lineRule="auto"/>
              <w:jc w:val="center"/>
              <w:rPr>
                <w:rFonts w:cstheme="minorHAnsi"/>
              </w:rPr>
            </w:pPr>
            <w:r w:rsidRPr="00B53423">
              <w:rPr>
                <w:rFonts w:cstheme="minorHAnsi"/>
              </w:rPr>
              <w:t>Kanpur</w:t>
            </w:r>
          </w:p>
        </w:tc>
        <w:tc>
          <w:tcPr>
            <w:tcW w:w="2546" w:type="pct"/>
          </w:tcPr>
          <w:p w:rsidR="002A1F3B" w:rsidRPr="00B53423" w:rsidRDefault="002A1F3B" w:rsidP="0015232B">
            <w:pPr>
              <w:tabs>
                <w:tab w:val="left" w:pos="1260"/>
              </w:tabs>
              <w:spacing w:before="0" w:line="240" w:lineRule="auto"/>
              <w:jc w:val="center"/>
              <w:rPr>
                <w:rFonts w:cstheme="minorHAnsi"/>
              </w:rPr>
            </w:pPr>
            <w:r w:rsidRPr="00B53423">
              <w:rPr>
                <w:rFonts w:cstheme="minorHAnsi"/>
              </w:rPr>
              <w:t>KESCO</w:t>
            </w:r>
          </w:p>
        </w:tc>
      </w:tr>
      <w:tr w:rsidR="002A1F3B" w:rsidRPr="00B53423" w:rsidTr="00CD5A87">
        <w:trPr>
          <w:trHeight w:val="269"/>
          <w:jc w:val="center"/>
        </w:trPr>
        <w:tc>
          <w:tcPr>
            <w:tcW w:w="419" w:type="pct"/>
            <w:vAlign w:val="center"/>
          </w:tcPr>
          <w:p w:rsidR="002A1F3B" w:rsidRPr="00B53423" w:rsidRDefault="002A1F3B" w:rsidP="000174C0">
            <w:pPr>
              <w:pStyle w:val="ListParagraph"/>
              <w:numPr>
                <w:ilvl w:val="0"/>
                <w:numId w:val="59"/>
              </w:numPr>
              <w:tabs>
                <w:tab w:val="left" w:pos="1260"/>
              </w:tabs>
              <w:spacing w:before="0" w:line="240" w:lineRule="auto"/>
              <w:jc w:val="center"/>
              <w:rPr>
                <w:rFonts w:asciiTheme="minorHAnsi" w:hAnsiTheme="minorHAnsi" w:cstheme="minorHAnsi"/>
              </w:rPr>
            </w:pPr>
          </w:p>
        </w:tc>
        <w:tc>
          <w:tcPr>
            <w:tcW w:w="998" w:type="pct"/>
            <w:vAlign w:val="center"/>
          </w:tcPr>
          <w:p w:rsidR="002A1F3B" w:rsidRPr="00B53423" w:rsidRDefault="002A1F3B" w:rsidP="0015232B">
            <w:pPr>
              <w:tabs>
                <w:tab w:val="left" w:pos="1260"/>
              </w:tabs>
              <w:spacing w:before="0" w:line="240" w:lineRule="auto"/>
              <w:jc w:val="center"/>
              <w:rPr>
                <w:rFonts w:cstheme="minorHAnsi"/>
              </w:rPr>
            </w:pPr>
            <w:r w:rsidRPr="00B53423">
              <w:rPr>
                <w:rFonts w:cstheme="minorHAnsi"/>
              </w:rPr>
              <w:t>11.07.2014</w:t>
            </w:r>
          </w:p>
        </w:tc>
        <w:tc>
          <w:tcPr>
            <w:tcW w:w="1037" w:type="pct"/>
            <w:vAlign w:val="center"/>
          </w:tcPr>
          <w:p w:rsidR="002A1F3B" w:rsidRPr="00B53423" w:rsidRDefault="002A1F3B" w:rsidP="0015232B">
            <w:pPr>
              <w:tabs>
                <w:tab w:val="left" w:pos="1260"/>
              </w:tabs>
              <w:spacing w:before="0" w:line="240" w:lineRule="auto"/>
              <w:jc w:val="center"/>
              <w:rPr>
                <w:rFonts w:cstheme="minorHAnsi"/>
              </w:rPr>
            </w:pPr>
            <w:r w:rsidRPr="00B53423">
              <w:rPr>
                <w:rFonts w:cstheme="minorHAnsi"/>
              </w:rPr>
              <w:t>Noida</w:t>
            </w:r>
          </w:p>
        </w:tc>
        <w:tc>
          <w:tcPr>
            <w:tcW w:w="2546" w:type="pct"/>
          </w:tcPr>
          <w:p w:rsidR="002A1F3B" w:rsidRPr="00B53423" w:rsidRDefault="002A1F3B" w:rsidP="0015232B">
            <w:pPr>
              <w:tabs>
                <w:tab w:val="left" w:pos="1260"/>
              </w:tabs>
              <w:spacing w:before="0" w:line="240" w:lineRule="auto"/>
              <w:jc w:val="center"/>
              <w:rPr>
                <w:rFonts w:cstheme="minorHAnsi"/>
              </w:rPr>
            </w:pPr>
            <w:r w:rsidRPr="00B53423">
              <w:rPr>
                <w:rFonts w:cstheme="minorHAnsi"/>
              </w:rPr>
              <w:t>PVVNL</w:t>
            </w:r>
          </w:p>
        </w:tc>
      </w:tr>
      <w:tr w:rsidR="002A1F3B" w:rsidRPr="00B53423" w:rsidTr="00CD5A87">
        <w:trPr>
          <w:trHeight w:val="323"/>
          <w:jc w:val="center"/>
        </w:trPr>
        <w:tc>
          <w:tcPr>
            <w:tcW w:w="419" w:type="pct"/>
            <w:vAlign w:val="center"/>
          </w:tcPr>
          <w:p w:rsidR="002A1F3B" w:rsidRPr="00B53423" w:rsidRDefault="002A1F3B" w:rsidP="000174C0">
            <w:pPr>
              <w:pStyle w:val="ListParagraph"/>
              <w:numPr>
                <w:ilvl w:val="0"/>
                <w:numId w:val="59"/>
              </w:numPr>
              <w:tabs>
                <w:tab w:val="left" w:pos="1260"/>
              </w:tabs>
              <w:spacing w:before="0" w:line="240" w:lineRule="auto"/>
              <w:jc w:val="center"/>
              <w:rPr>
                <w:rFonts w:asciiTheme="minorHAnsi" w:hAnsiTheme="minorHAnsi" w:cstheme="minorHAnsi"/>
              </w:rPr>
            </w:pPr>
          </w:p>
        </w:tc>
        <w:tc>
          <w:tcPr>
            <w:tcW w:w="998" w:type="pct"/>
            <w:vAlign w:val="center"/>
          </w:tcPr>
          <w:p w:rsidR="002A1F3B" w:rsidRPr="00B53423" w:rsidRDefault="002A1F3B" w:rsidP="0015232B">
            <w:pPr>
              <w:tabs>
                <w:tab w:val="left" w:pos="1260"/>
              </w:tabs>
              <w:spacing w:before="0" w:line="240" w:lineRule="auto"/>
              <w:jc w:val="center"/>
              <w:rPr>
                <w:rFonts w:cstheme="minorHAnsi"/>
              </w:rPr>
            </w:pPr>
            <w:r w:rsidRPr="00B53423">
              <w:rPr>
                <w:rFonts w:cstheme="minorHAnsi"/>
              </w:rPr>
              <w:t>14.07.2014</w:t>
            </w:r>
          </w:p>
        </w:tc>
        <w:tc>
          <w:tcPr>
            <w:tcW w:w="1037" w:type="pct"/>
            <w:vAlign w:val="center"/>
          </w:tcPr>
          <w:p w:rsidR="002A1F3B" w:rsidRPr="00B53423" w:rsidRDefault="002A1F3B" w:rsidP="0015232B">
            <w:pPr>
              <w:tabs>
                <w:tab w:val="left" w:pos="1260"/>
              </w:tabs>
              <w:spacing w:before="0" w:line="240" w:lineRule="auto"/>
              <w:jc w:val="center"/>
              <w:rPr>
                <w:rFonts w:cstheme="minorHAnsi"/>
              </w:rPr>
            </w:pPr>
            <w:r w:rsidRPr="00B53423">
              <w:rPr>
                <w:rFonts w:cstheme="minorHAnsi"/>
              </w:rPr>
              <w:t>Varanasi</w:t>
            </w:r>
          </w:p>
        </w:tc>
        <w:tc>
          <w:tcPr>
            <w:tcW w:w="2546" w:type="pct"/>
          </w:tcPr>
          <w:p w:rsidR="002A1F3B" w:rsidRPr="00B53423" w:rsidRDefault="002A1F3B" w:rsidP="0015232B">
            <w:pPr>
              <w:tabs>
                <w:tab w:val="left" w:pos="1260"/>
              </w:tabs>
              <w:spacing w:before="0" w:line="240" w:lineRule="auto"/>
              <w:jc w:val="center"/>
              <w:rPr>
                <w:rFonts w:cstheme="minorHAnsi"/>
              </w:rPr>
            </w:pPr>
            <w:r w:rsidRPr="00B53423">
              <w:rPr>
                <w:rFonts w:cstheme="minorHAnsi"/>
              </w:rPr>
              <w:t>PuVVNL</w:t>
            </w:r>
          </w:p>
        </w:tc>
      </w:tr>
      <w:tr w:rsidR="002A1F3B" w:rsidRPr="00B53423" w:rsidTr="00CD5A87">
        <w:trPr>
          <w:trHeight w:val="260"/>
          <w:jc w:val="center"/>
        </w:trPr>
        <w:tc>
          <w:tcPr>
            <w:tcW w:w="419" w:type="pct"/>
            <w:vAlign w:val="center"/>
          </w:tcPr>
          <w:p w:rsidR="002A1F3B" w:rsidRPr="00B53423" w:rsidRDefault="002A1F3B" w:rsidP="000174C0">
            <w:pPr>
              <w:pStyle w:val="ListParagraph"/>
              <w:numPr>
                <w:ilvl w:val="0"/>
                <w:numId w:val="59"/>
              </w:numPr>
              <w:tabs>
                <w:tab w:val="left" w:pos="1260"/>
              </w:tabs>
              <w:spacing w:before="0" w:line="240" w:lineRule="auto"/>
              <w:jc w:val="center"/>
              <w:rPr>
                <w:rFonts w:asciiTheme="minorHAnsi" w:hAnsiTheme="minorHAnsi" w:cstheme="minorHAnsi"/>
              </w:rPr>
            </w:pPr>
          </w:p>
        </w:tc>
        <w:tc>
          <w:tcPr>
            <w:tcW w:w="998" w:type="pct"/>
            <w:vAlign w:val="center"/>
          </w:tcPr>
          <w:p w:rsidR="002A1F3B" w:rsidRPr="00B53423" w:rsidRDefault="002A1F3B" w:rsidP="0015232B">
            <w:pPr>
              <w:tabs>
                <w:tab w:val="left" w:pos="1260"/>
              </w:tabs>
              <w:spacing w:before="0" w:line="240" w:lineRule="auto"/>
              <w:jc w:val="center"/>
              <w:rPr>
                <w:rFonts w:cstheme="minorHAnsi"/>
              </w:rPr>
            </w:pPr>
            <w:r w:rsidRPr="00B53423">
              <w:rPr>
                <w:rFonts w:cstheme="minorHAnsi"/>
              </w:rPr>
              <w:t>24.07.2014</w:t>
            </w:r>
          </w:p>
        </w:tc>
        <w:tc>
          <w:tcPr>
            <w:tcW w:w="1037" w:type="pct"/>
            <w:vAlign w:val="center"/>
          </w:tcPr>
          <w:p w:rsidR="002A1F3B" w:rsidRPr="00B53423" w:rsidRDefault="002A1F3B" w:rsidP="0015232B">
            <w:pPr>
              <w:tabs>
                <w:tab w:val="left" w:pos="1260"/>
              </w:tabs>
              <w:spacing w:before="0" w:line="240" w:lineRule="auto"/>
              <w:jc w:val="center"/>
              <w:rPr>
                <w:rFonts w:cstheme="minorHAnsi"/>
              </w:rPr>
            </w:pPr>
            <w:r w:rsidRPr="00B53423">
              <w:rPr>
                <w:rFonts w:cstheme="minorHAnsi"/>
              </w:rPr>
              <w:t>Agra</w:t>
            </w:r>
          </w:p>
        </w:tc>
        <w:tc>
          <w:tcPr>
            <w:tcW w:w="2546" w:type="pct"/>
          </w:tcPr>
          <w:p w:rsidR="002A1F3B" w:rsidRPr="00B53423" w:rsidRDefault="002A1F3B" w:rsidP="0015232B">
            <w:pPr>
              <w:tabs>
                <w:tab w:val="left" w:pos="1260"/>
              </w:tabs>
              <w:spacing w:before="0" w:line="240" w:lineRule="auto"/>
              <w:jc w:val="center"/>
              <w:rPr>
                <w:rFonts w:cstheme="minorHAnsi"/>
              </w:rPr>
            </w:pPr>
            <w:r w:rsidRPr="00B53423">
              <w:rPr>
                <w:rFonts w:cstheme="minorHAnsi"/>
              </w:rPr>
              <w:t>DVVNL</w:t>
            </w:r>
          </w:p>
        </w:tc>
      </w:tr>
      <w:tr w:rsidR="002A1F3B" w:rsidRPr="00B53423" w:rsidTr="00CD5A87">
        <w:trPr>
          <w:trHeight w:val="233"/>
          <w:jc w:val="center"/>
        </w:trPr>
        <w:tc>
          <w:tcPr>
            <w:tcW w:w="419" w:type="pct"/>
            <w:vAlign w:val="center"/>
          </w:tcPr>
          <w:p w:rsidR="002A1F3B" w:rsidRPr="00B53423" w:rsidRDefault="002A1F3B" w:rsidP="000174C0">
            <w:pPr>
              <w:pStyle w:val="ListParagraph"/>
              <w:numPr>
                <w:ilvl w:val="0"/>
                <w:numId w:val="59"/>
              </w:numPr>
              <w:tabs>
                <w:tab w:val="left" w:pos="1260"/>
              </w:tabs>
              <w:spacing w:before="0" w:line="240" w:lineRule="auto"/>
              <w:jc w:val="center"/>
              <w:rPr>
                <w:rFonts w:asciiTheme="minorHAnsi" w:hAnsiTheme="minorHAnsi" w:cstheme="minorHAnsi"/>
              </w:rPr>
            </w:pPr>
          </w:p>
        </w:tc>
        <w:tc>
          <w:tcPr>
            <w:tcW w:w="998" w:type="pct"/>
            <w:vAlign w:val="center"/>
          </w:tcPr>
          <w:p w:rsidR="002A1F3B" w:rsidRPr="00B53423" w:rsidRDefault="002A1F3B" w:rsidP="0015232B">
            <w:pPr>
              <w:tabs>
                <w:tab w:val="left" w:pos="1260"/>
              </w:tabs>
              <w:spacing w:before="0" w:line="240" w:lineRule="auto"/>
              <w:jc w:val="center"/>
              <w:rPr>
                <w:rFonts w:cstheme="minorHAnsi"/>
              </w:rPr>
            </w:pPr>
            <w:r w:rsidRPr="00B53423">
              <w:rPr>
                <w:rFonts w:cstheme="minorHAnsi"/>
              </w:rPr>
              <w:t>30.07.2014</w:t>
            </w:r>
          </w:p>
        </w:tc>
        <w:tc>
          <w:tcPr>
            <w:tcW w:w="1037" w:type="pct"/>
            <w:vAlign w:val="center"/>
          </w:tcPr>
          <w:p w:rsidR="002A1F3B" w:rsidRPr="00B53423" w:rsidRDefault="002A1F3B" w:rsidP="0015232B">
            <w:pPr>
              <w:tabs>
                <w:tab w:val="left" w:pos="1260"/>
              </w:tabs>
              <w:spacing w:before="0" w:line="240" w:lineRule="auto"/>
              <w:jc w:val="center"/>
              <w:rPr>
                <w:rFonts w:cstheme="minorHAnsi"/>
              </w:rPr>
            </w:pPr>
            <w:r w:rsidRPr="00B53423">
              <w:rPr>
                <w:rFonts w:cstheme="minorHAnsi"/>
              </w:rPr>
              <w:t>Lucknow</w:t>
            </w:r>
          </w:p>
        </w:tc>
        <w:tc>
          <w:tcPr>
            <w:tcW w:w="2546" w:type="pct"/>
          </w:tcPr>
          <w:p w:rsidR="002A1F3B" w:rsidRPr="00B53423" w:rsidRDefault="002A1F3B" w:rsidP="0015232B">
            <w:pPr>
              <w:tabs>
                <w:tab w:val="left" w:pos="1260"/>
              </w:tabs>
              <w:spacing w:before="0" w:line="240" w:lineRule="auto"/>
              <w:jc w:val="center"/>
              <w:rPr>
                <w:rFonts w:cstheme="minorHAnsi"/>
              </w:rPr>
            </w:pPr>
            <w:r w:rsidRPr="00B53423">
              <w:rPr>
                <w:rFonts w:cstheme="minorHAnsi"/>
              </w:rPr>
              <w:t>MVVNL</w:t>
            </w:r>
          </w:p>
        </w:tc>
      </w:tr>
    </w:tbl>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Consumer representatives, industry associations as well as several individual consumers participated actively in the public hearing process.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views / suggestions / comments / objections / representations on the True-up / ARR / Tariff Petitions received from the public were forwarded to the Licensees for their comments / response. The Commission considers these submissions of the consumers and the response of the Licensees before it embarks upon the exercise of determining the final True-up / ARR / Tariff.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Besides this, the Commission, while disposing the True-up / ARR / Tariff Petitions filed by the Petitioners, has also taken into consideration the oral and written views / comments / suggestions / objections / representations received from various stakeholders during the public hearings or through post or by e-mail.</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has taken note of the views and suggestions submitted by the various stakeholders who provided useful feedback on various issues and the Commission appreciates their participation in the entire process.</w:t>
      </w:r>
    </w:p>
    <w:p w:rsidR="002A1F3B" w:rsidRPr="00B53423" w:rsidRDefault="002A1F3B" w:rsidP="0015232B">
      <w:pPr>
        <w:pStyle w:val="Heading2"/>
        <w:keepNext w:val="0"/>
        <w:numPr>
          <w:ilvl w:val="0"/>
          <w:numId w:val="0"/>
        </w:numPr>
        <w:ind w:left="780"/>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pPr>
      <w:bookmarkStart w:id="283" w:name="_Toc396573712"/>
      <w:bookmarkStart w:id="284" w:name="_Toc399626117"/>
      <w:r w:rsidRPr="00B53423">
        <w:t>VIEWS</w:t>
      </w:r>
      <w:r w:rsidR="000C3943" w:rsidRPr="00B53423">
        <w:t xml:space="preserve"> </w:t>
      </w:r>
      <w:r w:rsidRPr="00B53423">
        <w:t>/</w:t>
      </w:r>
      <w:r w:rsidR="000C3943" w:rsidRPr="00B53423">
        <w:t xml:space="preserve"> </w:t>
      </w:r>
      <w:r w:rsidRPr="00B53423">
        <w:t>COMMENTS / SUGGESTIONS / OBJECTIONS / REPRESENTATIONS ON TRUE-UP / ARR / TARIFF PETITION</w:t>
      </w:r>
      <w:bookmarkEnd w:id="283"/>
      <w:bookmarkEnd w:id="284"/>
    </w:p>
    <w:p w:rsidR="002A1F3B" w:rsidRPr="00B53423" w:rsidRDefault="002A1F3B" w:rsidP="0015232B"/>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has taken note of the various views / comments / suggestions / objections / representations made by the stakeholders and would like to make specific mention of the following stakeholders for their valuable inputs:</w:t>
      </w:r>
    </w:p>
    <w:p w:rsidR="002A1F3B" w:rsidRPr="00B53423" w:rsidRDefault="002A1F3B" w:rsidP="000174C0">
      <w:pPr>
        <w:pStyle w:val="ListParagraph"/>
        <w:numPr>
          <w:ilvl w:val="0"/>
          <w:numId w:val="66"/>
        </w:numPr>
      </w:pPr>
      <w:r w:rsidRPr="00B53423">
        <w:t>Mr. Avadhesh Kumar Verma, Chairman, Uttar Pradesh Rajya Vidyut Upbhoktha Parishad (UPRVUP)</w:t>
      </w:r>
    </w:p>
    <w:p w:rsidR="002A1F3B" w:rsidRPr="00B53423" w:rsidRDefault="002A1F3B" w:rsidP="000174C0">
      <w:pPr>
        <w:pStyle w:val="ListParagraph"/>
        <w:numPr>
          <w:ilvl w:val="0"/>
          <w:numId w:val="66"/>
        </w:numPr>
      </w:pPr>
      <w:r w:rsidRPr="00B53423">
        <w:t>Mr. Rama Shankar Awasthi, Lucknow</w:t>
      </w:r>
    </w:p>
    <w:p w:rsidR="002A1F3B" w:rsidRPr="00B53423" w:rsidRDefault="002A1F3B" w:rsidP="0015232B">
      <w:pPr>
        <w:spacing w:line="312" w:lineRule="auto"/>
        <w:ind w:left="1353"/>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list of the consumers, who have submitted their views / comments / suggestions / objections / representations, is appended at the end of this Order as Annexure</w:t>
      </w:r>
      <w:r w:rsidR="00FC0E06" w:rsidRPr="00B53423">
        <w:t xml:space="preserve"> </w:t>
      </w:r>
      <w:fldSimple w:instr=" REF _Ref399494264 \r \h  \* MERGEFORMAT ">
        <w:r w:rsidR="00847C1B">
          <w:t>15.5</w:t>
        </w:r>
      </w:fldSimple>
      <w:r w:rsidR="00B776C2" w:rsidRPr="00B53423">
        <w:t>.</w:t>
      </w:r>
      <w:r w:rsidRPr="00B53423">
        <w:t xml:space="preserve"> The major issues raised therein, the replies given by the Licensee and the views of the Commission have been summarised as detailed below:</w:t>
      </w:r>
    </w:p>
    <w:p w:rsidR="002A1F3B" w:rsidRPr="00B53423" w:rsidRDefault="002A1F3B" w:rsidP="0015232B">
      <w:pPr>
        <w:pStyle w:val="ListParagraph"/>
        <w:spacing w:before="0" w:line="312" w:lineRule="auto"/>
        <w:ind w:left="180"/>
        <w:contextualSpacing/>
        <w:rPr>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285" w:name="_Toc396909014"/>
      <w:bookmarkStart w:id="286" w:name="_Toc396573713"/>
      <w:bookmarkStart w:id="287" w:name="_Toc399626118"/>
      <w:bookmarkEnd w:id="285"/>
      <w:r w:rsidRPr="00B53423">
        <w:rPr>
          <w:caps/>
        </w:rPr>
        <w:t>General</w:t>
      </w:r>
      <w:bookmarkEnd w:id="286"/>
      <w:bookmarkEnd w:id="287"/>
    </w:p>
    <w:p w:rsidR="002A1F3B" w:rsidRPr="00B53423" w:rsidRDefault="002A1F3B" w:rsidP="0015232B">
      <w:pPr>
        <w:spacing w:before="0" w:line="312" w:lineRule="auto"/>
        <w:ind w:left="360"/>
        <w:contextualSpacing/>
        <w:rPr>
          <w:b/>
          <w:i/>
          <w:szCs w:val="26"/>
        </w:rPr>
      </w:pPr>
    </w:p>
    <w:p w:rsidR="002A1F3B" w:rsidRPr="00B53423" w:rsidRDefault="002A1F3B" w:rsidP="0015232B">
      <w:pPr>
        <w:numPr>
          <w:ilvl w:val="0"/>
          <w:numId w:val="23"/>
        </w:numPr>
        <w:spacing w:before="0" w:line="312" w:lineRule="auto"/>
        <w:contextualSpacing/>
        <w:rPr>
          <w:b/>
          <w:i/>
          <w:szCs w:val="26"/>
        </w:rPr>
      </w:pPr>
      <w:r w:rsidRPr="00B53423">
        <w:rPr>
          <w:b/>
          <w:i/>
          <w:szCs w:val="26"/>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Av</w:t>
      </w:r>
      <w:r w:rsidRPr="00B53423">
        <w:rPr>
          <w:bCs w:val="0"/>
        </w:rPr>
        <w:t>adhesh Kumar Verma, Chairman, Uttar Pradesh Rajya Vidyut Upbokta Parishad (UPRVUP) submitted that the Petition for the power distribution companies has been prepared by the Commercial division of Uttar Pradesh Power Corporation Ltd. (UPPCL). Director, Commercial division of UPPCL vide letter no. 4026 dated 18th November, 2013 and letter dated 13th November, 2012 had asked for the report from power distribution companies regarding various issues in ARR / Tariff determination. He further requested the Commission to direct UPPCL to bring such report received from the power distribution compa</w:t>
      </w:r>
      <w:r w:rsidRPr="00B53423">
        <w:t xml:space="preserve">nies in public domain.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numPr>
          <w:ilvl w:val="0"/>
          <w:numId w:val="23"/>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Petitioner submitted that the revision in Tariff for FY 2013-14 is entirely the prerogative of State Electricity Regulatory Commission. With regard to the issues raised on letters dated 18</w:t>
      </w:r>
      <w:r w:rsidRPr="00B53423">
        <w:rPr>
          <w:vertAlign w:val="superscript"/>
        </w:rPr>
        <w:t>th</w:t>
      </w:r>
      <w:r w:rsidRPr="00B53423">
        <w:t xml:space="preserve"> November, 2013 and 13</w:t>
      </w:r>
      <w:r w:rsidRPr="00B53423">
        <w:rPr>
          <w:vertAlign w:val="superscript"/>
        </w:rPr>
        <w:t>th</w:t>
      </w:r>
      <w:r w:rsidRPr="00B53423">
        <w:t xml:space="preserve"> November, 2013, the Petitioner further submitted that such letters are confidential and cannot be put under public domain. </w:t>
      </w:r>
    </w:p>
    <w:p w:rsidR="002A1F3B" w:rsidRPr="00B53423" w:rsidRDefault="002A1F3B" w:rsidP="0015232B">
      <w:pPr>
        <w:spacing w:line="312" w:lineRule="auto"/>
        <w:ind w:left="360"/>
        <w:contextualSpacing/>
        <w:rPr>
          <w:b/>
          <w:i/>
        </w:rPr>
      </w:pPr>
    </w:p>
    <w:p w:rsidR="002A1F3B" w:rsidRPr="00B53423" w:rsidRDefault="002A1F3B" w:rsidP="0015232B">
      <w:pPr>
        <w:numPr>
          <w:ilvl w:val="0"/>
          <w:numId w:val="23"/>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would like to ensure the stakeholders that the True-up / ARR / Tariff has been approved by the Commission based on Audited Accounts and various other related documents and submissions of the Petitioner, only after proper scrutiny and prudence check. However, as regards to any report circulated within UPPCL for its internal workings, the Commission cannot direct UPPCL to public all such documents as the same is out of the purview of the Commission.</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288" w:name="_Toc396573714"/>
      <w:bookmarkStart w:id="289" w:name="_Toc399626119"/>
      <w:r w:rsidRPr="00B53423">
        <w:rPr>
          <w:caps/>
        </w:rPr>
        <w:t>Compliance of Directives</w:t>
      </w:r>
      <w:bookmarkEnd w:id="288"/>
      <w:bookmarkEnd w:id="289"/>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21"/>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Avadhesh Kumar Verma, Chairman, Uttar Pradesh Rajya Vidyut Upbhoktha Parishad (UPRVUP) submitted that Upbhokta Parishad on Public Interest had asked for the detailed report from UPPCL regarding high cost of power purchase @ Rs 6.06 per Unit from Reliance and Rs 7.75 per Unit from Bajaj.  In this regard, UPPCL has not provided clarification even after continuous requests. He requested the Commission to take appropriate action against UPPCL under Section 142 of Electricity Act, 2003 for not complying with the directives of the Commission. He further submitted that UPPCL should provide the details regarding the compliance of directives issued by the Commission in Tariff Order for FY 2013-14.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proofErr w:type="gramStart"/>
      <w:r w:rsidRPr="00B53423">
        <w:t>Mr. Vivek Kumar Singh, Sr. Divl.</w:t>
      </w:r>
      <w:proofErr w:type="gramEnd"/>
      <w:r w:rsidRPr="00B53423">
        <w:t xml:space="preserve"> </w:t>
      </w:r>
      <w:proofErr w:type="gramStart"/>
      <w:r w:rsidRPr="00B53423">
        <w:t>Elect.</w:t>
      </w:r>
      <w:proofErr w:type="gramEnd"/>
      <w:r w:rsidRPr="00B53423">
        <w:t xml:space="preserve"> Engineer (TR-D), North Central Railway, Allahabad and Mr. Sudhir Ranjan, Chief Electrical Distribution Engineer, North Central Railway, Allahabad submitted that the Commission, in its last Tariff Order dated 31</w:t>
      </w:r>
      <w:r w:rsidRPr="00B53423">
        <w:rPr>
          <w:vertAlign w:val="superscript"/>
        </w:rPr>
        <w:t>st</w:t>
      </w:r>
      <w:r w:rsidRPr="00B53423">
        <w:t xml:space="preserve"> May, 2013, had directed Distribution Licensees to conduct proper loss estimate studies and put up the same to the Commission within three months which has not been complied by the Licensees. He further submitted that the Distribution Licensees were also directed by the Commission to conduct bench marking studies which have also not been done. They contended that the Licensees are deliberately not conducting proper audit and studies to identify the weak areas and to improve efficiency and reduce losses. They further requested the Commission to take strict action against the Licensees for not complying with the directions of the Commission.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Murli Manohar Matanhelia, President of Bahriach Dal Mill Association submitted that the Commission vide para 6 of the directives issued vide Tariff Order dated 31st May, 2013 had directed Distribution Licensees to bill demand charges on the basis of reading in T.V.M (Demand Recording Meter).  However, the billing per month is being done on the basis of approved load which is unjustifiable. He requested the Commission to direct UPPCL to do the billing in accordance with the Tariff Order approved by the Commission so that millers do not suffer any further problems.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numPr>
          <w:ilvl w:val="0"/>
          <w:numId w:val="21"/>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regards the objections raised by Mr. Avadhesh Kumar Verma, the Licensees submitted that it has already provided the source wise details of power purchase of nine (9) months (from January 2013 to September 2013) to the Commission. The Licensees further submitted that the preparation of source wise details of remaining months is still under process and will be provided to the Commission thereafter. The Petitioner further submitted that the source wise power purchase details pertaining to ARR for FY 2014-15, has been provided to the Commission alongwith the ARR Petition in Appendix-1.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regards the contention raised regarding compliance of directives given by the Commission in Tariff Order for FY 2013-14, the Petitioner submitted that it has provided the details regarding its compliance to such directives in its Petition for FY 2014-15. The Petitioner replied that it has been providing compliance to the directives issued by the Commission from time to time to the Commission.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With regards to the issue of billing demand charges on the basis of reading in T.V.M (Demand Recording Meter), the Petitioner submitted that the billing is being done as per Rate Schedule approved by the Commission in the Tariff Orders and after considering other provisions of the Supply Code. The Licensees submitted that the Orders of the Commission are being followed in letter and spirit by them, however, in case any specific discrepancy in consumer billing is brought to the knowledge of the licensee, it is immediately rectified and consumer grievance is promptly addressed.</w:t>
      </w:r>
    </w:p>
    <w:p w:rsidR="002A1F3B" w:rsidRPr="00B53423" w:rsidRDefault="002A1F3B" w:rsidP="0015232B">
      <w:pPr>
        <w:spacing w:line="312" w:lineRule="auto"/>
        <w:ind w:left="360"/>
        <w:contextualSpacing/>
        <w:rPr>
          <w:b/>
          <w:i/>
        </w:rPr>
      </w:pPr>
    </w:p>
    <w:p w:rsidR="002A1F3B" w:rsidRPr="00B53423" w:rsidRDefault="002A1F3B" w:rsidP="0015232B">
      <w:pPr>
        <w:numPr>
          <w:ilvl w:val="0"/>
          <w:numId w:val="21"/>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regards the issue of compliance of directives regarding power purchase, the issue has been discussed in detail in Chapter on Annual Revenue Requirement for FY 2014-15 of this Order. As regards compliance of other directives issued by the Commission in its previous Orders the Commission has taken note of the objections / suggestions raised by the stakeholders and the replies submitted by the Licensees on the same. Further, the Commission ensures the stakeholders that it will shortly take appropriate action on the same. </w:t>
      </w:r>
    </w:p>
    <w:p w:rsidR="002A1F3B" w:rsidRPr="00B53423" w:rsidRDefault="002A1F3B" w:rsidP="0015232B">
      <w:pPr>
        <w:pStyle w:val="Heading2"/>
        <w:keepNext w:val="0"/>
        <w:numPr>
          <w:ilvl w:val="0"/>
          <w:numId w:val="0"/>
        </w:numPr>
        <w:spacing w:line="312" w:lineRule="auto"/>
        <w:ind w:left="360"/>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290" w:name="_Toc399626120"/>
      <w:r w:rsidRPr="00B53423">
        <w:rPr>
          <w:caps/>
        </w:rPr>
        <w:t>Audit of accounts</w:t>
      </w:r>
      <w:bookmarkEnd w:id="290"/>
    </w:p>
    <w:p w:rsidR="005D7AFD" w:rsidRPr="00B53423" w:rsidRDefault="005D7AFD" w:rsidP="0015232B">
      <w:pPr>
        <w:pStyle w:val="Heading2"/>
        <w:keepNext w:val="0"/>
        <w:numPr>
          <w:ilvl w:val="0"/>
          <w:numId w:val="0"/>
        </w:numPr>
        <w:autoSpaceDE w:val="0"/>
        <w:autoSpaceDN w:val="0"/>
        <w:adjustRightInd w:val="0"/>
        <w:spacing w:before="120" w:line="240" w:lineRule="auto"/>
        <w:ind w:left="990"/>
        <w:contextualSpacing/>
        <w:rPr>
          <w:caps/>
        </w:rPr>
      </w:pPr>
    </w:p>
    <w:p w:rsidR="002A1F3B" w:rsidRPr="00B53423" w:rsidRDefault="002A1F3B" w:rsidP="0015232B">
      <w:pPr>
        <w:numPr>
          <w:ilvl w:val="0"/>
          <w:numId w:val="22"/>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Avadhesh Kumar Verma, Chairman, Uttar Pradesh Rajya Vidyut Upbhokta Parishad (UPRVUP) submitted that Power Companies file the Petition for ARR without any CAG Audit. He further submitted that the Truing-up is then done on the basis of CAG audit and as </w:t>
      </w:r>
      <w:proofErr w:type="gramStart"/>
      <w:r w:rsidRPr="00B53423">
        <w:t>a</w:t>
      </w:r>
      <w:proofErr w:type="gramEnd"/>
      <w:r w:rsidRPr="00B53423">
        <w:t xml:space="preserve"> outcome of that the regulatory surcharge is imposed while Truing-up on the basis of CAG accounts which is totally unjustified. In this regard, he suggested the Commission that in case Tariff is being approved without CAG Audit, then 50% loss should not be passed on to the consumers while Truing-up in future. He further requested the Commission to take appropriate action on the Tariff reduction proposal submitted by the Upbhokta Parishad in public interest.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Naveen Khanna, Chairman, Kanpur Chapter of Indian industries Association submitted that the Audited Accounts should be used for ARR. The representatives of Shramik Basti Sewa Samiti submitted that CAG Audit of the ARR should be done.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Vishnu Bhagwan Agarwal of M/s The Popular Cycle Mfg. Co. (Pvt.) Ltd. and Mr. K. L. Aggarwal, Chairman, Associated Chambers of Commerce &amp; Industry of U.P. submitted that there should be timely audit of the accounts of the Distribution Licensees and only audited balance sheet should be accepted for ARR purposes. Full account of assets </w:t>
      </w:r>
      <w:proofErr w:type="gramStart"/>
      <w:r w:rsidRPr="00B53423">
        <w:t>be</w:t>
      </w:r>
      <w:proofErr w:type="gramEnd"/>
      <w:r w:rsidRPr="00B53423">
        <w:t xml:space="preserve"> maintained. They further submitted that anything purchased or disposed of by the Utility should be done by an open e-tendering process and a third party pre-inspection should be done to bring in transparency in the process.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Rama Shankar Awasthi submitted that the Auditors have </w:t>
      </w:r>
      <w:proofErr w:type="gramStart"/>
      <w:r w:rsidRPr="00B53423">
        <w:t>raised</w:t>
      </w:r>
      <w:proofErr w:type="gramEnd"/>
      <w:r w:rsidRPr="00B53423">
        <w:t xml:space="preserve"> numerous and serious objections in the Audits of the Licensees. He further asked the Licensees to submit a compliance report regarding the same before the Commission and the public.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M/s Rathi Steel and Power Ltd., Director of M/s Rathi Industries Ltd., Director of M/s K. L. Rathi Steels Ltd., Managing Director of M/s Rathi Super Steel Ltd., General Manager (Operations) of M/s K. L. Steels (p) Ltd. and Director of K.L. Concast Pvt. Ltd. submitted that the copy of Balance Sheet alongwith the Auditor's report thereto of Distribution Licensees should also be provided.</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numPr>
          <w:ilvl w:val="0"/>
          <w:numId w:val="22"/>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As regards the contention raised by Mr. Avadhesh Kumar Verma regarding Tariff reduction proposal, the Petitioner submitted that ARR is done for Tariff determination for the future Tariff period, whereas, audit is done after the Financial Year is over. The Licensee submitted that the true-up of past years is done on the basis of the Audited Accounts. With regard to the 50% revenue deficit, the Petitioner submitted that the Commission had approved regulatory surcharge in FY 2013-14 and this regulatory surcharge was due to the revenue deficit in True-up dated 21</w:t>
      </w:r>
      <w:r w:rsidRPr="00B53423">
        <w:rPr>
          <w:vertAlign w:val="superscript"/>
        </w:rPr>
        <w:t>st</w:t>
      </w:r>
      <w:r w:rsidRPr="00B53423">
        <w:t xml:space="preserve"> May, 2013 for FY 2000-01 to FY 2007-08. 50% of regulatory surcharge was approved for FY 2013-14 and the remaining 50% was approved for the further years.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Further, the Petitioner submitted that it has already submitted the audited balance sheets along with supplementary audit reports of the Accountant General of Uttar Pradesh (AGUP) for the period up to FY 2012-13. Such audited accounts and AGUP reports have already been published on the website of the Licensees.</w:t>
      </w:r>
    </w:p>
    <w:p w:rsidR="002A1F3B" w:rsidRPr="00B53423" w:rsidRDefault="002A1F3B" w:rsidP="0015232B">
      <w:pPr>
        <w:spacing w:line="312" w:lineRule="auto"/>
        <w:ind w:left="360"/>
        <w:contextualSpacing/>
        <w:rPr>
          <w:b/>
          <w:i/>
        </w:rPr>
      </w:pPr>
    </w:p>
    <w:p w:rsidR="002A1F3B" w:rsidRPr="00B53423" w:rsidRDefault="002A1F3B" w:rsidP="0015232B">
      <w:pPr>
        <w:numPr>
          <w:ilvl w:val="0"/>
          <w:numId w:val="22"/>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noted the above objections / suggestions of the stakeholders. The Commission has conducted the Truing-up for FY 2008-09 to FY 2011-12 after considering a strict prudence check on the submissions made by the Licensees and after considering the Audited Accounts provided by the Licensee along with Supplementary Audit Report of the Accountant General of Uttar Pradesh. </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2A1F3B" w:rsidRPr="00B53423" w:rsidRDefault="002A1F3B" w:rsidP="000174C0">
      <w:pPr>
        <w:pStyle w:val="Heading2"/>
        <w:keepNext w:val="0"/>
        <w:numPr>
          <w:ilvl w:val="1"/>
          <w:numId w:val="65"/>
        </w:numPr>
        <w:autoSpaceDE w:val="0"/>
        <w:autoSpaceDN w:val="0"/>
        <w:adjustRightInd w:val="0"/>
        <w:spacing w:before="120" w:line="240" w:lineRule="auto"/>
        <w:contextualSpacing/>
        <w:rPr>
          <w:caps/>
        </w:rPr>
      </w:pPr>
      <w:bookmarkStart w:id="291" w:name="_Toc396909018"/>
      <w:bookmarkStart w:id="292" w:name="_Toc396573716"/>
      <w:bookmarkStart w:id="293" w:name="_Toc399626121"/>
      <w:bookmarkEnd w:id="291"/>
      <w:r w:rsidRPr="00B53423">
        <w:rPr>
          <w:caps/>
        </w:rPr>
        <w:t>Reduction in Tariff</w:t>
      </w:r>
      <w:bookmarkEnd w:id="292"/>
      <w:bookmarkEnd w:id="293"/>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39"/>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Avadhesh Kumar Verma, Chairman, Uttar Pradesh Rajya Vidyut Upbhokta Parishad (UPRVUP) submitted that Government of Uttar Pradesh had asked the Commission for Report on proposal of Tariff reduction for FY 2013-14. He further submitted that the Commission had intimated the State Govt. that the proposal of Tariff reduction would be considered in the ARR for FY 2014-15.  He further requested the Commission to take appropriate steps in this regards.</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39"/>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Petitioner submitted that the reduction in Tariff for FY 2013-14 is entirely the prerogative of State Electricity Regulatory Commission.  </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39"/>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has noted the objections / suggestions made by the Stakeholder in this regards. The Commission has discussed all the Tariff related aspects in the Chapter titled Tariff Philosophy for all the stakeholders to refer from.</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2A1F3B" w:rsidRPr="00B53423" w:rsidRDefault="002A1F3B" w:rsidP="000174C0">
      <w:pPr>
        <w:pStyle w:val="Heading2"/>
        <w:keepNext w:val="0"/>
        <w:numPr>
          <w:ilvl w:val="1"/>
          <w:numId w:val="65"/>
        </w:numPr>
        <w:autoSpaceDE w:val="0"/>
        <w:autoSpaceDN w:val="0"/>
        <w:adjustRightInd w:val="0"/>
        <w:spacing w:before="120" w:line="240" w:lineRule="auto"/>
        <w:contextualSpacing/>
        <w:rPr>
          <w:caps/>
        </w:rPr>
      </w:pPr>
      <w:bookmarkStart w:id="294" w:name="_Toc396909020"/>
      <w:bookmarkStart w:id="295" w:name="_Toc396573717"/>
      <w:bookmarkStart w:id="296" w:name="_Toc399626122"/>
      <w:bookmarkEnd w:id="294"/>
      <w:r w:rsidRPr="00B53423">
        <w:rPr>
          <w:caps/>
        </w:rPr>
        <w:t>Tariff Fixing</w:t>
      </w:r>
      <w:bookmarkEnd w:id="295"/>
      <w:bookmarkEnd w:id="296"/>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24"/>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Avadhesh Kumar Verma, Chairman, Uttar Pradesh Rajya Vidyut Upbhoktha Parishad (UPRVUP) contended that even after issue of tariff fixing came to the notice  of the Commission, no appropriate steps to reduce tariffs has been taken by the Commission. He further submitted that the Commission should without any more delay take appropriate action against the people involved in tariff fixing. </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2A1F3B" w:rsidRPr="00B53423" w:rsidRDefault="002A1F3B" w:rsidP="0015232B">
      <w:pPr>
        <w:numPr>
          <w:ilvl w:val="0"/>
          <w:numId w:val="24"/>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Petitioner submitted that the issue of Tariff fixing is not related to the Petitioner.  </w:t>
      </w:r>
    </w:p>
    <w:p w:rsidR="002A1F3B" w:rsidRPr="00B53423" w:rsidRDefault="002A1F3B" w:rsidP="0015232B">
      <w:pPr>
        <w:spacing w:line="312" w:lineRule="auto"/>
        <w:ind w:left="360"/>
        <w:contextualSpacing/>
        <w:rPr>
          <w:b/>
          <w:i/>
        </w:rPr>
      </w:pPr>
    </w:p>
    <w:p w:rsidR="002A1F3B" w:rsidRPr="00B53423" w:rsidRDefault="002A1F3B" w:rsidP="0015232B">
      <w:pPr>
        <w:numPr>
          <w:ilvl w:val="0"/>
          <w:numId w:val="24"/>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taken note of the objection of the </w:t>
      </w:r>
      <w:proofErr w:type="gramStart"/>
      <w:r w:rsidRPr="00B53423">
        <w:t>stakeholder,</w:t>
      </w:r>
      <w:proofErr w:type="gramEnd"/>
      <w:r w:rsidRPr="00B53423">
        <w:t xml:space="preserve"> however, the Commission is of the view that the above matter is not specifically related to the ARR and Tariff determination of FY 2014-15.</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2A1F3B" w:rsidRPr="00B53423" w:rsidRDefault="002A1F3B" w:rsidP="000174C0">
      <w:pPr>
        <w:pStyle w:val="Heading2"/>
        <w:keepNext w:val="0"/>
        <w:numPr>
          <w:ilvl w:val="1"/>
          <w:numId w:val="65"/>
        </w:numPr>
        <w:autoSpaceDE w:val="0"/>
        <w:autoSpaceDN w:val="0"/>
        <w:adjustRightInd w:val="0"/>
        <w:spacing w:before="120" w:line="240" w:lineRule="auto"/>
        <w:contextualSpacing/>
        <w:rPr>
          <w:caps/>
        </w:rPr>
      </w:pPr>
      <w:bookmarkStart w:id="297" w:name="_Toc396573718"/>
      <w:bookmarkStart w:id="298" w:name="_Toc399626123"/>
      <w:r w:rsidRPr="00B53423">
        <w:rPr>
          <w:caps/>
        </w:rPr>
        <w:t>Railways</w:t>
      </w:r>
      <w:bookmarkEnd w:id="297"/>
      <w:bookmarkEnd w:id="298"/>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28"/>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proofErr w:type="gramStart"/>
      <w:r w:rsidRPr="00B53423">
        <w:t>Mr. Vivek Kumar Singh, Sr. Divl.</w:t>
      </w:r>
      <w:proofErr w:type="gramEnd"/>
      <w:r w:rsidRPr="00B53423">
        <w:t xml:space="preserve"> </w:t>
      </w:r>
      <w:proofErr w:type="gramStart"/>
      <w:r w:rsidRPr="00B53423">
        <w:t>Elect.</w:t>
      </w:r>
      <w:proofErr w:type="gramEnd"/>
      <w:r w:rsidRPr="00B53423">
        <w:t xml:space="preserve"> Engineer (TR-D), North Central Railway, Allahabad and Mr. Sudhir Ranjan, Chief Electrical Distribution Engineer, North Central Railway, Allahabad submitted that the North Central Railway draw power uniformly during 24 hrs and in fact the peak demand in most cases is during midnight hours. Further, it is a bulk consumer of electricity and invariably pays the bill within 2 days of submission of bill. They submitted that there is no theft of electricity in Railway as supply is taken at 132 / 25 kV and energy meters are installed at UPPCL side. They further submitted that as Indian Railway is energy efficient and non-polluting system of transport, therefore, unreasonably high tariff is against national interest. They submitted that in FY 2013-14, increase of tariff resulted in an extra financial burden of Rs. 55 Crore on ALD Division of North Central Railway and the proposed tariff hike in FY 2014-15 will result in additional extra financial burden of Rs. 21 Crore on ALD Division of N.C. Railway. They further requested the Commission that the Tariffs for Railways should be brought down to a reasonable level.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proofErr w:type="gramStart"/>
      <w:r w:rsidRPr="00B53423">
        <w:t>Further, Mr. Vivek Kumar Singh, Sr. Divl.</w:t>
      </w:r>
      <w:proofErr w:type="gramEnd"/>
      <w:r w:rsidRPr="00B53423">
        <w:t xml:space="preserve"> </w:t>
      </w:r>
      <w:proofErr w:type="gramStart"/>
      <w:r w:rsidRPr="00B53423">
        <w:t>Elect.</w:t>
      </w:r>
      <w:proofErr w:type="gramEnd"/>
      <w:r w:rsidRPr="00B53423">
        <w:t xml:space="preserve"> Engineer (TR-D), North Central Railway, Allahabad submitted that Hon’ble APTEL in its Judgment in Appeal No. 192 &amp; 206 of 2010 directed Tamil Nadu Electricity Regulatory Commission to determine voltage wise cost of supply &amp; cross subsidy in future. They contended that if the cross subsidy is worked out on voltage wise cost of supply at 132/220 kV, then the actual cross subsidy charged to Railway would be much higher than the cross subsidy given in current Tariff Order which is based on average cost of supply for all classes of consumers and hence, the proposed hike in Tariff in undesirable.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Further, Mr. Vivek Kumar Singh and Mr. Sudhir Ranjan submitted that the direct subsidy over 20% to needy consumers should be borne by State Govt. and not by Railways and the cross subsidy on Railway Traction should be reduced. Further, they requested the Commission to consider voltage rebate of at least 5% on 132 kV and 25 kV on billed demand as cost of supply at 132 kV is less than that for 33/11 kV, etc. The objectors added that similar rebate is being given by JVVNL also. They further submitted that there should be the arrangement to provide rebate scheme facility on the prompt payment of energy bill of UPPCL as NTPC is giving 2.1% rebate on prompt payment.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They further submitted that the </w:t>
      </w:r>
      <w:r w:rsidR="000C3943" w:rsidRPr="00B53423">
        <w:t>T</w:t>
      </w:r>
      <w:r w:rsidRPr="00B53423">
        <w:t xml:space="preserve">ariff of Railway traction is higher than HV-2 HT Industrial tariff categories and this is a violation of Article 287 of Constitution. </w:t>
      </w:r>
      <w:r w:rsidR="000C3943" w:rsidRPr="00B53423">
        <w:t xml:space="preserve">They added that Hon’ble </w:t>
      </w:r>
      <w:proofErr w:type="gramStart"/>
      <w:r w:rsidRPr="00B53423">
        <w:t>ATE</w:t>
      </w:r>
      <w:r w:rsidR="000C3943" w:rsidRPr="00B53423">
        <w:t xml:space="preserve"> </w:t>
      </w:r>
      <w:r w:rsidRPr="00B53423">
        <w:t xml:space="preserve"> vide</w:t>
      </w:r>
      <w:proofErr w:type="gramEnd"/>
      <w:r w:rsidRPr="00B53423">
        <w:t xml:space="preserve"> its Judgment in </w:t>
      </w:r>
      <w:r w:rsidR="000C3943" w:rsidRPr="00B53423">
        <w:t>A</w:t>
      </w:r>
      <w:r w:rsidRPr="00B53423">
        <w:t xml:space="preserve">ppeal </w:t>
      </w:r>
      <w:r w:rsidR="000C3943" w:rsidRPr="00B53423">
        <w:t>N</w:t>
      </w:r>
      <w:r w:rsidRPr="00B53423">
        <w:t>o. 148 of 2007 &amp; 124 of 2008 have ordered as under:</w:t>
      </w:r>
    </w:p>
    <w:p w:rsidR="000C3943" w:rsidRPr="00B53423" w:rsidRDefault="000C3943" w:rsidP="0015232B">
      <w:pPr>
        <w:pStyle w:val="ListParagraph"/>
        <w:spacing w:before="0" w:line="312" w:lineRule="auto"/>
        <w:ind w:left="1440"/>
        <w:contextualSpacing/>
        <w:rPr>
          <w:i/>
          <w:szCs w:val="26"/>
        </w:rPr>
      </w:pPr>
    </w:p>
    <w:p w:rsidR="002A1F3B" w:rsidRPr="00B53423" w:rsidRDefault="002A1F3B" w:rsidP="0015232B">
      <w:pPr>
        <w:pStyle w:val="ListParagraph"/>
        <w:spacing w:before="0" w:line="312" w:lineRule="auto"/>
        <w:ind w:left="1440"/>
        <w:contextualSpacing/>
        <w:rPr>
          <w:i/>
          <w:szCs w:val="26"/>
        </w:rPr>
      </w:pPr>
      <w:r w:rsidRPr="00B53423">
        <w:rPr>
          <w:i/>
          <w:szCs w:val="26"/>
        </w:rPr>
        <w:t xml:space="preserve">“Thus, Article 287 of the Constitution mandates that the tariff of electrical energy sold to the Railways should be less than the price charged to other consumers of a substantial quantity of electricity.”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w:t>
      </w:r>
      <w:r w:rsidR="00CD5A87" w:rsidRPr="00B53423">
        <w:t>stakeholders</w:t>
      </w:r>
      <w:r w:rsidRPr="00B53423">
        <w:t xml:space="preserve"> requested the Commission to consider the above Judgment of Hon’ble APTEL while considering the Tariff.</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15232B">
      <w:pPr>
        <w:numPr>
          <w:ilvl w:val="0"/>
          <w:numId w:val="28"/>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Petitioner submitted that the Railway Traction Tariff has been increased in accordance with Article 287 of the Constitution of India. Further, the billing is being done in accordance with the Rate Schedule approved by the Commission. </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Petitioner further submitted that the Tariff for HV-3 consumers is within 120% of the average cost of service of the licensees, as stated in the Tariff Policy, 2006, and not at the voltage wise cost of supply as stated in the Tariff Policy, 2006 framed by the Govt. of India.</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With regard to the rebate scheme on prompt payment, the Petitioner submitted that the rebate on power purchase payments is duly reduced from the power purchase cost and hence the contentions of the stakeholders are without merits.</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With regard to the issue of rebate as applicable in JVVNL, the Petitioner further submitted that the Tariff structure in each State is difference and hence the tariff conditions cannot be the same across states.</w:t>
      </w:r>
    </w:p>
    <w:p w:rsidR="002A1F3B" w:rsidRPr="00B53423" w:rsidRDefault="002A1F3B" w:rsidP="0015232B">
      <w:pPr>
        <w:spacing w:line="312" w:lineRule="auto"/>
        <w:ind w:left="360"/>
        <w:contextualSpacing/>
        <w:rPr>
          <w:b/>
          <w:i/>
        </w:rPr>
      </w:pPr>
    </w:p>
    <w:p w:rsidR="002A1F3B" w:rsidRPr="00B53423" w:rsidRDefault="002A1F3B" w:rsidP="0015232B">
      <w:pPr>
        <w:numPr>
          <w:ilvl w:val="0"/>
          <w:numId w:val="28"/>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Tariff for various categories of consumers is being determined by the Commission in accordance with the principles enshrined in the Distribution Tariff Regulations and Tariff Policy. The Commission while approving the Tariff for the State has also made appropri</w:t>
      </w:r>
      <w:r w:rsidRPr="00B53423">
        <w:rPr>
          <w:bCs w:val="0"/>
        </w:rPr>
        <w:t>ate comparison with various other States. Further, the detailed approach as considered by the Commission for approving the Tariff for various categories has been discusse</w:t>
      </w:r>
      <w:r w:rsidRPr="00B53423">
        <w:t xml:space="preserve">d subsequently in this Order.   </w:t>
      </w:r>
    </w:p>
    <w:p w:rsidR="002A1F3B" w:rsidRPr="00B53423" w:rsidRDefault="002A1F3B" w:rsidP="0015232B">
      <w:pPr>
        <w:pStyle w:val="ListParagraph"/>
        <w:spacing w:line="312" w:lineRule="auto"/>
        <w:ind w:left="180"/>
        <w:contextualSpacing/>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299" w:name="_Toc396573719"/>
      <w:bookmarkStart w:id="300" w:name="_Toc399626124"/>
      <w:r w:rsidRPr="00B53423">
        <w:rPr>
          <w:caps/>
        </w:rPr>
        <w:t>RECOVERY OF ARREARS</w:t>
      </w:r>
      <w:bookmarkEnd w:id="299"/>
      <w:bookmarkEnd w:id="300"/>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25"/>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Avadhesh Kumar Verma, Chairman, Uttar Pradesh Rajya Vidyut Upbhoktha Parishad (UPRVUP) submitted that there are large arrears towards receivables from electricity consumers, viz., Rs 30,434 Crore, out of which Rs. 11,000 Crore is due from Govt. Departments. He submitted that UPPCL had made various plans for recovery of dues and UPPCL should provide the detailed report on the actual status and recovery plans of various dues to be recovered after 31st March, 2014 and accordingly the benefits should be passed on to consumers by reduction in Tariff. In this regard, he suggested that there should be pre-paid metering for Govt. Departments so that the problem of recovery of dues and pending arrears do not arise.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representatives of Lucknow Jan Kalyan Mahamanch including Mr. Pitambar Bhatt, representatives of Federation of Noida Residents Welfare Association (including Mr. N. P. Singh), Mr. Ashok Tyagi of Bhartiya Janta Party, Meerut and the representatives (including Mr. Babu Lal Singhal) of Lohiavadi Vichaar Munch</w:t>
      </w:r>
      <w:r w:rsidRPr="00B53423" w:rsidDel="00AC790B">
        <w:t xml:space="preserve"> </w:t>
      </w:r>
      <w:r w:rsidRPr="00B53423">
        <w:t xml:space="preserve">submitted that all the receivables should be recovered so that there is no need for hike in Tariff.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S. B. Agrawal, General Secretary of Associated Chambers of Commerce &amp; Industry of U.P and Mr. Atul Gupta, President of National Chamber of Industries &amp; Commerce, UP submitted that no efforts are visible from the Tariff Petitions filed by Distribution Licensees in realising heavy outstanding dues of around Rs. 30000 Crore, which include recoverable of Rs. 10000 Crore from Govt. Deptt. / Offices. They submitted that if sincere efforts are made to recover, even part of these dues, passing on the burden to honest power consumers may be avoided.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Vishnu Bhagwan Agarwal of M/s The Popular Cycle Mfg. Co. (Pvt.) Ltd. submitted that dues beyond 3 months against Govt. Deptts should not be provided for in ARR.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K. L. Aggarwal, Chairman, Associated Chambers of Commerce &amp; Industry of U. P. submitted that responsibilities and accountability of the officers must be fixed for non-recovery and accumulation of dues. He suggested that an electronic system may be developed so that no dues outstand towards any the Govt. Department beyond more than 3 months period and the dues more than 3 months towards the Govt. Offices must not be allowed to have any provisions in the ARR.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Rama Shankar Awasthi and Dr. Pradeep Kumar Garg suggested that the Licensees should endeavour to realize government dues so that they will not be any requirement to raise the Tariff.</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Chief Manager of Bilaspur Kisan Sahkari Chini Mills Ltd. submitted that their 150 kVA residential colony connection of light and fan was transferred from LMV-2 category to LMV-1 (1A) category for the period December 2004 to August 2007. Accordingly, the Tariff difference of Rs. 1153695/- was calculated due to category change of the connection for the period December 2004 to August 2007. This amount is shown as arrears in the bills. He requested the Commission to cancel such arrear.</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numPr>
          <w:ilvl w:val="0"/>
          <w:numId w:val="25"/>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Petitioner replied that arrear in the books of accounts include a huge amount against consumers whose permanent disconnection are pending for final settlement. The Licensee submitted that in the past it has launched One Time Settlement (OTS) schemes, wherein old arrears were settled; but in some cases the arrears are still shown in commercial records. The Licensees further submitted that True-up Petitions up to FY 2011-12 have already been filed on the basis of Audited Accounts, so every concern of the consumers would be taken care of in yearly calculation which will depict the correct picture of the revenue and expenditure. The Petitioner further submitted that the Tariff and True-up Petitions have been filed in accordance with the Tariff Regulations. The Petitioner replied that the burden of arrears and the recovery thereof, if any, would have no impact on the allowable True-up and ARR of any year. The Petitioner further submitted that the ARR / Tariff would be determined by the Commission based on audited accounts of (n-2th) year which reflect true and fair view of the financial transaction and since this exercise will be carried on yearly basis hence it will take care of the concern of the stakeholders.</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Petitioner further submitted that the Tariff is approved based on normative principles provided in the Distribution Tariff Regulations, 2006 and the accumulated losses of past years has no bearing on the ARR being determined for the ensuing year. The Licensees further submitted that the interest on working capital is also approved on normative basis in accordance with the principles provided in the Distribution Tariff Regulations, 2006 without any regard to the actual working capital employed in the Distribution Licensees.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Petitioner submitted that the Commission fixes the Tariff on accrual basis and not on cash basis. The Petitioner replied that the past dues cannot be treated as income of the Distribution Licensees and hence it has no effect on determination of Tariff. The Licensees submitted that the electricity charges are recognised as income once the bills are raised on accrual basis and hence cannot be recognised as income source when arrears are collected. The Licensees added that treating the realization of arrears as income would amount to double counting of income and therefore, it cannot be treated as income again on realization. The Licensees submitted that this issue has been fairly established by the Hon’ble APTEL in its Judgment in Appeal No. 15 of 2012 and Appeal No. 152 of 2011.</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As regards the contention raised by Bilaspur Kisan Sahkari Chini Mills Ltd. for cancelling their arrears of Rs. 1153695/-, the Petitioner replied that this issue does not pertain to ARR and Tariff Petition for FY 2014-15. The Petitioner in its reply urged that the consumer may approach the concerned executive engineer of the division in which such consumer falls. The Licensee submitted that since the consumer has not attached the relevant Annexures, etc., regarding the issue, hence, the Licensee does not have the complete set of information to pursue this matter and address the difficulty faced by the consumer.</w:t>
      </w:r>
    </w:p>
    <w:p w:rsidR="002A1F3B" w:rsidRPr="00B53423" w:rsidRDefault="002A1F3B" w:rsidP="0015232B">
      <w:pPr>
        <w:pStyle w:val="ListParagraph"/>
        <w:spacing w:before="0" w:line="312" w:lineRule="auto"/>
        <w:ind w:left="180"/>
        <w:contextualSpacing/>
      </w:pPr>
    </w:p>
    <w:p w:rsidR="002A1F3B" w:rsidRPr="00B53423" w:rsidRDefault="002A1F3B" w:rsidP="0015232B">
      <w:pPr>
        <w:numPr>
          <w:ilvl w:val="0"/>
          <w:numId w:val="25"/>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agrees with the Licensee’s submission that the past dues cannot be treated as income of the Distribution Licensee and further treating the realization of arrears as income would amount to double accounting of income as also established by the Hon’ble ATE in its above mentioned Judgments.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has ensured that Truing-up and Tariff determination has been done in accordance with the philosophies and principles laid in the Distribution Tariff Regulations, 2006 and the past Orders of the Commission. In the True</w:t>
      </w:r>
      <w:r w:rsidR="00CD5A87" w:rsidRPr="00B53423">
        <w:t>-</w:t>
      </w:r>
      <w:r w:rsidRPr="00B53423">
        <w:t>up Sections of this Order the Commission has also conducted revenue side Truing</w:t>
      </w:r>
      <w:r w:rsidR="00CD5A87" w:rsidRPr="00B53423">
        <w:t>-</w:t>
      </w:r>
      <w:r w:rsidRPr="00B53423">
        <w:t>up, which has ensured that the burden of poor collection efficiency and consequent larger arrears is not passed on to the consumers.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in its Orders dated 21</w:t>
      </w:r>
      <w:r w:rsidR="004D0378" w:rsidRPr="00B53423">
        <w:rPr>
          <w:vertAlign w:val="superscript"/>
        </w:rPr>
        <w:t>st</w:t>
      </w:r>
      <w:r w:rsidRPr="00B53423">
        <w:t xml:space="preserve"> May, 2013 and 31</w:t>
      </w:r>
      <w:r w:rsidR="004D0378" w:rsidRPr="00B53423">
        <w:rPr>
          <w:vertAlign w:val="superscript"/>
        </w:rPr>
        <w:t>st</w:t>
      </w:r>
      <w:r w:rsidRPr="00B53423">
        <w:t xml:space="preserve"> May, 2013 had directed the Distribution Licensee to formulate a policy for identifying and writing off fictitious arrears within a period of 6 months from the date of Order and submit a copy of such report before the Commission. However, the same has not been submitted so far, as detailed subsequently the Commission in this Order the Commission has accorded a final opportunity to the Licensee to comply with the directive of the Commission.</w:t>
      </w:r>
    </w:p>
    <w:p w:rsidR="002A1F3B" w:rsidRPr="00B53423" w:rsidRDefault="002A1F3B" w:rsidP="0015232B">
      <w:pPr>
        <w:numPr>
          <w:ilvl w:val="1"/>
          <w:numId w:val="0"/>
        </w:numPr>
        <w:autoSpaceDE w:val="0"/>
        <w:autoSpaceDN w:val="0"/>
        <w:adjustRightInd w:val="0"/>
        <w:spacing w:line="312" w:lineRule="auto"/>
        <w:ind w:left="780" w:hanging="780"/>
        <w:contextualSpacing/>
        <w:outlineLvl w:val="1"/>
        <w:rPr>
          <w:rFonts w:cs="Calibri"/>
          <w:b/>
          <w:bCs/>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01" w:name="_Toc396909024"/>
      <w:bookmarkStart w:id="302" w:name="_Toc396573720"/>
      <w:bookmarkStart w:id="303" w:name="_Toc399626125"/>
      <w:bookmarkEnd w:id="301"/>
      <w:r w:rsidRPr="00B53423">
        <w:rPr>
          <w:caps/>
        </w:rPr>
        <w:t>Encouraging Renewable Energy</w:t>
      </w:r>
      <w:bookmarkEnd w:id="302"/>
      <w:bookmarkEnd w:id="303"/>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26"/>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Avadhesh Kumar Verma, Chairman, Uttar Pradesh Rajya Vidyut Upbhoktha Parishad (UPRVUP) submitted that there is demand-supply gap in the State and, therefore, the electricity generation from renewable energy sources should be encouraged. In this regard, he suggested the Commission that for certain range of consumers, solar panel should be made compulsory beyond a certain norm fixed for power consumption. Further, Mr. Dhanush Vir Singh (General Manager of M/s Bennett Coleman &amp; Co Ltd., Times of India Group) suggested that incentives may be provided for use of solar energy.</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D. S. Verma (Executive Director, Indian Industries Association) requested the Commission that any consumer installing solar systems may be given rebate on fixed charges equivalent to the kW of solar systems installed. He further suggested that a system of net metering may be introduced and the equipment required to do so should be provided by the Govt. of U.P. / UPPCL. He added that such provisions in Tariff will solve the dual advantage of easing out power shortage problems at a nominal cost and maintaining clean environment.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Rama Shankar Awasthi suggested that the Commission should give rebate in fixed charges / demand charges if any consumer installs roof top solar plant in their premises. He further added that this rebate will also be given in terms of energy charges, as provided by Government of Karnataka in its State.</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15232B">
      <w:pPr>
        <w:numPr>
          <w:ilvl w:val="0"/>
          <w:numId w:val="26"/>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With regard to making solar panel compulsory, the Petitioner submitted that the works regarding solar panel comes under the purview of NEDA. The Licensees submitted that they are not responsible for any such works regarding solar panels.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Petitioner submitted that it is a Distribution Licensee and it is not in a position to provide incentives for use of solar energy. However, as part of RPO, it only procures solar energy.</w:t>
      </w:r>
    </w:p>
    <w:p w:rsidR="002A1F3B" w:rsidRPr="00B53423" w:rsidRDefault="002A1F3B" w:rsidP="0015232B">
      <w:pPr>
        <w:spacing w:line="312" w:lineRule="auto"/>
        <w:ind w:left="360"/>
        <w:contextualSpacing/>
        <w:rPr>
          <w:b/>
          <w:i/>
        </w:rPr>
      </w:pPr>
    </w:p>
    <w:p w:rsidR="002A1F3B" w:rsidRPr="00B53423" w:rsidRDefault="002A1F3B" w:rsidP="0015232B">
      <w:pPr>
        <w:numPr>
          <w:ilvl w:val="0"/>
          <w:numId w:val="26"/>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taken of the objections / suggestions made by the stakeholders in this regards. The Commission is of the view that use of renewable sources at the consumer level must be encouraged. This is essential given the power shortages being faced in the State. In view of this, to begin with, the Commission has introduces a rebate on the monthly bill for all consumers using solar water heaters as detailed further in Rate Schedule. </w:t>
      </w:r>
    </w:p>
    <w:p w:rsidR="002A1F3B" w:rsidRPr="00B53423" w:rsidRDefault="002A1F3B" w:rsidP="0015232B">
      <w:pPr>
        <w:pStyle w:val="ListParagraph"/>
        <w:spacing w:before="0" w:line="312" w:lineRule="auto"/>
        <w:ind w:left="180"/>
        <w:contextualSpacing/>
      </w:pP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04" w:name="_Toc396573721"/>
      <w:bookmarkStart w:id="305" w:name="_Toc399626126"/>
      <w:r w:rsidRPr="00B53423">
        <w:rPr>
          <w:caps/>
        </w:rPr>
        <w:t>Line Losses and T&amp;D Losses</w:t>
      </w:r>
      <w:bookmarkEnd w:id="304"/>
      <w:bookmarkEnd w:id="305"/>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27"/>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Avadhesh Kumar Verma, Chairman, Uttar Pradesh Rajya Vidyut Upbhoktha Parishad (UPRVUP) submitted that at present there are line losses of more than 35%. He contended that the major reason behind power theft is the difficulty in getting power connection as a result of which such consumers opt for power theft. He suggested that in view of the above, the procedure of getting a new electricity connection should be made easier so that consumers will be able to get new electricity connection without much difficulty which will result is reduction of power theft.</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representatives of Lucknow Jan Kalyan Mahamanch (including Mr. Pitambar Bhatt), Mr. J. K. Jain of U.P. Govt. Pensioners Association, Ghaziabad and the representatives of Federation of Noida Residents Welfare Association (including Mr. N. P. Singh), Lt. CDR (Retd) G.C. Shrivastava, Mr. Sharad Jaipuria of PHD Chamber and Mr. Ajay Verma submitted that power theft should be reduced and strict actions should be taken against the people involved in power theft.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Saurabh Sanyal, Executive Director, Progress Harmony Development (PHD) Chamber and Mr. Yogesh Baweja of M/s Raunaq Automotive Components Ltd. submitted that UPPCL has estimated losses of 26.15%, which is very much higher when compared to the national average. He submitted that certain States in the country have losses between 20-22%. He further submitted that UPPCL should initiate actions and put proper institutional mechanism in place to check the power theft so that the Tariff hike burden is not imposed on consumers, who pay timely bills. They further contended that UPPCL should focus on reduction in power losses that is occurring due to technical reasons / power theft.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Shyamdev Ray Chaudhry (Dada), Mr. S. B. Agrawal, General Secretary of Associated Chambers of Commerce &amp; Industry of U.P, Mr. Mukesh Agarwal, Sikandra Factory Owner’s Association of Agra, Mr. Ashok Tyagi of Bhartiya Janta Party, Meerut and Mr. Manish Agarwal of National Chamber of Industries &amp; Commerce submitted that functional efficiency of Distribution Licensees should be improved in respect of improving high line losses and preventing thefts and pilferages of power.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representatives (including Mr. Babu Lal Singhal) of Lohiavadi Vichaar Munch suggested that the line losses could be improved by the following ways:</w:t>
      </w:r>
    </w:p>
    <w:p w:rsidR="002A1F3B" w:rsidRPr="00B53423" w:rsidRDefault="002A1F3B" w:rsidP="000174C0">
      <w:pPr>
        <w:pStyle w:val="ListParagraph"/>
        <w:numPr>
          <w:ilvl w:val="0"/>
          <w:numId w:val="68"/>
        </w:numPr>
        <w:ind w:left="1800"/>
      </w:pPr>
      <w:r w:rsidRPr="00B53423">
        <w:t xml:space="preserve">Computerized meters should be installed at the premises of the electricity departmental employees (both working and retired). Accordingly, they should be billed with some subsidy in Tariff. </w:t>
      </w:r>
    </w:p>
    <w:p w:rsidR="002A1F3B" w:rsidRPr="00B53423" w:rsidRDefault="002A1F3B" w:rsidP="000174C0">
      <w:pPr>
        <w:pStyle w:val="ListParagraph"/>
        <w:numPr>
          <w:ilvl w:val="0"/>
          <w:numId w:val="68"/>
        </w:numPr>
        <w:ind w:left="1800"/>
      </w:pPr>
      <w:r w:rsidRPr="00B53423">
        <w:t xml:space="preserve">The excessive number of street lights in towns / cities should be reduced. This will reduce the excessive electricity wastage. </w:t>
      </w:r>
    </w:p>
    <w:p w:rsidR="002A1F3B" w:rsidRPr="00B53423" w:rsidRDefault="002A1F3B" w:rsidP="000174C0">
      <w:pPr>
        <w:pStyle w:val="ListParagraph"/>
        <w:numPr>
          <w:ilvl w:val="0"/>
          <w:numId w:val="68"/>
        </w:numPr>
        <w:ind w:left="1800"/>
      </w:pPr>
      <w:r w:rsidRPr="00B53423">
        <w:t>Power theft should be reduced.</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Akhilesh Saksena of Lucknow submitted that free electricity supply should not be provided to the electricity departmental employees (both working and retired). Free electricity may be provided on limited number of units. The limit of number of units for free supply shall be on the basis of designation of the electricity departmental employees. Further, clarification should be provided regarding the poor revenue realization from the govt. departments.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representatives of Confederation of NCR Residents Welfare Associations ((including Mr. P. S. Jain) submitted that line losses represent the inefficient manpower of Licensees. Therefore, there should be audit of such high line losses.  They further submitted that since Noida and Ghaziabad have less line losses, therefore, electricity Tariff for such areas should be reduced.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representatives of Shramik Basti Sewa Samiti (including Mr. M. Ahmed) submitted that no steps have been taken by the Licensees for reducing the line losses. In this regard, he suggested the Commission not to approve the ARR of the Licensees if the line losses are more than 15%.</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R. K. Jain, Secretary, Western U. P. Chamber of Commerce and Industry, Bombay Bazar, Meerut Cantt. </w:t>
      </w:r>
      <w:proofErr w:type="gramStart"/>
      <w:r w:rsidRPr="00B53423">
        <w:t>submitted</w:t>
      </w:r>
      <w:proofErr w:type="gramEnd"/>
      <w:r w:rsidRPr="00B53423">
        <w:t xml:space="preserve"> that there is no scientific method to work out line (energy) losses, if some billing data is missing and in case there is genuine mistake it should be mentioned. He further submitted that the Licensees are religiously giving trajectories of reduction of line losses in future which have increased over the years rather than decreasing. He submitted that the actual total losses are still about 50% as some thefts are still going on undetected and about 7% consumers do not appear on record and still no effort has been done by any of the Licensee to reduce line losses to the desired level as per directions of the Commission. He added that there are heavy transmission losses which are mainly responsible for the overall losses and these line losses should be reduced to 15%.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Magta Singh, Mr. Rajiv Goyal and Mr. D. S. Verma (Executive Director, Indian Industries Association) submitted that the unmetered supply of electricity is the major reason behind the high line losses and this should be stopped. Further, Mr. Magta Singh submitted that electricity saving should be encouraged.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Saurabh Sanyal of PHD Chambers submitted that the Licensees should focus on reduction in power losses that are occurring due to technical reasons / power theft. Mr. D. S. Verma (Executive Director, Indian Industries Association) requested the Commission to take strict actions against heavy T&amp;D losses.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Vishnu Bhagwan Agarwal of M/s The Popular Cycle Mfg. Co. (Pvt.) Ltd. suggested that the metered power supply should be made mandatory and where ever the policy calls for any unmetered or free supply, the cost of electricity consumed should be reimbursed. He submitted that this will discourage wastage, misuse and diversification making enormous energy available. He further suggested that all the sub-stations to the point of 11 kVA transformer should be metered so that the leakages can be detected. He also suggested that the Distribution Licensees should provide data of losses on big sub-stations, so that the revenue losing sub-stations could be checked which will help in reduction in distribution losses and accountability. He further submitted that miscellaneous income like penalty, assessment of theft cases are kept by the Licensees and ultimately consumed by book transfer and not paid to GoUP. He further suggested that honest consumers should be encouraged by restoring Clause 9 of earlier Tariff of providing 5% discount to LMV-6 and HV consumers where the difference between pole meter and billing meter is less than 2% as abolition of this facility will only encourage theft.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K. L. Aggarwal, Chairman, Associated Chambers of Commerce &amp; Industry of U. P. submitted that line losses figures are very likely to be tampered / manipulated by the Distribution Licensees and there is an urgent need to identify feeder / division wise theft for accountability. He further submitted that the data related to the line losses submitted by Licensees should be approved by an outside independent agency duly appointed by the Commission. He also suggested that accountability of related officers responsible for such line losses under their control must be fixed.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Rupak Gautam, Energy Controller, Indus Tower Ltd. submitted that the distribution losses for the state of Uttar Pradesh are the highest in the country. He submitted that the inability of the power distribution utilities to reduce and control their power distribution losses have resulted in consumers being penalized by paying for excess power procured. In this regards, he requested the Commission to direct the Licensees to come up with a plan to decrease the power distribution losses in Uttar Pradesh.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Anil Rathi of Associated Chambers of Commerce &amp; Industries submitted that the losses % for the last six years continues to be above 26% which clearly shows that there is no desire in PVVNL to reduce the losses as the Commission continuously accepts these losses and adjust Tariff accordingly. He further submitted that according to the Petition of PVVNL, it has a revenue gap of Rs. 1157.57 Crore and at an average sale price of Rs 5.28 per </w:t>
      </w:r>
      <w:proofErr w:type="gramStart"/>
      <w:r w:rsidRPr="00B53423">
        <w:t>unit,</w:t>
      </w:r>
      <w:proofErr w:type="gramEnd"/>
      <w:r w:rsidRPr="00B53423">
        <w:t xml:space="preserve"> this translates to 2192.36 MU against losses of 7323 MU. He further added that considering the above, PVVNL will be able to achieve breakeven at existing Tariff of average Rs 5.28 / unit by bringing down the line losses from the existing level of 26.68% to a level of 18.6%.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representatives of Bhartiya Janta Party, Agra suggested the Commission that the time of power supply should be increased in the area of high revenue realization, whereas, it should be reduced in the area of poor revenue realization.</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Dr. Pradeep Kumar Garg of Agra submitted that the honest consumers should not be burdened for the recovery of revenue deficit which is due to theft of huge amount electricity and due to failure to recover very huge arrear dues. He contended that an honest consumer is neither involved in it nor is he officially responsible for prevention of the theft and recovery of arrear dues while at the other hand in Petition No. 01 of 1999, UPPCL has itself accepted the existence of Katiya connection / theft of the electricity, non payment of arrear dues.</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numPr>
          <w:ilvl w:val="0"/>
          <w:numId w:val="27"/>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As regards the contention raised by Uttar Pradesh Rajya Vidyut Upbhoktha Parishad (UPRVUP), the Licensees submitted that under R-APDRP scheme successful efforts are being made for reduction in line losses and stop power theft for which drives are being conducted wherein departmental / vigilance teams are conducting raids. The Licensees further submitted that drive has been started from 1</w:t>
      </w:r>
      <w:r w:rsidRPr="00B53423">
        <w:rPr>
          <w:vertAlign w:val="superscript"/>
        </w:rPr>
        <w:t>st</w:t>
      </w:r>
      <w:r w:rsidRPr="00B53423">
        <w:t xml:space="preserve"> July, 2014 for checking of power theft, providing new connection and replacement of defective meters in 168 cities of UP identified under R-APDRP.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Licensees further submitted that it has planned and proposed a gradual reduction in distribution losses up to FY 2021-22 in line with the directives of the Ministry of Power, Govt. of India and all efforts are being made to reduce the losses as the same is beneficial to the utility as well. The Licensees submitted that Tariff revision exercise is done on the basis of assumption of loss level. The Licensees in its reply further submitted that it may be noted that when losses are assumed on lower side then Tariff will automatically be lesser and hence loss level projection is not against the interest of the consumers.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Licensees replied that although the infrastructure is sufficient to cater for supply to all consumers, however to cater for future growth, action is being taken for addition of matching infrastructure. The Licensees submitted that the Commission has already issued directions to the Licensees to initiate base line loss estimation studies for assessment of technical and commercial losses and they shall be appointing consulting firms for undertaking the said studies.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Licensees submitted that they have adopted the following measures to prevent theft of electricity:</w:t>
      </w:r>
    </w:p>
    <w:p w:rsidR="002A1F3B" w:rsidRPr="00B53423" w:rsidRDefault="002A1F3B" w:rsidP="000174C0">
      <w:pPr>
        <w:pStyle w:val="ListParagraph"/>
        <w:numPr>
          <w:ilvl w:val="0"/>
          <w:numId w:val="67"/>
        </w:numPr>
        <w:spacing w:before="0" w:line="312" w:lineRule="auto"/>
        <w:ind w:left="1620"/>
        <w:contextualSpacing/>
      </w:pPr>
      <w:r w:rsidRPr="00B53423">
        <w:t>For proper accounting of energy and reducing chances of theft, double metering system is being implemented and is yielding encouraging results.</w:t>
      </w:r>
    </w:p>
    <w:p w:rsidR="002A1F3B" w:rsidRPr="00B53423" w:rsidRDefault="002A1F3B" w:rsidP="000174C0">
      <w:pPr>
        <w:pStyle w:val="ListParagraph"/>
        <w:numPr>
          <w:ilvl w:val="0"/>
          <w:numId w:val="67"/>
        </w:numPr>
        <w:spacing w:before="0" w:line="312" w:lineRule="auto"/>
        <w:ind w:left="1620"/>
        <w:contextualSpacing/>
      </w:pPr>
      <w:r w:rsidRPr="00B53423">
        <w:t>For speedy redressal of consumer grievances, call centres have been established and control rooms have been set up.</w:t>
      </w:r>
    </w:p>
    <w:p w:rsidR="002A1F3B" w:rsidRPr="00B53423" w:rsidRDefault="002A1F3B" w:rsidP="000174C0">
      <w:pPr>
        <w:pStyle w:val="ListParagraph"/>
        <w:numPr>
          <w:ilvl w:val="0"/>
          <w:numId w:val="67"/>
        </w:numPr>
        <w:spacing w:before="0" w:line="312" w:lineRule="auto"/>
        <w:ind w:left="1620"/>
        <w:contextualSpacing/>
      </w:pPr>
      <w:r w:rsidRPr="00B53423">
        <w:t>In all theft prone areas, overhead conductors are being replaced with ABC (Aerial Bunched Conductor). This has helped in the reduction of line losses and break-downs and has resulted in better quality of supply and consumer satisfaction.</w:t>
      </w:r>
    </w:p>
    <w:p w:rsidR="002A1F3B" w:rsidRPr="00B53423" w:rsidRDefault="002A1F3B" w:rsidP="000174C0">
      <w:pPr>
        <w:pStyle w:val="ListParagraph"/>
        <w:numPr>
          <w:ilvl w:val="0"/>
          <w:numId w:val="67"/>
        </w:numPr>
        <w:spacing w:before="0" w:line="312" w:lineRule="auto"/>
        <w:ind w:left="1620"/>
        <w:contextualSpacing/>
      </w:pPr>
      <w:r w:rsidRPr="00B53423">
        <w:t>Provision of periodic checking of all static and tri-vector meters installed in high value consumers premises.</w:t>
      </w:r>
    </w:p>
    <w:p w:rsidR="002A1F3B" w:rsidRPr="00B53423" w:rsidRDefault="002A1F3B" w:rsidP="000174C0">
      <w:pPr>
        <w:pStyle w:val="ListParagraph"/>
        <w:numPr>
          <w:ilvl w:val="0"/>
          <w:numId w:val="67"/>
        </w:numPr>
        <w:spacing w:before="0" w:line="312" w:lineRule="auto"/>
        <w:ind w:left="1620"/>
        <w:contextualSpacing/>
      </w:pPr>
      <w:r w:rsidRPr="00B53423">
        <w:t>Special drive to check the cases of theft / unauthorized use of electricity / checking of excess load being carried out in different distribution divisions by officers of the licensees.</w:t>
      </w:r>
    </w:p>
    <w:p w:rsidR="002A1F3B" w:rsidRPr="00B53423" w:rsidRDefault="002A1F3B" w:rsidP="000174C0">
      <w:pPr>
        <w:pStyle w:val="ListParagraph"/>
        <w:numPr>
          <w:ilvl w:val="0"/>
          <w:numId w:val="67"/>
        </w:numPr>
        <w:spacing w:before="0" w:line="312" w:lineRule="auto"/>
        <w:ind w:left="1620"/>
        <w:contextualSpacing/>
      </w:pPr>
      <w:r w:rsidRPr="00B53423">
        <w:t>Special team of departmental engineers and Vigilance teams comprising of licensee's officers and Police personnel's have been formed in each circle. With these teams surprise raids are conducted to check theft of energy / katiya connections.</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As regards the contention raised by Mr. R. K. Jain regarding deviation in T&amp;D losses in different filings, the Petitioner submitted that Mr. Jain has referred to different Petitions when audited data was not available. However, now the ARR and Tariff Petitions for FY 2014-15 have been filed along wit</w:t>
      </w:r>
      <w:r w:rsidRPr="00B53423">
        <w:rPr>
          <w:bCs w:val="0"/>
        </w:rPr>
        <w:t>h Audited Accounts upto FY 2012-13. The figures are authenticated by the statutory auditor and by CAG. Also, the Commission conducts a strict prudence check and analyses the su</w:t>
      </w:r>
      <w:r w:rsidRPr="00B53423">
        <w:t>bmissions of the licensees before approving any Order.</w:t>
      </w:r>
    </w:p>
    <w:p w:rsidR="002A1F3B" w:rsidRPr="00B53423" w:rsidRDefault="002A1F3B" w:rsidP="0015232B">
      <w:pPr>
        <w:pStyle w:val="ListParagraph"/>
        <w:spacing w:before="0" w:line="312" w:lineRule="auto"/>
        <w:ind w:left="180"/>
        <w:contextualSpacing/>
      </w:pPr>
    </w:p>
    <w:p w:rsidR="002A1F3B" w:rsidRPr="00B53423" w:rsidRDefault="002A1F3B" w:rsidP="0015232B">
      <w:pPr>
        <w:numPr>
          <w:ilvl w:val="0"/>
          <w:numId w:val="27"/>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recognises the fact that the Licensee has been taking measures to reduce T&amp;D losses by implementing schemes such as laying Aerial Bunch Conductors (ABC), APDRP, R-APDRP, etc., but these efforts are yet to yield satisfactory results. On the aspect of T&amp;D losses, the Licensee should undertake necessary strengthening and R&amp;M of the distribution networks to reduce losses which would result in higher availability of power for sale to consumers.</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In this regard, the Commission vide its Letter No. UPERC/Secy./</w:t>
      </w:r>
      <w:proofErr w:type="gramStart"/>
      <w:r w:rsidRPr="00B53423">
        <w:t>D(</w:t>
      </w:r>
      <w:proofErr w:type="gramEnd"/>
      <w:r w:rsidRPr="00B53423">
        <w:t>Tariff)/13-074 dated 11</w:t>
      </w:r>
      <w:r w:rsidRPr="00B53423">
        <w:rPr>
          <w:vertAlign w:val="superscript"/>
        </w:rPr>
        <w:t>th</w:t>
      </w:r>
      <w:r w:rsidRPr="00B53423">
        <w:t xml:space="preserve"> April, 2013 to the Licensee and Tariff Order dated 31</w:t>
      </w:r>
      <w:r w:rsidRPr="00B53423">
        <w:rPr>
          <w:vertAlign w:val="superscript"/>
        </w:rPr>
        <w:t>st</w:t>
      </w:r>
      <w:r w:rsidRPr="00B53423">
        <w:t xml:space="preserve"> May, 2013 had directed the Licensee to conduct the base line loss estimation studies for assessment of technical and commercial losses. As discussed in subsequent chapters of this Order the Licensees submitted that M/s PFC Consulting Ltd. has been appointed to draft a strategy paper for the turnaround of the Distribution Licensees, which covers the voltage wise loss studies. </w:t>
      </w:r>
      <w:r w:rsidRPr="00B53423">
        <w:rPr>
          <w:b/>
        </w:rPr>
        <w:t>The Commission stresses that the Distribution Licensees may act speedily upon the directives and report the status on a regular monthly basis to the Commission as losses play a very crucial role in the entire process</w:t>
      </w:r>
      <w:r w:rsidRPr="00B53423">
        <w:t>.</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06" w:name="_Toc396573722"/>
      <w:bookmarkStart w:id="307" w:name="_Toc399626127"/>
      <w:r w:rsidRPr="00B53423">
        <w:rPr>
          <w:caps/>
        </w:rPr>
        <w:t>Infrastructure</w:t>
      </w:r>
      <w:bookmarkEnd w:id="306"/>
      <w:bookmarkEnd w:id="307"/>
      <w:r w:rsidRPr="00B53423">
        <w:rPr>
          <w:caps/>
        </w:rPr>
        <w:t xml:space="preserve"> </w:t>
      </w:r>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73"/>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R. K. Jain, Secretary, Western U. P. Chamber of Commerce and Industry, Bombay Bazar, Meerut Cantt submitted that the Distribution Licensees spend crores of rupees in procuring different material but quality of materials procured is of poor quality.</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Rakesh Goel, President of Samarpan Sankalp Samiti submitted that consumers are suffering due to poor power supply in terms of under voltage, high voltage, frequency variations and frequent interruptions. He contended that the Licensees have failed to install and maintain an efficient distribution network which results in high line and transformer losses. He further submitted that lack of transformer maintenance (including checking, oil quantity and breakdown strength) and non existence/failure of protection devices leads to unacceptable transformer failures and the consumer is not liable to pay higher Tariff for such callous, indifferent and negligent practices of the Licensee. They also complained that the consumer services are non-existent.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Rajiv Goyal submitted that the distribution organisation structure and appraisal system of the Licensees’ are too orthodox to handle the day-to-day problems. He submitted that there is virtually a non-IT organisation at division level and immediate implementation of full ERP with process re-engineering is a must for increasing efficiency and customer facilitation of the Licensees. He further added that Profit Centre Concept should be introduced in which each division may be declared as Profit Centre.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Shamshudoha Ansari of Varanasi submitted that Arial Bunch conductors should be replaced with overhead lines.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K. S. Parmar, Pramukh Sachiv of Upbhokta Kalyan Parishad submitted that social audit should be conducted to check the poor quality equipments that do not match with the BIS standards.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representatives of Bhartiya Kisan Union, Aligarh submitted that there should be transparent tendering process for installing electricity lines and other equipments.</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0174C0">
      <w:pPr>
        <w:numPr>
          <w:ilvl w:val="0"/>
          <w:numId w:val="73"/>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With regard to the consumer services, the Licensee submitted that it has undertaken a slew of e-govern</w:t>
      </w:r>
      <w:r w:rsidRPr="00B53423">
        <w:rPr>
          <w:bCs w:val="0"/>
        </w:rPr>
        <w:t xml:space="preserve">ance initiatives which are aimed at higher revenue realization, better consumer satisfaction and maintaining the highest standard of professionalism and ethics in the </w:t>
      </w:r>
      <w:r w:rsidRPr="00B53423">
        <w:t>organization</w:t>
      </w:r>
      <w:r w:rsidRPr="00B53423">
        <w:rPr>
          <w:bCs w:val="0"/>
        </w:rPr>
        <w:t>. Some of the initiatives are: M-Dhristi, online bill payment, payment through mobile phones, Interactive Voice Response System (IVRS), SMS based payment solution, payment</w:t>
      </w:r>
      <w:r w:rsidRPr="00B53423">
        <w:t xml:space="preserve"> through ATM, launch of initiative Urja Mitra, KESCO Priority Card, 24x7 dedicated call centre, etc. </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73"/>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taken note of the above objections / suggestions made by the stakeholders in this regards.  The Commission appreciates the initiatives taken by the Licensee. The Commission is of the view that all the above mentioned initiatives should not only be the kept as initiatives but the works regarding the same may also be completed at the earliest so that the benefit of the same can be passed on to the consumers.  </w:t>
      </w:r>
    </w:p>
    <w:p w:rsidR="002A1F3B" w:rsidRPr="00B53423" w:rsidRDefault="002A1F3B" w:rsidP="0015232B">
      <w:pPr>
        <w:numPr>
          <w:ilvl w:val="2"/>
          <w:numId w:val="0"/>
        </w:numPr>
        <w:tabs>
          <w:tab w:val="num" w:pos="993"/>
        </w:tabs>
        <w:spacing w:line="312" w:lineRule="auto"/>
        <w:ind w:left="993" w:hanging="993"/>
        <w:contextualSpacing/>
        <w:outlineLvl w:val="2"/>
        <w:rPr>
          <w:caps/>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08" w:name="_Toc396573723"/>
      <w:bookmarkStart w:id="309" w:name="_Toc399626128"/>
      <w:r w:rsidRPr="00B53423">
        <w:rPr>
          <w:caps/>
        </w:rPr>
        <w:t>IMPROPER BEHAVIOUR OF THE EMPLOYEES</w:t>
      </w:r>
      <w:bookmarkEnd w:id="308"/>
      <w:bookmarkEnd w:id="309"/>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40"/>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Some of t</w:t>
      </w:r>
      <w:r w:rsidRPr="00B53423">
        <w:rPr>
          <w:bCs w:val="0"/>
        </w:rPr>
        <w:t>he stakeholders submitted that some of the linemen are indulged in malpractices and harass the consumers. He contended that the consumer services should be improved by the Licensees. While other stakeholders have objected that a lot of corruption is prevailing amongst the employees of UPPCL. The stakeholders submitted that if the consumers approach the employees with some grievance neither the employees behave properly with the consumers nor do they allow them to meet the senior officials with regards to their complaints. They submitted that in case the senior officials would meet the consumers many of the is</w:t>
      </w:r>
      <w:r w:rsidRPr="00B53423">
        <w:t>sues can be solved without even going to the CGRF.</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40"/>
        </w:numPr>
        <w:spacing w:before="0" w:line="312" w:lineRule="auto"/>
        <w:contextualSpacing/>
        <w:rPr>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w:t>
      </w:r>
      <w:r w:rsidRPr="00B53423">
        <w:rPr>
          <w:bCs w:val="0"/>
        </w:rPr>
        <w:t>Licensees</w:t>
      </w:r>
      <w:r w:rsidRPr="00B53423">
        <w:t xml:space="preserve"> during the hearing has agreed to develop a mechanism wherein quarterly meetings between the MDs of the Licensees shall meet the consumer representatives and discuss the grievances of the consumers.</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40"/>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taken note of the objections / suggestions made by the stakeholders in this regards. The Commission appreciates the endeavours of the </w:t>
      </w:r>
      <w:r w:rsidRPr="00B53423">
        <w:rPr>
          <w:b/>
        </w:rPr>
        <w:t xml:space="preserve">Licensees and furthers directs </w:t>
      </w:r>
      <w:r w:rsidRPr="00B53423">
        <w:rPr>
          <w:b/>
          <w:bCs w:val="0"/>
        </w:rPr>
        <w:t>the</w:t>
      </w:r>
      <w:r w:rsidRPr="00B53423">
        <w:rPr>
          <w:b/>
        </w:rPr>
        <w:t xml:space="preserve"> Licensees to implement the above suggestion and arrange for quarterly meetings between the MDs of the Licensees and the consumer representatives</w:t>
      </w:r>
      <w:r w:rsidRPr="00B53423">
        <w:t>.</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10" w:name="_Toc396573724"/>
      <w:bookmarkStart w:id="311" w:name="_Toc399626129"/>
      <w:r w:rsidRPr="00B53423">
        <w:rPr>
          <w:caps/>
        </w:rPr>
        <w:t>Additional Subsidy</w:t>
      </w:r>
      <w:bookmarkEnd w:id="310"/>
      <w:bookmarkEnd w:id="311"/>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40"/>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Avadhesh Kumar Verma, Chairman, Uttar Pradesh Rajya Vidyut Upbhoktha Parishad (UPRVUP) submitted that in Truing-up for FY 2007-08, the Power Distribution Companies had to </w:t>
      </w:r>
      <w:r w:rsidRPr="00B53423">
        <w:rPr>
          <w:bCs w:val="0"/>
        </w:rPr>
        <w:t>recover</w:t>
      </w:r>
      <w:r w:rsidRPr="00B53423">
        <w:t xml:space="preserve"> the additional subsidy of Rs 1,119 Crore from State Govt. In this regard, clarification should be provided.      </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0174C0">
      <w:pPr>
        <w:numPr>
          <w:ilvl w:val="0"/>
          <w:numId w:val="40"/>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In this </w:t>
      </w:r>
      <w:r w:rsidRPr="00B53423">
        <w:rPr>
          <w:bCs w:val="0"/>
        </w:rPr>
        <w:t>regard</w:t>
      </w:r>
      <w:r w:rsidRPr="00B53423">
        <w:t xml:space="preserve">, the Petitioner submitted that the issue is not related to ARR for FY 2014-15. </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40"/>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It may be noted that the Commission had approved an additional subsidy of Rs.  1086.11 Crore for FY 2007-08 in its Order dated 21</w:t>
      </w:r>
      <w:r w:rsidRPr="00B53423">
        <w:rPr>
          <w:vertAlign w:val="superscript"/>
        </w:rPr>
        <w:t>st</w:t>
      </w:r>
      <w:r w:rsidRPr="00B53423">
        <w:t xml:space="preserve"> May, 2013. However, the Licensees have filed an Appeal on the issue before the Hon’ble ATE. Since, the matter is sub-judice before the Hon’ble </w:t>
      </w:r>
      <w:proofErr w:type="gramStart"/>
      <w:r w:rsidRPr="00B53423">
        <w:t>ATE,</w:t>
      </w:r>
      <w:proofErr w:type="gramEnd"/>
      <w:r w:rsidRPr="00B53423">
        <w:t xml:space="preserve"> the Commission opines that it will be not be appropriate to comment on the same in the present Order.   </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12" w:name="_Toc396573725"/>
      <w:bookmarkStart w:id="313" w:name="_Toc399626130"/>
      <w:r w:rsidRPr="00B53423">
        <w:rPr>
          <w:caps/>
        </w:rPr>
        <w:t>Financial Restructuring Plan (FRP)</w:t>
      </w:r>
      <w:bookmarkEnd w:id="312"/>
      <w:bookmarkEnd w:id="313"/>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29"/>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Avadhesh Kumar Verma, Chairman, Uttar Pradesh Rajya Vidyut Upbhoktha Parishad (</w:t>
      </w:r>
      <w:r w:rsidRPr="00B53423">
        <w:rPr>
          <w:bCs w:val="0"/>
        </w:rPr>
        <w:t>UPRVUP</w:t>
      </w:r>
      <w:r w:rsidRPr="00B53423">
        <w:t xml:space="preserve">) submitted that under FRP, GoUP had to provide subsidy of Rs. 4,725 Crore to Power Companies. He asked the Licensees to submit a detailed report with clarification on the subsidy received and utilised by them.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He further submitted that under FRP, the Licensees had to reduce the line losses by 5% in FY 2013-14. However, the line losses were reduced by 2.5% in FY 2013-14, due to which, there was a </w:t>
      </w:r>
      <w:r w:rsidRPr="00B53423">
        <w:rPr>
          <w:bCs w:val="0"/>
        </w:rPr>
        <w:t>gain</w:t>
      </w:r>
      <w:r w:rsidRPr="00B53423">
        <w:t xml:space="preserve"> of Rs. 1100 Crore to the Licensees. He requested the Commission that this gain should be passed on to consumers with no Tariff hike.  </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15232B">
      <w:pPr>
        <w:numPr>
          <w:ilvl w:val="0"/>
          <w:numId w:val="29"/>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Licensees submitted that the Commission approves the ARR on the basis of normative parameters in accordance with the Distribution Tariff Regulations, 2006 while the True-up is done on the basis of actual Audited Accounts. The Licensees further submitted that the benefits due to higher reduction in line losses in the True-up of FY 2013-14 could be possible on the </w:t>
      </w:r>
      <w:r w:rsidRPr="00B53423">
        <w:rPr>
          <w:bCs w:val="0"/>
        </w:rPr>
        <w:t>availability</w:t>
      </w:r>
      <w:r w:rsidRPr="00B53423">
        <w:t xml:space="preserve"> of Audited Accounts for FY 2013-14. </w:t>
      </w:r>
    </w:p>
    <w:p w:rsidR="002A1F3B" w:rsidRPr="00B53423" w:rsidRDefault="002A1F3B" w:rsidP="0015232B">
      <w:pPr>
        <w:spacing w:line="312" w:lineRule="auto"/>
        <w:ind w:left="360"/>
        <w:contextualSpacing/>
        <w:rPr>
          <w:b/>
          <w:i/>
        </w:rPr>
      </w:pPr>
    </w:p>
    <w:p w:rsidR="002A1F3B" w:rsidRPr="00B53423" w:rsidRDefault="002A1F3B" w:rsidP="0015232B">
      <w:pPr>
        <w:numPr>
          <w:ilvl w:val="0"/>
          <w:numId w:val="29"/>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provided its ‘In-Principle Approval’ to the FRP vide letter dated 19th March, 2013. However, while providing the ‘In-Principle Approval’, the Commission has laid a condition that the ARR and Tariff would be determined by it, based on the Regulations framed by the Commission from time to time. Further, the Commission has taken into </w:t>
      </w:r>
      <w:r w:rsidRPr="00B53423">
        <w:rPr>
          <w:bCs w:val="0"/>
        </w:rPr>
        <w:t>consideration</w:t>
      </w:r>
      <w:r w:rsidRPr="00B53423">
        <w:t xml:space="preserve"> different sets o</w:t>
      </w:r>
      <w:r w:rsidR="00D03E0E" w:rsidRPr="00B53423">
        <w:t>f</w:t>
      </w:r>
      <w:r w:rsidRPr="00B53423">
        <w:t xml:space="preserve"> data for losses submitted while approving the distribution losses for FY 2014-15. The details of the same have been discussed in Chapter on Annual Revenue Requirement for FY 2014-15.</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14" w:name="_Toc396573726"/>
      <w:bookmarkStart w:id="315" w:name="_Toc399626131"/>
      <w:r w:rsidRPr="00B53423">
        <w:rPr>
          <w:caps/>
        </w:rPr>
        <w:t>Energy and Tariff Hike</w:t>
      </w:r>
      <w:bookmarkEnd w:id="314"/>
      <w:bookmarkEnd w:id="315"/>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30"/>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Avadhesh Kumar Verma, Chairman, Uttar Pradesh Rajya Vidyut Upbhoktha Parishad (UPRVUP) submitted that there was the energy hike of 5% in FY 2010-11, 11%  in FY 2011-12, 5% in FY 2012-13 and 7%  in FY 2013-14. He asked the Licensees to provide the details regarding the percentage of revenue recovered due to energy and Tariff hikes. He further contend</w:t>
      </w:r>
      <w:r w:rsidRPr="00B53423">
        <w:rPr>
          <w:bCs w:val="0"/>
        </w:rPr>
        <w:t>ed that the Uttar Pradesh Upbhokta Parishad had raised various issues on Tariff hike in the 14</w:t>
      </w:r>
      <w:r w:rsidR="004D0378" w:rsidRPr="00B53423">
        <w:rPr>
          <w:bCs w:val="0"/>
          <w:vertAlign w:val="superscript"/>
        </w:rPr>
        <w:t>th</w:t>
      </w:r>
      <w:r w:rsidRPr="00B53423">
        <w:rPr>
          <w:bCs w:val="0"/>
        </w:rPr>
        <w:t xml:space="preserve"> State Advisory Committee meeting and the Commission had asked the Licensees to submit a report on the same issues within 15 days, however, the Licensees have not provide any such report.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Saurabh Sanyal, Executive Director, Progress Harmony Development (PHD) Chamber and Mr. Yogesh Baweja of M/s Raunaq Automotive Components Ltd. submitted that UPPCL had increased the Tariff by almost 46% to Industrial Users in 2012. He further submitted that as on date power Tariff for Industrial consumption in UP is highest in India and any further hike in Tariff will invariably put industrial users to further hardships.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He further added that the losses has been estimated to be 26.15%, which is very much high as compared to national average. He suggested that the Licensees should initiate actions and put proper institutional mechanism in place to check the power theft so that the Tariff hike burden should not be imposed on to the honest consumers who pay timely bills.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The representatives of Lucknow Jan Kalyan Mahamanch (including Mr. Pitambar Bhatt), representatives of Bhartiya Janta Party Yuva Morcha, Mathura, Mr. Mahesh Meghani of Association of Industrialists &amp; Merchants, Mohd. Khalid of Bhartiya Communist Party of Lucknow, Mr. Shyamdev Ray Chaudhry (Dada), Mr. Pratap Chandra (President of Rashtriya Rashtravadi Party) and Mr. Sashi Bhushan Mishra (Sachiv of Upbhokta Sanrakshan Aivam Kalyan Samiti, Sitaram Nidhi, Radhaniwas, Vrindavan, Mathura) submitted that any hike in Tariff is unjustified and should not be encouraged.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Ghanshyam Khandelwal (Chapter Chairman of Indian Industries Association and Managing Director of M/s B. L. Agro Oils Ltd.) submitted that 40 paisa per unit increase in Tariff for industries will put financial burden on them and such increase is unwarranted and should be reduced.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S. B. Agrawal, General Secretary of Associated Chambers of Commerce &amp; Industry of U.P and Mr. Atul Gupta, President of National Chamber of Industries &amp; Commerce, UP contented that the proposed upward increase in energy charges by around 13% for LMV-6 and 8% for HV-2 category respectively is unjustified in the present scenario of Uttar Pradesh, when industries are heavily suffering from non-availability of power.</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Baburam Singhal along with the representatives of Lohiavadi Vichaar Munch submitted that the power Tariff in State should be reduced by 20%, thereby reducing fixed charges from Rs. 75 / kW to Rs. 25 / kW and the same can be compensated by improving the line losses.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R. K. Jain, Secretary, Western U. P. Chamber of Commerce and Industry, Bombay Bazar, Meerut Cantt suggested the Commission that increase in rates of industrial units either in LMV-6 or HV-2 should not be allowed till planning is done in such a manner that industrial units may not suffer any power cut.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Rupak Gautam, Energy Controller, Indus Tower Ltd. submitted that interest cost by Licensees has increased in Uttar Pradesh (in FY 2014-15, increase of 32.8% in MVVNL, 20.37% in DVVNL, 23.76% in PVVNL and 10.6% in PuVNNL) which clearly indicates poor planning of the Licensees to manage interest costs and this should not be passed on to the consumers. He therefore, requested the Commission to disallow the Tariff hike proposed by the Licensees.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D. S. Verma (Executive Director, Indian Industries Association) requested the Commission to disallow the proposed increase in Tariff. Further, Mr. Anil Rathi of Associated Chambers of Commerce &amp; Industries submitted that PVVNL had proposed for almost 40% hike in electric tariff to HV-2 consumers in FY 2012-13 because of which 18 steel plants have already shut down permanently and inspite of all this PVVNL has again proposed to increase the Tariff applicable on HV-2 consumers.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The representatives of Bhartiya Kisan Union, Aligarh submitted that Licensees should not pass their inefficiencies on to the consumers by any Tariff hike.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Rama Shankar Awasthi submitted that over the past years the increase given to other categories (say for e.g. LMV-1 etc.) has not been in proportion to the Tariff rise given to the Industry and the principle of ±20% of average cost of supply as provided in the Regulations has not been followed which has resulted into over/excess cross subsidization by the Industry. In this regard, he has requested the Commission to decease the existing tariff of industry and further suggested the Commission that Tariff should be calculated voltage wise.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Jaspreet Singh Vadhwa of Antarashtriya Manavadhikar Association submitted that Tariff should be increased only when load shedding is curtailed.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Ravi Agarwal of Popular Cycles (Auto) submitted that Tariff of LMV -2 consumers should not be h</w:t>
      </w:r>
      <w:r w:rsidRPr="00B53423">
        <w:t>iked as it was increased heavily just last year.</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numPr>
          <w:ilvl w:val="0"/>
          <w:numId w:val="30"/>
        </w:numPr>
        <w:spacing w:before="0" w:line="312" w:lineRule="auto"/>
        <w:contextualSpacing/>
        <w:rPr>
          <w:b/>
          <w:i/>
          <w:szCs w:val="26"/>
        </w:rPr>
      </w:pPr>
      <w:r w:rsidRPr="00B53423">
        <w:rPr>
          <w:b/>
          <w:i/>
          <w:szCs w:val="26"/>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In reply to the objections of Uttar Pradesh Upbhokta Parishad regarding issues raised in the 14</w:t>
      </w:r>
      <w:r w:rsidRPr="00B53423">
        <w:rPr>
          <w:vertAlign w:val="superscript"/>
        </w:rPr>
        <w:t>th</w:t>
      </w:r>
      <w:r w:rsidRPr="00B53423">
        <w:t xml:space="preserve"> </w:t>
      </w:r>
      <w:r w:rsidRPr="00B53423">
        <w:rPr>
          <w:bCs w:val="0"/>
        </w:rPr>
        <w:t>State</w:t>
      </w:r>
      <w:r w:rsidRPr="00B53423">
        <w:t xml:space="preserve"> Advisory Committee meeting, the Licensees submitted that it has already replied to the Commission on such issues. Further, with regard to the energy hike done in FY 2010-11 and FY 2011-12, the Licensees submitted that they have submitted the Petitions for True-up from FY 2008-09 to FY 2011-12 to the Commission. </w:t>
      </w:r>
    </w:p>
    <w:p w:rsidR="002A1F3B" w:rsidRPr="00B53423" w:rsidRDefault="002A1F3B" w:rsidP="0015232B">
      <w:pPr>
        <w:autoSpaceDE w:val="0"/>
        <w:autoSpaceDN w:val="0"/>
        <w:adjustRightInd w:val="0"/>
        <w:spacing w:line="312" w:lineRule="auto"/>
        <w:contextualSpacing/>
        <w:rPr>
          <w:rFonts w:ascii="Times New Roman" w:hAnsi="Times New Roman"/>
          <w:sz w:val="20"/>
          <w:szCs w:val="20"/>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With regard to the issue raised on Tariff hike of various consumer categories, the Licensees </w:t>
      </w:r>
      <w:r w:rsidRPr="00B53423">
        <w:rPr>
          <w:bCs w:val="0"/>
        </w:rPr>
        <w:t>submitted</w:t>
      </w:r>
      <w:r w:rsidRPr="00B53423">
        <w:t xml:space="preserve"> that they have proposed hike in electricity Tariff as the cost of service has gone up and the detailed rationale for hike in Tariff has been provided in the ARR Petition.</w:t>
      </w:r>
    </w:p>
    <w:p w:rsidR="002A1F3B" w:rsidRPr="00B53423" w:rsidRDefault="002A1F3B" w:rsidP="0015232B">
      <w:pPr>
        <w:spacing w:line="312" w:lineRule="auto"/>
        <w:ind w:left="360"/>
        <w:contextualSpacing/>
        <w:rPr>
          <w:b/>
          <w:i/>
        </w:rPr>
      </w:pPr>
    </w:p>
    <w:p w:rsidR="002A1F3B" w:rsidRPr="00B53423" w:rsidRDefault="002A1F3B" w:rsidP="0015232B">
      <w:pPr>
        <w:numPr>
          <w:ilvl w:val="0"/>
          <w:numId w:val="30"/>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has noted the objections / suggestions of the stakeholders in this regards. The details related to all the aspects of Tariff design has been discussed in Chapter</w:t>
      </w:r>
      <w:r w:rsidR="005B31C0" w:rsidRPr="00B53423">
        <w:t xml:space="preserve"> named </w:t>
      </w:r>
      <w:r w:rsidRPr="00B53423">
        <w:t xml:space="preserve">Tariff </w:t>
      </w:r>
      <w:r w:rsidRPr="00B53423">
        <w:rPr>
          <w:bCs w:val="0"/>
        </w:rPr>
        <w:t>Philosophy</w:t>
      </w:r>
      <w:r w:rsidRPr="00B53423">
        <w:t xml:space="preserve"> and Rate Schedule provided subsequently in the Order.</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2A1F3B" w:rsidRPr="00B53423" w:rsidRDefault="002A1F3B" w:rsidP="000174C0">
      <w:pPr>
        <w:pStyle w:val="Heading2"/>
        <w:keepNext w:val="0"/>
        <w:numPr>
          <w:ilvl w:val="1"/>
          <w:numId w:val="65"/>
        </w:numPr>
        <w:autoSpaceDE w:val="0"/>
        <w:autoSpaceDN w:val="0"/>
        <w:adjustRightInd w:val="0"/>
        <w:spacing w:before="120" w:line="240" w:lineRule="auto"/>
        <w:contextualSpacing/>
        <w:rPr>
          <w:caps/>
        </w:rPr>
      </w:pPr>
      <w:bookmarkStart w:id="316" w:name="_Toc396909032"/>
      <w:bookmarkStart w:id="317" w:name="_Toc396573727"/>
      <w:bookmarkStart w:id="318" w:name="_Toc399626132"/>
      <w:bookmarkEnd w:id="316"/>
      <w:r w:rsidRPr="00B53423">
        <w:rPr>
          <w:caps/>
        </w:rPr>
        <w:t>Effective Date for Applicability of tariff Order of FY 2012-13</w:t>
      </w:r>
      <w:bookmarkEnd w:id="317"/>
      <w:bookmarkEnd w:id="318"/>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31"/>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S. B. Agrawal, General Secretary of Associated Chambers of Commerce &amp; Industry of U. P. submitted that the Commission had issued Tariff Orders of the Distribution Licensees for FY 2012-13 to be effective from 1</w:t>
      </w:r>
      <w:r w:rsidRPr="00B53423">
        <w:rPr>
          <w:vertAlign w:val="superscript"/>
        </w:rPr>
        <w:t>st</w:t>
      </w:r>
      <w:r w:rsidRPr="00B53423">
        <w:t xml:space="preserve"> October, 2012. Salient features of these Tariff Orders were published in daily newspapers on 23</w:t>
      </w:r>
      <w:r w:rsidRPr="00B53423">
        <w:rPr>
          <w:vertAlign w:val="superscript"/>
        </w:rPr>
        <w:t>rd</w:t>
      </w:r>
      <w:r w:rsidRPr="00B53423">
        <w:t xml:space="preserve"> October, 2012. He further submitted that Para 3.8(a) of the Electricity Supply Code 2005 stipulates that Tariff or charges shall take effect only after 7 days </w:t>
      </w:r>
      <w:r w:rsidRPr="00B53423">
        <w:rPr>
          <w:bCs w:val="0"/>
        </w:rPr>
        <w:t>from</w:t>
      </w:r>
      <w:r w:rsidRPr="00B53423">
        <w:t xml:space="preserve"> the date of publication in atleast 2 daily newspapers having wide circulation in area of supply. Further, Hob’ble ATE </w:t>
      </w:r>
      <w:proofErr w:type="gramStart"/>
      <w:r w:rsidRPr="00B53423">
        <w:t>vide</w:t>
      </w:r>
      <w:proofErr w:type="gramEnd"/>
      <w:r w:rsidRPr="00B53423">
        <w:t xml:space="preserve"> its Judgment dated 26</w:t>
      </w:r>
      <w:r w:rsidRPr="00B53423">
        <w:rPr>
          <w:vertAlign w:val="superscript"/>
        </w:rPr>
        <w:t>th</w:t>
      </w:r>
      <w:r w:rsidRPr="00B53423">
        <w:t xml:space="preserve"> November, 2012 reads as under:</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ListParagraph"/>
        <w:spacing w:before="0" w:line="312" w:lineRule="auto"/>
        <w:ind w:left="1440"/>
        <w:contextualSpacing/>
        <w:rPr>
          <w:i/>
          <w:szCs w:val="26"/>
        </w:rPr>
      </w:pPr>
      <w:r w:rsidRPr="00B53423">
        <w:rPr>
          <w:i/>
          <w:szCs w:val="26"/>
        </w:rPr>
        <w:t>“However, after hearing the learned counsel for the parties, we deem it appropriate to direct that pending disposal of the Appeal the Impugned Order dater 19</w:t>
      </w:r>
      <w:r w:rsidRPr="00B53423">
        <w:rPr>
          <w:i/>
          <w:szCs w:val="26"/>
          <w:vertAlign w:val="superscript"/>
        </w:rPr>
        <w:t>th</w:t>
      </w:r>
      <w:r w:rsidRPr="00B53423">
        <w:rPr>
          <w:i/>
          <w:szCs w:val="26"/>
        </w:rPr>
        <w:t xml:space="preserve"> November, 2012 will become effective from November 1, 2012 as per the Regulation 139 of the UPERC Conduct of Regulations.”</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Accordingly, Mr. S. B. Agrawal requested the Commission to clarify regarding the effective date of Tariff Order for FY 2012-13.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K. L. Aggarwal, Chairman, Associated Chambers of Commerce &amp; Industry of U. P. submitted that Allahabad High Court, vide its Judgment dated 1</w:t>
      </w:r>
      <w:r w:rsidRPr="00B53423">
        <w:rPr>
          <w:vertAlign w:val="superscript"/>
        </w:rPr>
        <w:t>st</w:t>
      </w:r>
      <w:r w:rsidRPr="00B53423">
        <w:t xml:space="preserve"> April, 2014 in</w:t>
      </w:r>
      <w:r w:rsidRPr="00B53423">
        <w:rPr>
          <w:bCs w:val="0"/>
        </w:rPr>
        <w:t xml:space="preserve"> the Civil Writ Petitions Nos. 13514, 17090 &amp; 15122 of 2014 of M/s Shakumbari Pulp &amp; Paper Mills Ltd. and two other Petitioners, had directed to make Tariff Order of FY 2012-13 effective from 1</w:t>
      </w:r>
      <w:r w:rsidR="004D0378" w:rsidRPr="00B53423">
        <w:rPr>
          <w:bCs w:val="0"/>
          <w:vertAlign w:val="superscript"/>
        </w:rPr>
        <w:t>st</w:t>
      </w:r>
      <w:r w:rsidRPr="00B53423">
        <w:rPr>
          <w:bCs w:val="0"/>
        </w:rPr>
        <w:t xml:space="preserve"> November, 2012. He further requested the Commission that in order to avoid any further multi-litigation in the courts and to avoid wastage of time, the Commission should issue the Order modifying the Tariff Order of FY 2012-13 to be effective from 1</w:t>
      </w:r>
      <w:r w:rsidR="004D0378" w:rsidRPr="00B53423">
        <w:rPr>
          <w:bCs w:val="0"/>
          <w:vertAlign w:val="superscript"/>
        </w:rPr>
        <w:t>st</w:t>
      </w:r>
      <w:r w:rsidRPr="00B53423">
        <w:rPr>
          <w:bCs w:val="0"/>
        </w:rPr>
        <w:t xml:space="preserve"> November, 2012 instead of 1</w:t>
      </w:r>
      <w:r w:rsidR="004D0378" w:rsidRPr="00B53423">
        <w:rPr>
          <w:bCs w:val="0"/>
          <w:vertAlign w:val="superscript"/>
        </w:rPr>
        <w:t>st</w:t>
      </w:r>
      <w:r w:rsidRPr="00B53423">
        <w:rPr>
          <w:bCs w:val="0"/>
        </w:rPr>
        <w:t xml:space="preserve"> October, 2012.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Neeraj Singhal, General Secretary, Indian Industries Association submitted that few industries have paid the electricity bills starting from 1</w:t>
      </w:r>
      <w:r w:rsidR="004D0378" w:rsidRPr="00B53423">
        <w:rPr>
          <w:bCs w:val="0"/>
          <w:vertAlign w:val="superscript"/>
        </w:rPr>
        <w:t>st</w:t>
      </w:r>
      <w:r w:rsidRPr="00B53423">
        <w:rPr>
          <w:bCs w:val="0"/>
        </w:rPr>
        <w:t xml:space="preserve"> October, 2012 as per the new Tariff Order while certain industries have paid the electricity bills partially, starting from 1</w:t>
      </w:r>
      <w:r w:rsidR="004D0378" w:rsidRPr="00B53423">
        <w:rPr>
          <w:bCs w:val="0"/>
          <w:vertAlign w:val="superscript"/>
        </w:rPr>
        <w:t>st</w:t>
      </w:r>
      <w:r w:rsidRPr="00B53423">
        <w:rPr>
          <w:bCs w:val="0"/>
        </w:rPr>
        <w:t xml:space="preserve"> October, 2012 as per the new Tariff Order. He further submitted that in accordance with the Hon’ble APTEL’s Judgment dated 26</w:t>
      </w:r>
      <w:r w:rsidR="004D0378" w:rsidRPr="00B53423">
        <w:rPr>
          <w:bCs w:val="0"/>
          <w:vertAlign w:val="superscript"/>
        </w:rPr>
        <w:t>th</w:t>
      </w:r>
      <w:r w:rsidRPr="00B53423">
        <w:rPr>
          <w:bCs w:val="0"/>
        </w:rPr>
        <w:t xml:space="preserve"> November, 2012, the new Tariff Order for FY 2012 is effective from 1</w:t>
      </w:r>
      <w:r w:rsidR="004D0378" w:rsidRPr="00B53423">
        <w:rPr>
          <w:bCs w:val="0"/>
          <w:vertAlign w:val="superscript"/>
        </w:rPr>
        <w:t>st</w:t>
      </w:r>
      <w:r w:rsidRPr="00B53423">
        <w:rPr>
          <w:bCs w:val="0"/>
        </w:rPr>
        <w:t xml:space="preserve"> November, 2012. In this regards, he requested the Commission to issue directives to the Licensees to refund / adjust the excess electricity cha</w:t>
      </w:r>
      <w:r w:rsidRPr="00B53423">
        <w:t>rges paid by LMV-6 and HV-2 consumers from 1</w:t>
      </w:r>
      <w:r w:rsidRPr="00B53423">
        <w:rPr>
          <w:vertAlign w:val="superscript"/>
        </w:rPr>
        <w:t>st</w:t>
      </w:r>
      <w:r w:rsidRPr="00B53423">
        <w:t xml:space="preserve"> October, 2012 to 30</w:t>
      </w:r>
      <w:r w:rsidRPr="00B53423">
        <w:rPr>
          <w:vertAlign w:val="superscript"/>
        </w:rPr>
        <w:t>th</w:t>
      </w:r>
      <w:r w:rsidRPr="00B53423">
        <w:t xml:space="preserve"> October, 2012. </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15232B">
      <w:pPr>
        <w:numPr>
          <w:ilvl w:val="0"/>
          <w:numId w:val="31"/>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w:t>
      </w:r>
      <w:r w:rsidRPr="00B53423">
        <w:rPr>
          <w:bCs w:val="0"/>
        </w:rPr>
        <w:t>Licensees</w:t>
      </w:r>
      <w:r w:rsidRPr="00B53423">
        <w:t xml:space="preserve"> submitted that the matter has been settled by the Commission vide Order dated 6</w:t>
      </w:r>
      <w:r w:rsidRPr="00B53423">
        <w:rPr>
          <w:vertAlign w:val="superscript"/>
        </w:rPr>
        <w:t>th</w:t>
      </w:r>
      <w:r w:rsidRPr="00B53423">
        <w:t xml:space="preserve"> June, 2014.</w:t>
      </w:r>
    </w:p>
    <w:p w:rsidR="002A1F3B" w:rsidRPr="00B53423" w:rsidRDefault="002A1F3B" w:rsidP="0015232B">
      <w:pPr>
        <w:spacing w:line="312" w:lineRule="auto"/>
        <w:ind w:left="360"/>
        <w:contextualSpacing/>
        <w:rPr>
          <w:b/>
          <w:i/>
          <w:szCs w:val="26"/>
        </w:rPr>
      </w:pPr>
    </w:p>
    <w:p w:rsidR="002A1F3B" w:rsidRPr="00B53423" w:rsidRDefault="002A1F3B" w:rsidP="0015232B">
      <w:pPr>
        <w:numPr>
          <w:ilvl w:val="0"/>
          <w:numId w:val="31"/>
        </w:numPr>
        <w:spacing w:before="0" w:line="312" w:lineRule="auto"/>
        <w:contextualSpacing/>
        <w:rPr>
          <w:b/>
          <w:i/>
          <w:szCs w:val="26"/>
        </w:rPr>
      </w:pPr>
      <w:r w:rsidRPr="00B53423">
        <w:rPr>
          <w:b/>
          <w:i/>
          <w:szCs w:val="26"/>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w:t>
      </w:r>
      <w:r w:rsidRPr="00B53423">
        <w:rPr>
          <w:bCs w:val="0"/>
        </w:rPr>
        <w:t>clarified</w:t>
      </w:r>
      <w:r w:rsidRPr="00B53423">
        <w:t xml:space="preserve"> by the Licensee, the Commission has settled the above issue regarding implementation of Tariff Order dated 19</w:t>
      </w:r>
      <w:r w:rsidRPr="00B53423">
        <w:rPr>
          <w:vertAlign w:val="superscript"/>
        </w:rPr>
        <w:t>th</w:t>
      </w:r>
      <w:r w:rsidRPr="00B53423">
        <w:t xml:space="preserve"> October, 2012 vide its Order dated 6</w:t>
      </w:r>
      <w:r w:rsidRPr="00B53423">
        <w:rPr>
          <w:vertAlign w:val="superscript"/>
        </w:rPr>
        <w:t>th</w:t>
      </w:r>
      <w:r w:rsidRPr="00B53423">
        <w:t xml:space="preserve"> June, 2014 which can be referred by the stakeholders for further clarifications.</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19" w:name="_Toc396573728"/>
      <w:bookmarkStart w:id="320" w:name="_Toc399626133"/>
      <w:r w:rsidRPr="00B53423">
        <w:rPr>
          <w:caps/>
        </w:rPr>
        <w:t>RostERing and Quality of Power</w:t>
      </w:r>
      <w:bookmarkEnd w:id="319"/>
      <w:bookmarkEnd w:id="320"/>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41"/>
        </w:numPr>
        <w:spacing w:before="0" w:line="312" w:lineRule="auto"/>
        <w:contextualSpacing/>
        <w:rPr>
          <w:b/>
          <w:i/>
          <w:szCs w:val="26"/>
        </w:rPr>
      </w:pPr>
      <w:r w:rsidRPr="00B53423">
        <w:rPr>
          <w:b/>
          <w:i/>
          <w:szCs w:val="26"/>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Ghanshyam Khandelwal (Chapter Chairman of Indian Industries Association, Mr. Vishwanath Rai of Matdata vichar Samiti, Varanasi and Managing Director of M/s B. L. Agro Oils Ltd.</w:t>
      </w:r>
      <w:r w:rsidRPr="00B53423">
        <w:rPr>
          <w:bCs w:val="0"/>
        </w:rPr>
        <w:t xml:space="preserve">) submitted that electricity supply to industries is not given as per fixed schedule of rostering and this </w:t>
      </w:r>
      <w:proofErr w:type="gramStart"/>
      <w:r w:rsidRPr="00B53423">
        <w:rPr>
          <w:bCs w:val="0"/>
        </w:rPr>
        <w:t>causes</w:t>
      </w:r>
      <w:proofErr w:type="gramEnd"/>
      <w:r w:rsidRPr="00B53423">
        <w:rPr>
          <w:bCs w:val="0"/>
        </w:rPr>
        <w:t xml:space="preserve"> enormous inconvenience to consumers.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Further, Mr. Ghanshyam Khandelwal, Mr. Shyamdev Ray Chaudhry (Dada), Mr. S. B. Agrawal, General Secretary of Associated Chambers of Commerce &amp; Industry of U.P, Mr. Abdul Ali of BHEL and Dr. Pradeep Kumar Garg of Agra submitted that the there is poor quality of electricity supply along with high load shedding.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K. S. Parmar, Pramukh Sachiv of Upbhokta Kalyan Parishad submitted that some of the janpads of Uttar Pradesh don’t get 24 hours continuous supply. In this regard, clarification should be provided.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Lt. CDR (Retd) G.C. Shrivastava submitted that the quality of electricity supplied by the Licensee</w:t>
      </w:r>
      <w:r w:rsidRPr="00B53423">
        <w:t>s is poor.</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R. K. Jain, Secretary, Western U. P. Chamber of Commerce and Industry, Bombay Bazar, Meerut Cantt submitted that the industrial units are facing problem of unscheduled power cuts, low voltage on dedicated feeders and inadequate supply in rural areas. He contended that even Industrial feeders are not getting 24 hours supply as committed by GoUP. He further submitted that there are irregular trends in line losses and temporary consumption and no consistency in category wise consumption has been observed which indicates inconsistencies in billing, i.e. line losses for each Distribution Licensee should be separated</w:t>
      </w:r>
    </w:p>
    <w:p w:rsidR="002A1F3B" w:rsidRPr="00B53423" w:rsidRDefault="002A1F3B" w:rsidP="0015232B">
      <w:pPr>
        <w:pStyle w:val="Heading3"/>
        <w:keepNext w:val="0"/>
        <w:numPr>
          <w:ilvl w:val="0"/>
          <w:numId w:val="0"/>
        </w:numPr>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The representatives of Sanyukt Udyog Vyapar Sangh Kharkhauda, Meerut submitted that there are around one thousand of commercial connections in Kharkhauda which get 10 hours electricity supply only which after rostering and local faults is reduced to 6 to 7 hrs in a day. In this regards, he requested the Commission to direct the Licensee to provide 16 hours of electricity supply to commercial category consumers in Kharkhauda. </w:t>
      </w:r>
    </w:p>
    <w:p w:rsidR="002A1F3B" w:rsidRPr="00B53423" w:rsidRDefault="002A1F3B" w:rsidP="0015232B">
      <w:pPr>
        <w:pStyle w:val="Heading3"/>
        <w:keepNext w:val="0"/>
        <w:numPr>
          <w:ilvl w:val="0"/>
          <w:numId w:val="0"/>
        </w:numPr>
        <w:ind w:left="993"/>
      </w:pP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41"/>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Licensee in its reply submitted that hours of supplying electricity is normally as per schedule, however sometimes it may be less than that of schedule hours due to emergency rostering which is beyond the control of the Licensee. The Licensee submitted that the complaints of quality of supply, turnaround time for fault repair, etc. are not related to present Tariff Petition, however, it is assured that these issues will be dealt by the concerned local officers of the Licensees. The Licensees submitted that it is endeavouring to reduce the </w:t>
      </w:r>
      <w:r w:rsidRPr="00B53423">
        <w:rPr>
          <w:bCs w:val="0"/>
        </w:rPr>
        <w:t>distribution</w:t>
      </w:r>
      <w:r w:rsidRPr="00B53423">
        <w:t xml:space="preserve"> losses to reduce the demand supply gap for which the capacity augmentation is being planned by the State Government also. The Licensees added that the growth in capacity addition has been outnumbered by the growth in the demand.</w:t>
      </w:r>
    </w:p>
    <w:p w:rsidR="002A1F3B" w:rsidRPr="00B53423" w:rsidRDefault="002A1F3B" w:rsidP="0015232B">
      <w:pPr>
        <w:pStyle w:val="ListParagraph"/>
        <w:spacing w:before="0" w:line="312" w:lineRule="auto"/>
        <w:ind w:left="180"/>
        <w:contextualSpacing/>
      </w:pPr>
    </w:p>
    <w:p w:rsidR="002A1F3B" w:rsidRPr="00B53423" w:rsidRDefault="002A1F3B" w:rsidP="0015232B">
      <w:pPr>
        <w:spacing w:line="312" w:lineRule="auto"/>
        <w:ind w:left="360"/>
        <w:contextualSpacing/>
        <w:rPr>
          <w:b/>
          <w:i/>
        </w:rPr>
      </w:pPr>
    </w:p>
    <w:p w:rsidR="002A1F3B" w:rsidRPr="00B53423" w:rsidRDefault="002A1F3B" w:rsidP="000174C0">
      <w:pPr>
        <w:numPr>
          <w:ilvl w:val="0"/>
          <w:numId w:val="41"/>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taken note of the objections / suggestions made by the stakeholders in this </w:t>
      </w:r>
      <w:r w:rsidRPr="00B53423">
        <w:rPr>
          <w:bCs w:val="0"/>
        </w:rPr>
        <w:t>regard</w:t>
      </w:r>
      <w:r w:rsidRPr="00B53423">
        <w:t>. The Commission is also concerned about the above issue of quality of supply and would take appropriate steps to guide the Licensee in improving the same.</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21" w:name="_Toc396573729"/>
      <w:bookmarkStart w:id="322" w:name="_Toc399626134"/>
      <w:r w:rsidRPr="00B53423">
        <w:rPr>
          <w:caps/>
        </w:rPr>
        <w:t>Time of Day Tariff</w:t>
      </w:r>
      <w:bookmarkEnd w:id="321"/>
      <w:bookmarkEnd w:id="322"/>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42"/>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Ghanshyam Khandelwal of Indian Industries Association submitted that the proposed increase</w:t>
      </w:r>
      <w:r w:rsidRPr="00B53423">
        <w:rPr>
          <w:bCs w:val="0"/>
        </w:rPr>
        <w:t xml:space="preserve"> in peak hours from 5 hours to 9 hours is unjustified and will put financial burden on industries. He contended that M.S.M.Es work in one shift only, i.e., from 8 AM to 8 PM and the proposed increase in peak hours of day time will affect them badly and increase their expenses.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S. B. Agrawal, General Secretary of Associated Chambers of Commerce &amp; Industry of U.P and Mr. Atul Gupta, President of National Chamber of Industries &amp; Commerce, UP submitted that supply of power at discounted rates (7.5% below the normal rate) has been proposed to reduce from 8 hours to 6-7 hours and supply at higher rate (15% above the normal rate) has been proposed to increase from 5 hours to 6-7 hours while the supply at normal rate has been proposed to decrease from 11 hours to 8-9 hours. They contended that such proposed change in timings of ToD rates is unfair for industrial consumers including LMV-6 (small and medium power) and HV-2 (large and heavy power) consumers.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D. S. Verma (Executive Director, Indian Industries Association) and Mr. Mukesh Agarwal, Sikandra Factory Owner’s Association of Agra submitted that it is not possible for micro, small and medium industries to shift its manufacturing away from the time slot 9:00 hours to 13:00 hours slab which is mid of the day. They requested that the Commission should not accept the Licensees’ proposal of peak hour Tariff for winter season (October to March) between 9:00 hours to 13:00 hours. They added that on the contrary, the incentive and disincentive for off peak hours and peak hours should be the same, i.e. +/-7.5%.</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Dhanush Vir Singh (General Manager of M/s Bennett Coleman &amp; Co Ltd., Times of India Group) submitted that with the proposed change in ToD tariff will completely overturn the existing ToDs and the newspaper industries, which has so far been enjoying off-peak rates (by getting a rebate of 7.5% on normal charges) is overnight being converted to peak usage rates (paying 15% enhanced rate over normal charges). He contended taht this difference of 22.5%, even notwithstanding the proposed Tariff hike, will be severely enervating to the newspaper industry. In this regard, he suggested the Commission to direct the Licensees’ for re-classification of ToDs and treat the newspaper printing establishments in Uttar Pradesh at par with the Agriculture Category, thereby reducing the effect of proposed Tariff hike.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K. L. A</w:t>
      </w:r>
      <w:r w:rsidRPr="00B53423">
        <w:t>ggarwal, Chairman, Associated Chambers of Commerce &amp; Industry of U. P. submitted that surcharge on slab of ToD be modified in the following manner:</w:t>
      </w:r>
    </w:p>
    <w:p w:rsidR="002A1F3B" w:rsidRPr="00B53423" w:rsidRDefault="002A1F3B" w:rsidP="000174C0">
      <w:pPr>
        <w:pStyle w:val="ListParagraph"/>
        <w:numPr>
          <w:ilvl w:val="0"/>
          <w:numId w:val="69"/>
        </w:numPr>
        <w:ind w:left="1890"/>
      </w:pPr>
      <w:r w:rsidRPr="00B53423">
        <w:t>-7.5% be increased to -10%</w:t>
      </w:r>
    </w:p>
    <w:p w:rsidR="002A1F3B" w:rsidRPr="00B53423" w:rsidRDefault="002A1F3B" w:rsidP="000174C0">
      <w:pPr>
        <w:pStyle w:val="ListParagraph"/>
        <w:numPr>
          <w:ilvl w:val="0"/>
          <w:numId w:val="69"/>
        </w:numPr>
        <w:ind w:left="1890"/>
      </w:pPr>
      <w:r w:rsidRPr="00B53423">
        <w:t>+15% be decreased to +10%.</w:t>
      </w:r>
    </w:p>
    <w:p w:rsidR="002A1F3B" w:rsidRPr="00B53423" w:rsidRDefault="002A1F3B" w:rsidP="000174C0">
      <w:pPr>
        <w:pStyle w:val="ListParagraph"/>
        <w:numPr>
          <w:ilvl w:val="0"/>
          <w:numId w:val="69"/>
        </w:numPr>
        <w:ind w:left="1890"/>
      </w:pPr>
      <w:r w:rsidRPr="00B53423">
        <w:t xml:space="preserve">Bifurcation of present ToD must not be disturbed. </w:t>
      </w:r>
    </w:p>
    <w:p w:rsidR="002A1F3B" w:rsidRPr="00B53423" w:rsidRDefault="002A1F3B" w:rsidP="0015232B">
      <w:pPr>
        <w:pStyle w:val="ListParagraph"/>
        <w:spacing w:before="0" w:line="312" w:lineRule="auto"/>
        <w:ind w:left="180"/>
        <w:contextualSpacing/>
        <w:rPr>
          <w:rFonts w:cs="Arial"/>
          <w:bCs/>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Anil Rathi of Associated Chambers of Commerce &amp; Industries submitted that PVVNL has proposed a hefty increase in peak hour charges. He added that</w:t>
      </w:r>
      <w:r w:rsidRPr="00B53423">
        <w:rPr>
          <w:bCs w:val="0"/>
        </w:rPr>
        <w:t xml:space="preserve"> it is only during peak hours that a stable quality of power is received by the industry.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Vishnu Bhagwan Agarwal of M/s The Popular Cycle Mfg. Co. (Pvt.) Ltd. and Mr. S. B. Agrawal, General Secretary of Associated Chambers of Commerce &amp; Industry of U.P submitted that there should be flat rate instead of ToD tariff. He contended that till date, the Licensees have not been able to provide lead / lag reading in the meter. Further, Mr. P. K. Maskara, Director of Mahabir Jute Mills Limited of Gorakhpur submitted that ToD should either be same as existing or removed completely.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P. K. Maskara, Director of Mahabir Jute Mills Limited of Gorakhpur submitted that the proposed TOD is not practical and is mostly for LMV-6 &amp; HV-2 category of consumers.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 xml:space="preserve">Mr. Naveen Khanna, Chairman, Kanpur Chapter of Indian industries Association submitted that the proposed increased in ToD tariff is improper. It is not possible for micro, small and medium industries (MSME Industries) to shift its manufacturing away from the time slot 9:00 hours to 13:00 hours slab which is </w:t>
      </w:r>
      <w:proofErr w:type="gramStart"/>
      <w:r w:rsidRPr="00B53423">
        <w:rPr>
          <w:bCs w:val="0"/>
        </w:rPr>
        <w:t>mid</w:t>
      </w:r>
      <w:proofErr w:type="gramEnd"/>
      <w:r w:rsidRPr="00B53423">
        <w:rPr>
          <w:bCs w:val="0"/>
        </w:rPr>
        <w:t xml:space="preserve"> of the day. Therefore, the Commission should not accept peak hour tariff for winter season (October to March) between 9:00 hrs to 13:00 hrs. On the contrary, the incentive and disincentive for off peak hour</w:t>
      </w:r>
      <w:r w:rsidRPr="00B53423">
        <w:t>s and peak hours should be the same, i.e. +/-7.5%.</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0174C0">
      <w:pPr>
        <w:numPr>
          <w:ilvl w:val="0"/>
          <w:numId w:val="42"/>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 xml:space="preserve">The </w:t>
      </w:r>
      <w:r w:rsidRPr="00B53423">
        <w:rPr>
          <w:bCs w:val="0"/>
        </w:rPr>
        <w:t>Licensees</w:t>
      </w:r>
      <w:r w:rsidRPr="00B53423">
        <w:t xml:space="preserve"> submitted that the system conditions and availability of supply have been considered while proposing the concession and penalty for off-peak and peak timings. The Licensees further submitted that the Time of Day tariff (ToD) is a widely accepted Demand side Management (DSM) measure for energy conservation by price as it encourages the Distribution Licensees to move towards separation of peak and off-peak Tariffs which helps in reducing consumption as well as costly power purchase at the peak time. The Licensees further submitted that the Tariff is set in such a way that it inherently provides incentives and disincentives for the use of electricity in different time periods and while the basic objective of implementing Time of Day Tariff is to flatten the load curve over a period of a day resulting in reduction in the peaking power requirement it also enhance power requirement during off-peak period. The pattern of load of UP over the last 2 years as submitted by the Licensees is depicted in the following graphs:</w:t>
      </w:r>
    </w:p>
    <w:p w:rsidR="002A1F3B" w:rsidRPr="00B53423" w:rsidRDefault="002A1F3B" w:rsidP="0015232B">
      <w:pPr>
        <w:pStyle w:val="ListParagraph"/>
        <w:spacing w:before="0" w:line="312" w:lineRule="auto"/>
        <w:ind w:left="180"/>
        <w:contextualSpacing/>
      </w:pPr>
      <w:r w:rsidRPr="00B53423">
        <w:rPr>
          <w:noProof/>
          <w:lang w:val="en-US"/>
        </w:rPr>
        <w:drawing>
          <wp:inline distT="0" distB="0" distL="0" distR="0">
            <wp:extent cx="5504815" cy="3330087"/>
            <wp:effectExtent l="19050" t="0" r="63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504815" cy="3330087"/>
                    </a:xfrm>
                    <a:prstGeom prst="rect">
                      <a:avLst/>
                    </a:prstGeom>
                    <a:noFill/>
                    <a:ln w="9525">
                      <a:noFill/>
                      <a:miter lim="800000"/>
                      <a:headEnd/>
                      <a:tailEnd/>
                    </a:ln>
                  </pic:spPr>
                </pic:pic>
              </a:graphicData>
            </a:graphic>
          </wp:inline>
        </w:drawing>
      </w:r>
    </w:p>
    <w:p w:rsidR="002A1F3B" w:rsidRPr="00B53423" w:rsidRDefault="002A1F3B" w:rsidP="0015232B">
      <w:pPr>
        <w:spacing w:line="312" w:lineRule="auto"/>
        <w:ind w:left="360"/>
        <w:contextualSpacing/>
        <w:rPr>
          <w:b/>
          <w:i/>
        </w:rPr>
      </w:pPr>
      <w:r w:rsidRPr="00B53423">
        <w:rPr>
          <w:noProof/>
          <w:lang w:val="en-US"/>
        </w:rPr>
        <w:drawing>
          <wp:inline distT="0" distB="0" distL="0" distR="0">
            <wp:extent cx="5504815" cy="2726547"/>
            <wp:effectExtent l="19050" t="0" r="635"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5504815" cy="2726547"/>
                    </a:xfrm>
                    <a:prstGeom prst="rect">
                      <a:avLst/>
                    </a:prstGeom>
                    <a:noFill/>
                    <a:ln w="9525">
                      <a:noFill/>
                      <a:miter lim="800000"/>
                      <a:headEnd/>
                      <a:tailEnd/>
                    </a:ln>
                  </pic:spPr>
                </pic:pic>
              </a:graphicData>
            </a:graphic>
          </wp:inline>
        </w:drawing>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w:t>
      </w:r>
      <w:r w:rsidRPr="00B53423">
        <w:rPr>
          <w:bCs w:val="0"/>
        </w:rPr>
        <w:t>Licensees</w:t>
      </w:r>
      <w:r w:rsidRPr="00B53423">
        <w:t xml:space="preserve"> submitted that from the above load curves it is clear that the system is experiencing peaks during evening and night hours and the reasons behind peaks during night hours is because UPPCL has endeavoured to supply energy to domestic consumers as much as possible during the night hours so that they are able to rest and sleep peacefully after hard days' work. The Licensees submitted that this would however require extra supply to domestic consumers during night hours, which can be achieved by having some kind of deterrent on the industry and accordingly, in view of the already existing peaks and the need to supply more power to domestic consumers during night hours, the Licensees have proposed that the existing TOD structure be reviewed and existing peak rebate during night hours should be removed and in place of that a mark-up may be considered on consumers covered under the TOD Rate Schedule.</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Licensees further submitted that from the load curves provided by the SLDC, it may further be seen that system has slightly shifted in peak and off peak hours during summer and winter seasons. The Licensee submitted that based on above facts, UPPCL has proposed separate TOD structures for the summer and winter seasons as given below:</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ListParagraph"/>
        <w:spacing w:before="0" w:line="312" w:lineRule="auto"/>
        <w:ind w:left="180"/>
        <w:contextualSpacing/>
        <w:rPr>
          <w:szCs w:val="26"/>
        </w:rPr>
      </w:pPr>
      <w:r w:rsidRPr="00B53423">
        <w:rPr>
          <w:noProof/>
          <w:szCs w:val="26"/>
          <w:lang w:val="en-US"/>
        </w:rPr>
        <w:drawing>
          <wp:inline distT="0" distB="0" distL="0" distR="0">
            <wp:extent cx="5504815" cy="3376229"/>
            <wp:effectExtent l="19050" t="0" r="63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504815" cy="3376229"/>
                    </a:xfrm>
                    <a:prstGeom prst="rect">
                      <a:avLst/>
                    </a:prstGeom>
                    <a:noFill/>
                    <a:ln w="9525">
                      <a:noFill/>
                      <a:miter lim="800000"/>
                      <a:headEnd/>
                      <a:tailEnd/>
                    </a:ln>
                  </pic:spPr>
                </pic:pic>
              </a:graphicData>
            </a:graphic>
          </wp:inline>
        </w:drawing>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As regards the contention raised by Dhanush Vir Singh regarding Tariff for newspaper printing, the Licensees submitted that the newspaper industry run with commercial motives. The Licensees submitted that such industries pass the incidence of their cost on to their consumers in terms of hike in the charges of their products and services such as advertisement rates and any move to reduce the Tariff of such consumers would hurt the Licensees who are already reeling under severe financial crisis. The Licensees submitted that no subsi</w:t>
      </w:r>
      <w:r w:rsidRPr="00B53423">
        <w:rPr>
          <w:bCs w:val="0"/>
        </w:rPr>
        <w:t xml:space="preserve">dy is being received from the State Government towards such newspaper </w:t>
      </w:r>
      <w:proofErr w:type="gramStart"/>
      <w:r w:rsidRPr="00B53423">
        <w:rPr>
          <w:bCs w:val="0"/>
        </w:rPr>
        <w:t>industry,</w:t>
      </w:r>
      <w:proofErr w:type="gramEnd"/>
      <w:r w:rsidRPr="00B53423">
        <w:rPr>
          <w:bCs w:val="0"/>
        </w:rPr>
        <w:t xml:space="preserve"> hence, any reduction in their Tariffs would be uncovered gap for the Licensees.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As discuss</w:t>
      </w:r>
      <w:r w:rsidRPr="00B53423">
        <w:t>ed subsequently in this Order, the Petitioner has submitted the revised TOD slabs for the winter season, considering the fact that the industries would get 8 hours of time slab to operate at off-peak or normal hours.</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42"/>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taken note of the above objections / suggestions given by the </w:t>
      </w:r>
      <w:r w:rsidRPr="00B53423">
        <w:rPr>
          <w:bCs w:val="0"/>
        </w:rPr>
        <w:t>stakeholders</w:t>
      </w:r>
      <w:r w:rsidRPr="00B53423">
        <w:t xml:space="preserve"> in this regards. The detailed design for TOD Tariff has been further, discussed in Chapter on Tariff Philosophy and the Rate Schedule provided subsequently in this Order.  </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23" w:name="_Toc396573730"/>
      <w:bookmarkStart w:id="324" w:name="_Toc399626135"/>
      <w:r w:rsidRPr="00B53423">
        <w:rPr>
          <w:caps/>
        </w:rPr>
        <w:t>Billable Demand Multiplier</w:t>
      </w:r>
      <w:bookmarkEnd w:id="323"/>
      <w:bookmarkEnd w:id="324"/>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43"/>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w:t>
      </w:r>
      <w:r w:rsidRPr="00B53423">
        <w:rPr>
          <w:bCs w:val="0"/>
        </w:rPr>
        <w:t>Naveen</w:t>
      </w:r>
      <w:r w:rsidRPr="00B53423">
        <w:t xml:space="preserve"> Khanna, Chairman, Kanpur Chapter of Indian industries Association and Mr. D. S. Verma (Executive Director, Indian Industries Association) submitted that the Distribution Licensees are not able to meet the demand of the consumers and demand-supply gap is ever increasing and therefore, it is unjustified to increase the billable demand multiplier from 75% to 85% of the contract demand. He requested the Commission to not agree to the proposed increase in the billable demand multiplier till the quality and quantity of power supply is improved. </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0174C0">
      <w:pPr>
        <w:numPr>
          <w:ilvl w:val="0"/>
          <w:numId w:val="43"/>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In this </w:t>
      </w:r>
      <w:r w:rsidRPr="00B53423">
        <w:rPr>
          <w:bCs w:val="0"/>
        </w:rPr>
        <w:t>regard</w:t>
      </w:r>
      <w:r w:rsidRPr="00B53423">
        <w:t>, the Petitioner replied that the issue of billable demand multiplier is approved by the Commission in the General Terms and Conditions of the Rate Schedule and the broad general terms and conditions and rates should be aligned across States so as to bring uniformity in approach towards Tariff determination.</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43"/>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w:t>
      </w:r>
      <w:r w:rsidRPr="00B53423">
        <w:rPr>
          <w:bCs w:val="0"/>
        </w:rPr>
        <w:t>Commission</w:t>
      </w:r>
      <w:r w:rsidRPr="00B53423">
        <w:t xml:space="preserve"> has taken note of the objections / suggestions given by the stakeholders in this regards. The details regarding billable demand multiplier has been discussed in chapter on Tariff Philosophy and the Rate Schedule provided subsequently in this Order.</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25" w:name="_Toc396573731"/>
      <w:bookmarkStart w:id="326" w:name="_Toc399626136"/>
      <w:r w:rsidRPr="00B53423">
        <w:rPr>
          <w:caps/>
        </w:rPr>
        <w:t>TARIFF FOR Domestic Category</w:t>
      </w:r>
      <w:bookmarkEnd w:id="325"/>
      <w:bookmarkEnd w:id="326"/>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32"/>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Avadhesh Kumar Verma, Chairman, Uttar Pradesh Rajya Vidyut Upbhoktha Parishad (UPRVUP) submitted that the proposed imposition of fixed charge of Rs. 50 per kW and Rs. 75 per kW for domestic consumers is unjustified. He submitted that the Licensees are not able to provide the electricity as per rostering schedule and in such a case levy of fixed charge is illegal. He further contended that earlier the Licensees used to levy fixed charge at per </w:t>
      </w:r>
      <w:r w:rsidRPr="00B53423">
        <w:rPr>
          <w:bCs w:val="0"/>
        </w:rPr>
        <w:t>connection</w:t>
      </w:r>
      <w:r w:rsidRPr="00B53423">
        <w:t xml:space="preserve"> basis, whereas, now this fixed charge is levied at per kW for the urban domestic households and as a result, the consumers are burdened by every per kW consumption, and this system needs to be rectified now. </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He objected to the increase in slabs for urban domestic consumers. He submitted that the condition of energy availability and distribution has deteriorated since FY 2012-13 and in such a scenario the Licensees should not have proposed for increase in Tariff of domestic category of consumers. He submitted that UPRVUP is of the opinion that instead of increasing the Tariff, the Licensees should focus on increasing the number of domestic consume</w:t>
      </w:r>
      <w:r w:rsidRPr="00B53423">
        <w:rPr>
          <w:bCs w:val="0"/>
        </w:rPr>
        <w:t xml:space="preserve">rs. </w:t>
      </w:r>
    </w:p>
    <w:p w:rsidR="002A1F3B" w:rsidRPr="00B53423" w:rsidRDefault="002A1F3B" w:rsidP="0015232B">
      <w:pPr>
        <w:pStyle w:val="Heading3"/>
        <w:keepNext w:val="0"/>
        <w:numPr>
          <w:ilvl w:val="0"/>
          <w:numId w:val="0"/>
        </w:numPr>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He submitted that the Licensees have projected additional revenue of Rs. 3267 Crore from increase</w:t>
      </w:r>
      <w:r w:rsidRPr="00B53423">
        <w:t xml:space="preserve"> in Tariff out of which Rs. 1242 Crore revenue has been projected to be earned from domestic consumers which works out to approximately 40% and is completely unjustifiable. </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He further submitted that there is variation in electricity supply in different districts of Uttar Pradesh, but the fixed charge is same for all districts which </w:t>
      </w:r>
      <w:proofErr w:type="gramStart"/>
      <w:r w:rsidRPr="00B53423">
        <w:t>is</w:t>
      </w:r>
      <w:proofErr w:type="gramEnd"/>
      <w:r w:rsidRPr="00B53423">
        <w:t xml:space="preserve"> unjustifiable. He further </w:t>
      </w:r>
      <w:r w:rsidRPr="00B53423">
        <w:rPr>
          <w:bCs w:val="0"/>
        </w:rPr>
        <w:t>suggested</w:t>
      </w:r>
      <w:r w:rsidRPr="00B53423">
        <w:t xml:space="preserve"> the Commission that fixed charge should not be charged from consumers under domestic category.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Brigadier J Ahmad Ali, the Pro-Vice Chancellor of Muslim Aligarh University (AMU) requested the Com</w:t>
      </w:r>
      <w:r w:rsidRPr="00B53423">
        <w:rPr>
          <w:bCs w:val="0"/>
        </w:rPr>
        <w:t>mission that AMU being a Residential University affording education to deprived Sections of society at minimal cost may be charged as per the prescribed rate for domestic consumer under Tariff code LMV-01 instead of Tariff code HV-1B as per Tariff applicable to Military Engineer Service (MES).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The representatives of Bhartiya Janta Party, Agra submitted that the minimum tariff rate in Uttar Pradesh is Rs. 4/kWh for domestic category of consumers, whereas, the rate should have been Rs. 2-3/kWh. In this regard, they suggested the Commission to reduce the Tariff rate for domestic category of consumers. They further submitted that 3-phase supply is provided to consumers with 5 k</w:t>
      </w:r>
      <w:r w:rsidRPr="00B53423">
        <w:t xml:space="preserve">W connections, however, for domestic category of consumers, such 3-phase supply should be provided at the connections of 2 kW.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numPr>
          <w:ilvl w:val="0"/>
          <w:numId w:val="32"/>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As regards the contention raised by Mr. Avadhesh Kumar Verma regarding Tariffs for domestic category, the Licensees submitted that Tariff charged from consumers consist of fixed charge and variable charge and fixed charges are collected to recover the fixed cost including its distribut</w:t>
      </w:r>
      <w:r w:rsidRPr="00B53423">
        <w:rPr>
          <w:bCs w:val="0"/>
        </w:rPr>
        <w:t>ion infrastructure and fixed cost paid to power generators. The Licensee submitted that at present its fixed cost is around 40% however, lower revenue is realised in this regards. The Licensee further submitted that even if the consumers don’t utilize the power it has to maintain to its system in accordance with its contracted demand, hence, fixed charges are justifiable.</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The Licensees submitted that the Tariff policy formulated under the Electricity Act 2003 envisages a gradual reduction of cross subsidy with a trajectory so as to bring the tariffs within ±20% of the average cost of supply and accordingly the slabs under domestic category have been proposed in such a way that the consumers with more consumption are abide by the above Tariff Policy. The Licensees further submitted that the contention of UPRVP that the increase in Tariff of domestic consumers was done in Tariff fixing is irrelevant and baseless.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With regard to the contentions raised on charging Aligarh Muslim University at Tariff code LMV-01 instead of Tariff code HV-1B, the Petitioner submitted that the billing is being done in accordance with the Rate Schedule approved by the Commission in the Tariff Order dated 31st May</w:t>
      </w:r>
      <w:r w:rsidRPr="00B53423">
        <w:t>, 2013. The Licensee emphasised that the Tariff for HV-1 consumers is within 120% of its average cost of service.</w:t>
      </w:r>
    </w:p>
    <w:p w:rsidR="002A1F3B" w:rsidRPr="00B53423" w:rsidRDefault="002A1F3B" w:rsidP="0015232B">
      <w:pPr>
        <w:spacing w:line="312" w:lineRule="auto"/>
        <w:ind w:left="360"/>
        <w:contextualSpacing/>
        <w:rPr>
          <w:b/>
          <w:i/>
        </w:rPr>
      </w:pPr>
    </w:p>
    <w:p w:rsidR="002A1F3B" w:rsidRPr="00B53423" w:rsidRDefault="002A1F3B" w:rsidP="0015232B">
      <w:pPr>
        <w:numPr>
          <w:ilvl w:val="0"/>
          <w:numId w:val="32"/>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is entrusted with the role of protecting the interests of the consumers as well as those of the Licensees. Tariff rationalisation is crucial to achieve the objectives of the Electricity Act, 2003. Hence, the tariff for the domestic category of consumers has been approved by the Commission considering the stipulations of the Electricity Act, 2003, National Electricity Policy and Tariff Policy. The details of all the aspects related to Tariff design </w:t>
      </w:r>
      <w:r w:rsidRPr="00B53423">
        <w:rPr>
          <w:bCs w:val="0"/>
        </w:rPr>
        <w:t>for</w:t>
      </w:r>
      <w:r w:rsidRPr="00B53423">
        <w:t xml:space="preserve"> various categories of consumers has been covered under Chapter Tariff philosophy and the Rate Schedule approved by the Commission.</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27" w:name="_Toc396573732"/>
      <w:bookmarkStart w:id="328" w:name="_Toc399626137"/>
      <w:r w:rsidRPr="00B53423">
        <w:rPr>
          <w:caps/>
        </w:rPr>
        <w:t>Powerloom Consumers falling under LMV-6 Category</w:t>
      </w:r>
      <w:bookmarkEnd w:id="327"/>
      <w:bookmarkEnd w:id="328"/>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44"/>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Sanjay Verma requested the Commission to provide the confirmation pertaining to electricity duty exemption / applicability / leviability status on power loom consumers falling under LMV-6 category and accordingly availing subsidy rebate in Tariff on flat rate basis as per norm</w:t>
      </w:r>
      <w:r w:rsidRPr="00B53423">
        <w:rPr>
          <w:bCs w:val="0"/>
        </w:rPr>
        <w:t xml:space="preserve">s provided under prevailing DVVNL Tariff Schedule for FY 2013-14.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D. S. Verma (Executive Director, Indian Industries Association) submitted that burdening small and medium power consumers with 18.5% Tariff hike is highly unjustified. He submitted that the contribution of this sector in socio economic development of the nation as well as the power sector is next to agriculture. He further submitted that consumers of this category are required to be spared from the load of any kind of cross-subsidies / further Tariff hike and therefore, requested the Commission to not accept the proposal of increasing the energy charges of LMV-6 Category.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Vishnu Bhagwan Agarwal of M/s The Popular Cycle Mfg. Co. (Pvt.) Ltd. suggested the Commission to direct Distribution Licensees to accept bank guarantee from LMV-6 consumers where payment record is bad. He further submitted that for small LMV-6 consumers, the fixed charges should be on contract load and not on connected load, as per the direction of the Commission. He added that for any overload the consumer is already paying Penal Charges on tariff and there should not be double penalty.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Naveen Khanna, Chairman, Kanpur Chapter of Indian industries Association submitted that burdening small and medium power consumers with 18.5% Tariff hike is highly unjustified. He submitted that the contribution of this sector in socioeconomic development of the nation as well as the power sector is next to agriculture. He further submitted that consume</w:t>
      </w:r>
      <w:r w:rsidRPr="00B53423">
        <w:t xml:space="preserve">rs of this category are required to be spared from the load of any kind of cross-subsidies / further Tariff hike and therefore, requested the Commission to not accept the proposal of increasing the energy charges of LMV-6 Category.  </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0174C0">
      <w:pPr>
        <w:numPr>
          <w:ilvl w:val="0"/>
          <w:numId w:val="44"/>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With regard to Tariff hike for small and medium industries, the Petitioner submitted that it has </w:t>
      </w:r>
      <w:r w:rsidRPr="00B53423">
        <w:rPr>
          <w:bCs w:val="0"/>
        </w:rPr>
        <w:t>proposed</w:t>
      </w:r>
      <w:r w:rsidRPr="00B53423">
        <w:t xml:space="preserve"> hike in electricity Tariff as the cost of service has gone up and the detailed rationale for hike in Tariff has been provided in the ARR Petition.</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44"/>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As regar</w:t>
      </w:r>
      <w:r w:rsidRPr="00B53423">
        <w:rPr>
          <w:bCs w:val="0"/>
        </w:rPr>
        <w:t>ds matter related to confirmation pertaining to electricity duty exemption / applicability / leviability status on power loom consumers falling under LMV-6 category, the Commission opines that the matter related to electricity duty exemption and subsidy relates to GoUP and the stakeholders may approach GoUP in the matter. While as regards the approved tariff rates, the detailed design may be referred in the Rate Schedule provided subsequently in this Order.</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As regards the matter of obtaining Bank Guarantee, the matter is not related to ARR and Tariff Determination process,</w:t>
      </w:r>
      <w:r w:rsidRPr="00B53423">
        <w:t xml:space="preserve"> however the Licensees are directed to look into the matter and take appropriate action on the same.</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2A1F3B" w:rsidRPr="00B53423" w:rsidRDefault="002A1F3B" w:rsidP="000174C0">
      <w:pPr>
        <w:pStyle w:val="Heading2"/>
        <w:keepNext w:val="0"/>
        <w:numPr>
          <w:ilvl w:val="1"/>
          <w:numId w:val="65"/>
        </w:numPr>
        <w:autoSpaceDE w:val="0"/>
        <w:autoSpaceDN w:val="0"/>
        <w:adjustRightInd w:val="0"/>
        <w:spacing w:before="120" w:line="240" w:lineRule="auto"/>
        <w:contextualSpacing/>
        <w:rPr>
          <w:caps/>
        </w:rPr>
      </w:pPr>
      <w:bookmarkStart w:id="329" w:name="_Toc396573733"/>
      <w:bookmarkStart w:id="330" w:name="_Toc399626138"/>
      <w:r w:rsidRPr="00B53423">
        <w:rPr>
          <w:caps/>
        </w:rPr>
        <w:t>TARIFF FOR BPL Category</w:t>
      </w:r>
      <w:bookmarkEnd w:id="329"/>
      <w:bookmarkEnd w:id="330"/>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45"/>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Avadhesh Kumar Verma, Chairman, Uttar Pradesh Rajya Vidyut Upbhoktha Parishad (UPRVUP) submitted that there are around 7 to 8 lakh poor domestic B.P.L / Lifeline Consumers and there is a proposal by the Licensees to reduce the life line slab from 150 units to 50 un</w:t>
      </w:r>
      <w:r w:rsidRPr="00B53423">
        <w:rPr>
          <w:bCs w:val="0"/>
        </w:rPr>
        <w:t xml:space="preserve">its per month which is unjustified and would overburden such consumers. He further submitted that in 11th five year plan, there was a programme of providing free electricity connections to 2 lakh BPL households of the State for which the Central Government had provided the grant of Rs 44 Crore @ Rs 2200/- per connection to the State Government. He further submitted that at present consumers having 1kW and 150 units have to pay approximately Rs. 400, however, if the proposal of the Licensees is to be accepted then such consumers will have to pay Rs. 700 Crore resulting in an increase of around 75% which proves that the proposal of the Licensees is irrelevant and against the poor consumers. He further requested the Commission to not to accept the Licensees’ proposal in this regards. He further submitted that the details of report regarding giving free connections to BPL consumers as per the scheme mentioned above should be sought from the Licensees and accordingly the proposal for change in consumption slab of BPL should be considered in the ARR of FY 2015-16.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He further submitted that on one hand poor rural unmetered domestic are being booked energy at 108 units per KW per month, and on other hand, the urban life line slab is being reduced from 150 units to 50 units per month, despite increasing requirements of consumption pattern which is unjustified. He added that the as far as the issue of reduction in Tariff of such consumers is concerned it is pertinent to mention that the GoUP provides subsidy for such consumers and if this subsidy is added to the prevailing Tariffs, then the actual tariffs will also appear to be higher.</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Dr. Pradeep Kumar Garg of Dr. Garg Nursing Home &amp; X-Ray Clinic requested the Commission to issue an Order so that weaker / life line consumers get only restricted and reasonable subsidized units.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Vishnu Bhagwan Agarwal of M/s The Popular Cycle Mfg. Co. (Pvt.) Ltd. and Mr. S. B. Agrawal, General Secretary of Associated Chambers of Commerce &amp; Industry of U.P submitte</w:t>
      </w:r>
      <w:r w:rsidRPr="00B53423">
        <w:t xml:space="preserve">d that the data of BPL consumers along with losses and number of connections should be made publicly available as the same will help in identification and checking high loss areas. </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0174C0">
      <w:pPr>
        <w:numPr>
          <w:ilvl w:val="0"/>
          <w:numId w:val="45"/>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With regard to the proposal to reduce the life line slab from 150 units to 50 units per month, the Lice</w:t>
      </w:r>
      <w:r w:rsidRPr="00B53423">
        <w:rPr>
          <w:bCs w:val="0"/>
        </w:rPr>
        <w:t xml:space="preserve">nsee submitted that in accordance with the EA 2003 the Tariff policy envisages a gradual reduction of cross subsidy with a trajectory so as to bring the tariffs within ±20% of the average cost of supply and accordingly the lifeline / BPL consumers slab has been reduced to 50 units per month. The Licensee further submitted that the tariff of poor rural unmetered domestic consumers is less as it is facilitated by the State Govt. and such assistance by State Govt. is not provided to the lifeline consumers.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 xml:space="preserve">The Licensee added that the tariff for Lifeline / BPL consumers has been proposed with another </w:t>
      </w:r>
      <w:r w:rsidRPr="00B53423">
        <w:t>objective apart from mentioned above of alignment of consumption norms for BPL category consumers with other States.</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45"/>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taken note of the above objections / suggestions made by the stakeholders in this regards. The Commission considers the above matter of concern and has </w:t>
      </w:r>
      <w:r w:rsidRPr="00B53423">
        <w:rPr>
          <w:bCs w:val="0"/>
        </w:rPr>
        <w:t>appropriately</w:t>
      </w:r>
      <w:r w:rsidRPr="00B53423">
        <w:t xml:space="preserve"> dealt the same in the Chapter Tariff Philosophy and Rate Schedule provided subsequently in this Order.</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31" w:name="_Toc396573734"/>
      <w:bookmarkStart w:id="332" w:name="_Toc399626139"/>
      <w:r w:rsidRPr="00B53423">
        <w:rPr>
          <w:caps/>
        </w:rPr>
        <w:t>Rate Schedule LMV-10</w:t>
      </w:r>
      <w:bookmarkEnd w:id="331"/>
      <w:bookmarkEnd w:id="332"/>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46"/>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 xml:space="preserve"> The representatives of Vidyut Karmchari Sanyukt Sangharsh Samiti, Uttar Pradesh requested the Com</w:t>
      </w:r>
      <w:r w:rsidRPr="00B53423">
        <w:rPr>
          <w:bCs w:val="0"/>
        </w:rPr>
        <w:t xml:space="preserve">mission to not modify the provisions of Rate Schedule of LMV-10 under Electricity Reforms Act 1999, U.P Reform Transfer Scheme 2000 and Electricity Act 2003.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D. C. Dixit, Chief Secretary, Uttar Pradesh Rajya Vidyut Parishad Abhiyanta Sangh submitted that the distribution power companies have proposed a hike of 45% for LMV-10 category which is applicable for departmental employees / pensioners / Retired employees. He contended that the tariff hike for LMV-1 category is only 10% while the tariff hike of 45% for LMV-10 is unreasonable and unjustifiable. He suggested that a tariff hike of 5% for LMV-10 category would be justifiable.</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D. C. Sharma of U.P. Vidyut Mazdoor Sangh submitted that the Licensees have proposed a tariff hik</w:t>
      </w:r>
      <w:r w:rsidRPr="00B53423">
        <w:t xml:space="preserve">e of 66%, 75%, </w:t>
      </w:r>
      <w:proofErr w:type="gramStart"/>
      <w:r w:rsidRPr="00B53423">
        <w:t>30</w:t>
      </w:r>
      <w:proofErr w:type="gramEnd"/>
      <w:r w:rsidRPr="00B53423">
        <w:t xml:space="preserve">% on LMV-10 category which is unjustified. In this regard, he suggested the Commission that there should be </w:t>
      </w:r>
      <w:r w:rsidR="00CD5A87" w:rsidRPr="00B53423">
        <w:t>T</w:t>
      </w:r>
      <w:r w:rsidRPr="00B53423">
        <w:t xml:space="preserve">ariff hike of only 10% to 15%. </w:t>
      </w:r>
    </w:p>
    <w:p w:rsidR="002A1F3B" w:rsidRPr="00B53423" w:rsidRDefault="002A1F3B" w:rsidP="0015232B">
      <w:pPr>
        <w:spacing w:line="312" w:lineRule="auto"/>
        <w:contextualSpacing/>
        <w:outlineLvl w:val="2"/>
        <w:rPr>
          <w:rFonts w:cs="Arial"/>
          <w:bCs/>
          <w:szCs w:val="26"/>
        </w:rPr>
      </w:pPr>
    </w:p>
    <w:p w:rsidR="002A1F3B" w:rsidRPr="00B53423" w:rsidRDefault="002A1F3B" w:rsidP="000174C0">
      <w:pPr>
        <w:numPr>
          <w:ilvl w:val="0"/>
          <w:numId w:val="46"/>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Petitioner replied that it has submitted an appropriate proposal after due deliberations and the proposals submitted may be accepted by the Commission.</w:t>
      </w:r>
    </w:p>
    <w:p w:rsidR="005D7AFD" w:rsidRPr="00B53423" w:rsidRDefault="005D7AFD" w:rsidP="0015232B">
      <w:pPr>
        <w:pStyle w:val="Heading3"/>
        <w:keepNext w:val="0"/>
        <w:numPr>
          <w:ilvl w:val="0"/>
          <w:numId w:val="0"/>
        </w:numPr>
        <w:spacing w:before="120"/>
        <w:ind w:left="993"/>
      </w:pPr>
    </w:p>
    <w:p w:rsidR="002A1F3B" w:rsidRPr="00B53423" w:rsidRDefault="002A1F3B" w:rsidP="000174C0">
      <w:pPr>
        <w:numPr>
          <w:ilvl w:val="0"/>
          <w:numId w:val="46"/>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has taken note of the above objections / suggestions made by the stakeholders in this regards and has appropriately designed the Tariff as detailed in Rate Schedule provided subsequently in this Order.</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33" w:name="_Toc396573735"/>
      <w:bookmarkStart w:id="334" w:name="_Toc399626140"/>
      <w:r w:rsidRPr="00B53423">
        <w:rPr>
          <w:caps/>
        </w:rPr>
        <w:t>Ashrams</w:t>
      </w:r>
      <w:bookmarkEnd w:id="333"/>
      <w:bookmarkEnd w:id="334"/>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57"/>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 xml:space="preserve"> The representatives of Agra Mandal Vyapar Sangathan submitted that the ashrams for old, blinds, orphans, widows, handicapped and NGOs have been categorised under LMV-4 or commercial category. They submitted that such organisations are for social benefits and do not hav</w:t>
      </w:r>
      <w:r w:rsidRPr="00B53423">
        <w:rPr>
          <w:bCs w:val="0"/>
        </w:rPr>
        <w:t xml:space="preserve">e sufficient source of income due to which they are able to pay their bills with difficulty. They further requested the Commission to either charge such organisations only fixed charge as per rural connection or provide 50% subsidy or categorise such organisations under domestic category. They further suggested the Commission that in case actual load of consumer is less than sanctioned load for continuous period of 3 months, then in such cases Licensees’ should reduce the load of such consumer for charging fixed charge.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He further submitted that meters are installed outside the premises of consumers, which may be destroyed by culprits. They requested the Commission to clarify on issue of responsible entity fo</w:t>
      </w:r>
      <w:r w:rsidRPr="00B53423">
        <w:t xml:space="preserve">r such destroyed meters. </w:t>
      </w:r>
    </w:p>
    <w:p w:rsidR="002A1F3B" w:rsidRPr="00B53423" w:rsidRDefault="002A1F3B" w:rsidP="0015232B">
      <w:pPr>
        <w:spacing w:line="312" w:lineRule="auto"/>
        <w:contextualSpacing/>
        <w:outlineLvl w:val="2"/>
        <w:rPr>
          <w:rFonts w:cs="Arial"/>
          <w:bCs/>
          <w:szCs w:val="26"/>
        </w:rPr>
      </w:pPr>
    </w:p>
    <w:p w:rsidR="002A1F3B" w:rsidRPr="00B53423" w:rsidRDefault="002A1F3B" w:rsidP="000174C0">
      <w:pPr>
        <w:numPr>
          <w:ilvl w:val="0"/>
          <w:numId w:val="57"/>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The Licensee submitted that no subsidy is being received from the State Government towards ‘Ashrams’, hence any reduction in their tariffs would be uncovered gap for the Licensees. Any move to</w:t>
      </w:r>
      <w:r w:rsidRPr="00B53423">
        <w:rPr>
          <w:bCs w:val="0"/>
        </w:rPr>
        <w:t xml:space="preserve"> to reduce the tariff of such consumers would hurt the Licensees who are already reeling under severe financial crisis.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As regards meters outside the premises of consumers, the Licensee submitted that it is adopting</w:t>
      </w:r>
      <w:r w:rsidRPr="00B53423">
        <w:t xml:space="preserve"> measures to curb theft and is acting within the provisions of the Supply Code and other orders by appropriate authorities in this regard.</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57"/>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has taken note of the above objections / suggestions made by the stakeholders in this regards. The Commission retains the existing dispensation regarding the category and tariff structure of such consumers. The details of the tariff applicable on such consumers have been discussed in the Rate Schedule provided subsequently in this Order.</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35" w:name="_Toc396573736"/>
      <w:bookmarkStart w:id="336" w:name="_Toc399626141"/>
      <w:r w:rsidRPr="00B53423">
        <w:rPr>
          <w:caps/>
        </w:rPr>
        <w:t>High Cost of Power Purchase</w:t>
      </w:r>
      <w:bookmarkEnd w:id="335"/>
      <w:bookmarkEnd w:id="336"/>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47"/>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Avadhesh Kumar Verma, Chairman, Uttar Pradesh Rajya Vidyut Upbhoktha Parishad (UPRVUP) submitted that inspite of purchasing cheaper power from Power Exchange, Power Companies purchase expensive power from Reliance and Bajaj. This is totally unjustified.  In this regard, he further suggested that power should be purchased from different sources on the basis of Merit Order, which in turn should be computed by adding both fixed cost and variable</w:t>
      </w:r>
      <w:r w:rsidRPr="00B53423">
        <w:rPr>
          <w:bCs w:val="0"/>
        </w:rPr>
        <w:t xml:space="preserve"> cost and the Tariffs should be accordingly set. He further contended that the Licensees are not able to purchase power from the exchange and instead are purchasing expensive power from sources like Bajaj and Reliance which has to be borne by the consumers and is not justifiable.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Rupak Gautam, Energy Controller, Indus Tower Ltd. submitted that the Utility is procuring nearly 35% of its power from expensive source @ Rs. 4.63 / unit from IPPs &amp; JVs and @ Rs. 4.89 / unit from cogeneration and other sources while power procurement cost from NHPC is currently Rs. 2.91 / unit, i.e., a difference of over 68%. He submitted that power procurement of expensive power indicates poor planning of the Licensees in their power procurement strategy. He further contended that it is thus unfair to penalize the consumers for poor planning and therefore requested the Commission to review the power procurement strategy of the Utility.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Rama Shankar Awasthi submitted that the power purchase projection submitted by the Licensees is bogus / illogical and highly inflated. He further requested the Commission to summon the Licensees under Section 142 for repeated and wilful non-compliance of the repeated directions of the Commission in the above matter. He added that since the power purchase cost is uncontrollable in nature and should be allowed as per actual therefore the Commission should also do a thorough prudence check.</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Rama Shankar Awasthi further submitted that the Tariff for the unmetered categories in the villages is calculated on the basis of 72 units per month. He further submitted that the Distribution Licensees receives subsidy from the GoUP for only 8 hours electricity supply to villages, and, if the Licensees are supplying electricity for more hours to the villages as per the directions of the State Government, then they should claim additional subsidy from the State which they are not claiming. He further contended that instead the Licensees are considering the resulting power purchase into account in the True-up Petition with the higher revenue gap. He further submitted that the same is not taken into account by the Commission at the time of finalization of True-up Petition and this higher power purchase is allowed by the Commission which results in regulatory surcharge or higher Tariff for the consumers.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P. K. Maskara, Director of Mahabir Jute Mills Limited of Gorakhpur submitted that the Licensees should provide clarification with regards to the cheaper power purchase from hydro ge</w:t>
      </w:r>
      <w:r w:rsidRPr="00B53423">
        <w:t>neration of 350 MW as declared by CM of UP.</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0174C0">
      <w:pPr>
        <w:numPr>
          <w:ilvl w:val="0"/>
          <w:numId w:val="47"/>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With regard to the contentions raised by Mr. Avadhesh Kumar Verma, the Licensees submitted that the power is purchased from different sources on the basis of merit order, which is dependent on the variable cost and the source having the lowest variable cost is given the preference while purchase of power.  The Licensees submitted that they have already submitted the detailed responses to the Commission vide letter no. 1710/RAU/ARR and Tariff FY 2014-15 dated 8</w:t>
      </w:r>
      <w:r w:rsidRPr="00B53423">
        <w:rPr>
          <w:vertAlign w:val="superscript"/>
        </w:rPr>
        <w:t>th</w:t>
      </w:r>
      <w:r w:rsidRPr="00B53423">
        <w:t xml:space="preserve"> July, 2014.</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47"/>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w:t>
      </w:r>
      <w:r w:rsidRPr="00B53423">
        <w:rPr>
          <w:bCs w:val="0"/>
        </w:rPr>
        <w:t>regards</w:t>
      </w:r>
      <w:r w:rsidRPr="00B53423">
        <w:t xml:space="preserve"> high power purchase</w:t>
      </w:r>
      <w:r w:rsidR="003C4DE7" w:rsidRPr="00B53423">
        <w:t xml:space="preserve"> cost</w:t>
      </w:r>
      <w:r w:rsidRPr="00B53423">
        <w:t>, the Commission took the matter seriously and had asked the Licensee to submit the actual power purchase data for FY 2012-13 and first three quarters (April 2013 to December 2013) of FY 2013-14. Based on the submission made by the Licensee the Commission has done prudence check and has determined and approved power purchase plan as detailed subsequently in this Order.</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37" w:name="_Toc396909043"/>
      <w:bookmarkStart w:id="338" w:name="_Toc396573737"/>
      <w:bookmarkStart w:id="339" w:name="_Toc399626142"/>
      <w:bookmarkEnd w:id="337"/>
      <w:r w:rsidRPr="00B53423">
        <w:rPr>
          <w:caps/>
        </w:rPr>
        <w:t>capacity of substations</w:t>
      </w:r>
      <w:bookmarkEnd w:id="338"/>
      <w:bookmarkEnd w:id="339"/>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33"/>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Avadhesh Kumar Verma, Chairman, Uttar Pradesh Rajya Vidyut Upbhoktha Parishad (</w:t>
      </w:r>
      <w:r w:rsidRPr="00B53423">
        <w:rPr>
          <w:bCs w:val="0"/>
        </w:rPr>
        <w:t>UPRVUP</w:t>
      </w:r>
      <w:r w:rsidRPr="00B53423">
        <w:t xml:space="preserve">) submitted that the sub-stations of the Licensees are of less capacity due to which the there is poor electricity supply to consumers and thus, the Licensees should improve its capacity before any Tariff hike.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representatives of Lucknow Jan Kalyan Mahamanch including Mr. Pitambar Bhatt submitted that old transformers / electric lines should be replaced with the higher capacity transformers / electric lines.    </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15232B">
      <w:pPr>
        <w:numPr>
          <w:ilvl w:val="0"/>
          <w:numId w:val="33"/>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regards the contention raised regarding less capacity of sub-stations, the Licensees submitted that the Commission has approved the capacity increase of various sub-stations in the </w:t>
      </w:r>
      <w:r w:rsidRPr="00B53423">
        <w:rPr>
          <w:bCs w:val="0"/>
        </w:rPr>
        <w:t>Capital</w:t>
      </w:r>
      <w:r w:rsidRPr="00B53423">
        <w:t xml:space="preserve"> Investment Plan which will help in improving the power supply to consumers. </w:t>
      </w:r>
    </w:p>
    <w:p w:rsidR="002A1F3B" w:rsidRPr="00B53423" w:rsidRDefault="002A1F3B" w:rsidP="0015232B">
      <w:pPr>
        <w:spacing w:line="312" w:lineRule="auto"/>
        <w:ind w:left="360"/>
        <w:contextualSpacing/>
        <w:rPr>
          <w:b/>
          <w:i/>
        </w:rPr>
      </w:pPr>
    </w:p>
    <w:p w:rsidR="002A1F3B" w:rsidRPr="00B53423" w:rsidRDefault="002A1F3B" w:rsidP="0015232B">
      <w:pPr>
        <w:numPr>
          <w:ilvl w:val="0"/>
          <w:numId w:val="33"/>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has taken note of the objection / suggestion given by the stakeholder. The Licensee must expedite the work of increasing the capacity of various sub-stations in accordance with the Capital Investment Plan so that above issue is resolved at the earliest.</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40" w:name="_Toc396573738"/>
      <w:bookmarkStart w:id="341" w:name="_Toc399626143"/>
      <w:r w:rsidRPr="00B53423">
        <w:rPr>
          <w:caps/>
        </w:rPr>
        <w:t>Late Payment</w:t>
      </w:r>
      <w:bookmarkEnd w:id="340"/>
      <w:bookmarkEnd w:id="341"/>
    </w:p>
    <w:p w:rsidR="005D7AFD" w:rsidRPr="00B53423" w:rsidRDefault="005D7AFD" w:rsidP="0015232B">
      <w:pPr>
        <w:pStyle w:val="Heading2"/>
        <w:keepNext w:val="0"/>
        <w:numPr>
          <w:ilvl w:val="0"/>
          <w:numId w:val="0"/>
        </w:numPr>
        <w:autoSpaceDE w:val="0"/>
        <w:autoSpaceDN w:val="0"/>
        <w:adjustRightInd w:val="0"/>
        <w:spacing w:before="120" w:line="240" w:lineRule="auto"/>
        <w:ind w:left="990"/>
        <w:contextualSpacing/>
        <w:rPr>
          <w:caps/>
        </w:rPr>
      </w:pPr>
    </w:p>
    <w:p w:rsidR="002A1F3B" w:rsidRPr="00B53423" w:rsidRDefault="002A1F3B" w:rsidP="000174C0">
      <w:pPr>
        <w:numPr>
          <w:ilvl w:val="0"/>
          <w:numId w:val="48"/>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Vishnu Bhagwan Agarwal of M/s The Popular Cycle Mfg. Co. (Pvt.) Ltd. submitted that overdue interest upto 3 months is 1.25% and afterwards it is 1.5%. He further contended that the interest cannot be compounded and should be shown separately in the bills. He also requeste</w:t>
      </w:r>
      <w:r w:rsidRPr="00B53423">
        <w:rPr>
          <w:bCs w:val="0"/>
        </w:rPr>
        <w:t xml:space="preserve">d that Interest on late payment of disputed charges where matters are sub-judice should be waived off.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 xml:space="preserve">Smt. Neerja Gautam of Dayal Bagh, Agra submitted that the late payment charge of her premises (which is vacant since the last 12 years) is Rs. 92,271.93 and on adding </w:t>
      </w:r>
      <w:proofErr w:type="gramStart"/>
      <w:r w:rsidRPr="00B53423">
        <w:rPr>
          <w:bCs w:val="0"/>
        </w:rPr>
        <w:t>the  interest</w:t>
      </w:r>
      <w:proofErr w:type="gramEnd"/>
      <w:r w:rsidRPr="00B53423">
        <w:rPr>
          <w:bCs w:val="0"/>
        </w:rPr>
        <w:t xml:space="preserve"> the sam</w:t>
      </w:r>
      <w:r w:rsidRPr="00B53423">
        <w:t xml:space="preserve">e has increased to around Rs. 1 lakh. In this regard, she requested the Commission to provide some relief in this matter of late payment charge along with extension in due date. </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0174C0">
      <w:pPr>
        <w:numPr>
          <w:ilvl w:val="0"/>
          <w:numId w:val="48"/>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As regards late payment surcharge the Licensee submitted that the issue does not pertain to the ARR and Tariff Petition for FY 2014-15. The Licensee urged the consumer may approach the concerned executive engineers of the division in which such consumers fall.</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48"/>
        </w:numPr>
        <w:spacing w:before="0" w:line="312" w:lineRule="auto"/>
        <w:contextualSpacing/>
        <w:rPr>
          <w:b/>
          <w:i/>
        </w:rPr>
      </w:pPr>
      <w:r w:rsidRPr="00B53423">
        <w:rPr>
          <w:b/>
          <w:i/>
        </w:rPr>
        <w:t>The Commission’s view:</w:t>
      </w:r>
    </w:p>
    <w:p w:rsidR="002A1F3B" w:rsidRPr="00B53423" w:rsidRDefault="00F126DD" w:rsidP="0015232B">
      <w:pPr>
        <w:pStyle w:val="Heading3"/>
        <w:keepNext w:val="0"/>
        <w:numPr>
          <w:ilvl w:val="2"/>
          <w:numId w:val="2"/>
        </w:numPr>
        <w:tabs>
          <w:tab w:val="clear" w:pos="936"/>
          <w:tab w:val="num" w:pos="993"/>
        </w:tabs>
        <w:spacing w:before="120"/>
        <w:ind w:left="993" w:hanging="993"/>
      </w:pPr>
      <w:r w:rsidRPr="00B53423">
        <w:t>The issue regarding the late payment surcharge has been appropriately dealt in the subsequent section named Tariff Philosophy.</w:t>
      </w:r>
    </w:p>
    <w:p w:rsidR="00564993" w:rsidRPr="00B53423" w:rsidRDefault="00564993" w:rsidP="0015232B">
      <w:pPr>
        <w:pStyle w:val="Heading2"/>
        <w:keepNext w:val="0"/>
        <w:numPr>
          <w:ilvl w:val="0"/>
          <w:numId w:val="0"/>
        </w:numPr>
        <w:autoSpaceDE w:val="0"/>
        <w:autoSpaceDN w:val="0"/>
        <w:adjustRightInd w:val="0"/>
        <w:spacing w:before="120" w:line="240" w:lineRule="auto"/>
        <w:ind w:left="990"/>
        <w:contextualSpacing/>
        <w:rPr>
          <w:caps/>
        </w:rPr>
      </w:pPr>
      <w:bookmarkStart w:id="342" w:name="_Toc396573739"/>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43" w:name="_Toc399626144"/>
      <w:r w:rsidRPr="00B53423">
        <w:rPr>
          <w:caps/>
        </w:rPr>
        <w:t>TARIFF LINKED TO NUMBER OF HOURS OF SUPPLY</w:t>
      </w:r>
      <w:bookmarkEnd w:id="342"/>
      <w:bookmarkEnd w:id="343"/>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34"/>
        </w:numPr>
        <w:spacing w:before="0" w:line="312" w:lineRule="auto"/>
        <w:contextualSpacing/>
        <w:rPr>
          <w:b/>
          <w:i/>
        </w:rPr>
      </w:pPr>
      <w:r w:rsidRPr="00B53423">
        <w:rPr>
          <w:b/>
          <w:i/>
        </w:rPr>
        <w:t>Comments / Suggestions of the Public</w:t>
      </w:r>
    </w:p>
    <w:p w:rsidR="002A1F3B" w:rsidRPr="00B53423" w:rsidRDefault="002A1F3B" w:rsidP="0015232B">
      <w:pPr>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R. K. Jain, Secretary, Western U. P. Chamber of Commerce and Industry, Bombay Bazar, Meerut Cantt, Mr. J. K. Jain of U.P. Govt. Pensioners Association, Ghaziabad and the representatives of Confederation of NCR Residents Welfare Associations (including Mr. P. S. Jain) su</w:t>
      </w:r>
      <w:r w:rsidRPr="00B53423">
        <w:rPr>
          <w:bCs w:val="0"/>
        </w:rPr>
        <w:t>bmitted that no demand charge/ fixed charge should be allowed till there is power shortage in U. P. or it should be linked with the hours of power supply.</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 xml:space="preserve">Mr. Vishnu Bhagwan Agarwal of M/s The Popular Cycle Mfg. Co. (Pvt.) Ltd. submitted that additional Tariff should be linked with hours of supply. He submitted that if the above concept is applied then Load Factor Rebate shall be given on actual hours of supply on MDI meters </w:t>
      </w:r>
      <w:r w:rsidRPr="00B53423">
        <w:t>which is based on the assumption of 24 hours electricity supply and accordingly proportionate rebate shall be allowed.</w:t>
      </w:r>
    </w:p>
    <w:p w:rsidR="002A1F3B" w:rsidRPr="00B53423" w:rsidRDefault="002A1F3B" w:rsidP="0015232B">
      <w:pPr>
        <w:pStyle w:val="ListParagraph"/>
        <w:spacing w:before="0" w:line="312" w:lineRule="auto"/>
        <w:ind w:left="180"/>
        <w:contextualSpacing/>
      </w:pPr>
    </w:p>
    <w:p w:rsidR="002A1F3B" w:rsidRPr="00B53423" w:rsidRDefault="002A1F3B" w:rsidP="0015232B">
      <w:pPr>
        <w:numPr>
          <w:ilvl w:val="0"/>
          <w:numId w:val="34"/>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As regards the suggestion of the objections related demand charges to be linked with hours of supply the Licensees submitted that fixed charges are part of Tariff and are levied for developing the required infrastructure and to meet the expenses incurred to maintain the supply at all the times. The Licensees submitted that these charges cannot be withdrawn, as they are</w:t>
      </w:r>
      <w:r w:rsidRPr="00B53423">
        <w:rPr>
          <w:bCs w:val="0"/>
        </w:rPr>
        <w:t xml:space="preserve"> levied as per provisions of Electricity Act, 2003. In the Tariff Order for FY 2002-03, the Commission has defined the said charges as </w:t>
      </w:r>
      <w:proofErr w:type="gramStart"/>
      <w:r w:rsidRPr="00B53423">
        <w:rPr>
          <w:bCs w:val="0"/>
        </w:rPr>
        <w:t>below :</w:t>
      </w:r>
      <w:proofErr w:type="gramEnd"/>
    </w:p>
    <w:p w:rsidR="005D7AFD" w:rsidRPr="00B53423" w:rsidRDefault="005D7AFD" w:rsidP="0015232B">
      <w:pPr>
        <w:pStyle w:val="Heading3"/>
        <w:keepNext w:val="0"/>
        <w:numPr>
          <w:ilvl w:val="0"/>
          <w:numId w:val="0"/>
        </w:numPr>
        <w:ind w:left="1440"/>
        <w:rPr>
          <w:bCs w:val="0"/>
          <w:i/>
        </w:rPr>
      </w:pPr>
    </w:p>
    <w:p w:rsidR="005D7AFD" w:rsidRPr="00B53423" w:rsidRDefault="002A1F3B" w:rsidP="0015232B">
      <w:pPr>
        <w:pStyle w:val="Heading3"/>
        <w:keepNext w:val="0"/>
        <w:numPr>
          <w:ilvl w:val="0"/>
          <w:numId w:val="0"/>
        </w:numPr>
        <w:ind w:left="1440"/>
        <w:rPr>
          <w:bCs w:val="0"/>
          <w:i/>
        </w:rPr>
      </w:pPr>
      <w:r w:rsidRPr="00B53423">
        <w:rPr>
          <w:bCs w:val="0"/>
          <w:i/>
        </w:rPr>
        <w:t xml:space="preserve">“Fixed / Demand Charge is meant to defray the capital related and other fixed costs while Energy Charges is meant to meet the running expenses i.e. fuel cost / variable portion of power purchase cost, etc. A Licensee requires machinery, plant equipment, sub-stations, and transmission lines, etc., all of which need a large capital outlay.  For this purpose it has to raise funds by obtaining loans. The loans have to be repaid with interest. In the total cost, provision is also to be made for depreciation on machinery, equipment and buildings, plants, machines, sub-stations and lines that have to be maintained. All these activities require large staff and their related cost.  These costs are largely fixed in nature and are levied as a part of tariff to recover such costs.”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It has bee</w:t>
      </w:r>
      <w:r w:rsidRPr="00B53423">
        <w:t xml:space="preserve">n further mentioned in the said Order that: </w:t>
      </w:r>
    </w:p>
    <w:p w:rsidR="00CD5A87" w:rsidRPr="00B53423" w:rsidRDefault="00CD5A87" w:rsidP="0015232B">
      <w:pPr>
        <w:pStyle w:val="ListParagraph"/>
        <w:ind w:left="1440"/>
        <w:rPr>
          <w:rFonts w:asciiTheme="minorHAnsi" w:hAnsiTheme="minorHAnsi" w:cstheme="minorHAnsi"/>
          <w:i/>
        </w:rPr>
      </w:pPr>
    </w:p>
    <w:p w:rsidR="002A1F3B" w:rsidRPr="00B53423" w:rsidRDefault="002A1F3B" w:rsidP="0015232B">
      <w:pPr>
        <w:pStyle w:val="ListParagraph"/>
        <w:ind w:left="1440"/>
        <w:rPr>
          <w:rFonts w:ascii="Times New Roman" w:hAnsi="Times New Roman"/>
          <w:i/>
        </w:rPr>
      </w:pPr>
      <w:r w:rsidRPr="00B53423">
        <w:rPr>
          <w:rFonts w:asciiTheme="minorHAnsi" w:hAnsiTheme="minorHAnsi" w:cstheme="minorHAnsi"/>
          <w:i/>
        </w:rPr>
        <w:t>“</w:t>
      </w:r>
      <w:proofErr w:type="gramStart"/>
      <w:r w:rsidRPr="00B53423">
        <w:rPr>
          <w:rFonts w:asciiTheme="minorHAnsi" w:hAnsiTheme="minorHAnsi" w:cstheme="minorHAnsi"/>
          <w:i/>
        </w:rPr>
        <w:t>the</w:t>
      </w:r>
      <w:proofErr w:type="gramEnd"/>
      <w:r w:rsidRPr="00B53423">
        <w:rPr>
          <w:rFonts w:asciiTheme="minorHAnsi" w:hAnsiTheme="minorHAnsi" w:cstheme="minorHAnsi"/>
          <w:i/>
        </w:rPr>
        <w:t xml:space="preserv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than there will be increase in some other charges as the utility has to recover on its prudently incurred cost from consumer.”</w:t>
      </w:r>
    </w:p>
    <w:p w:rsidR="005D7AFD" w:rsidRPr="00B53423" w:rsidRDefault="005D7AFD" w:rsidP="0015232B">
      <w:pPr>
        <w:pStyle w:val="Heading3"/>
        <w:keepNext w:val="0"/>
        <w:numPr>
          <w:ilvl w:val="0"/>
          <w:numId w:val="0"/>
        </w:numPr>
        <w:spacing w:before="120"/>
        <w:ind w:left="993"/>
        <w:rPr>
          <w:b/>
          <w:i/>
        </w:rPr>
      </w:pPr>
    </w:p>
    <w:p w:rsidR="002A1F3B" w:rsidRPr="00B53423" w:rsidRDefault="002A1F3B" w:rsidP="0015232B">
      <w:pPr>
        <w:pStyle w:val="Heading3"/>
        <w:keepNext w:val="0"/>
        <w:numPr>
          <w:ilvl w:val="2"/>
          <w:numId w:val="2"/>
        </w:numPr>
        <w:tabs>
          <w:tab w:val="clear" w:pos="936"/>
          <w:tab w:val="num" w:pos="993"/>
        </w:tabs>
        <w:spacing w:before="120"/>
        <w:ind w:left="993" w:hanging="993"/>
        <w:rPr>
          <w:b/>
          <w:i/>
        </w:rPr>
      </w:pPr>
      <w:r w:rsidRPr="00B53423">
        <w:t>The Licensee submitted that in view of the above, these charges are logical and necessary. The Licensee submitted that fixed charges constitute around 40% of the total expenses of the Distribution Licensees; however, the revenue assessment from fixed charges is less than the 40% of the total expenses of the Licensees</w:t>
      </w:r>
      <w:r w:rsidRPr="00B53423">
        <w:rPr>
          <w:rFonts w:ascii="Times New Roman" w:hAnsi="Times New Roman"/>
        </w:rPr>
        <w:t>.</w:t>
      </w:r>
    </w:p>
    <w:p w:rsidR="002A1F3B" w:rsidRPr="00B53423" w:rsidRDefault="002A1F3B" w:rsidP="0015232B">
      <w:pPr>
        <w:spacing w:line="312" w:lineRule="auto"/>
        <w:ind w:left="360"/>
        <w:contextualSpacing/>
        <w:rPr>
          <w:b/>
          <w:i/>
        </w:rPr>
      </w:pPr>
    </w:p>
    <w:p w:rsidR="002A1F3B" w:rsidRPr="00B53423" w:rsidRDefault="002A1F3B" w:rsidP="0015232B">
      <w:pPr>
        <w:numPr>
          <w:ilvl w:val="0"/>
          <w:numId w:val="34"/>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taken note of the objections / suggestions </w:t>
      </w:r>
      <w:r w:rsidRPr="00B53423">
        <w:rPr>
          <w:bCs w:val="0"/>
        </w:rPr>
        <w:t>made</w:t>
      </w:r>
      <w:r w:rsidRPr="00B53423">
        <w:t xml:space="preserve"> by the stakeholders in this regards</w:t>
      </w:r>
      <w:r w:rsidR="00036500">
        <w:t>.</w:t>
      </w:r>
    </w:p>
    <w:p w:rsidR="002A1F3B" w:rsidRPr="00B53423" w:rsidRDefault="002A1F3B" w:rsidP="0015232B">
      <w:pPr>
        <w:pStyle w:val="Heading2"/>
        <w:keepNext w:val="0"/>
        <w:numPr>
          <w:ilvl w:val="0"/>
          <w:numId w:val="0"/>
        </w:numPr>
        <w:ind w:left="360"/>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44" w:name="_Toc396573740"/>
      <w:bookmarkStart w:id="345" w:name="_Toc399626145"/>
      <w:r w:rsidRPr="00B53423">
        <w:rPr>
          <w:caps/>
        </w:rPr>
        <w:t>Fixed Charge and Energy Charge</w:t>
      </w:r>
      <w:bookmarkEnd w:id="344"/>
      <w:bookmarkEnd w:id="345"/>
    </w:p>
    <w:p w:rsidR="002A1F3B" w:rsidRPr="00B53423" w:rsidRDefault="002A1F3B" w:rsidP="0015232B">
      <w:pPr>
        <w:pStyle w:val="Heading2"/>
        <w:keepNext w:val="0"/>
        <w:numPr>
          <w:ilvl w:val="0"/>
          <w:numId w:val="0"/>
        </w:numPr>
        <w:ind w:left="780"/>
        <w:rPr>
          <w:caps/>
        </w:rPr>
      </w:pPr>
    </w:p>
    <w:p w:rsidR="00036500" w:rsidRDefault="00036500" w:rsidP="00036500">
      <w:pPr>
        <w:spacing w:before="0" w:line="312" w:lineRule="auto"/>
        <w:ind w:left="360"/>
        <w:contextualSpacing/>
        <w:rPr>
          <w:b/>
          <w:i/>
        </w:rPr>
      </w:pPr>
    </w:p>
    <w:p w:rsidR="002A1F3B" w:rsidRPr="00B53423" w:rsidRDefault="002A1F3B" w:rsidP="000174C0">
      <w:pPr>
        <w:numPr>
          <w:ilvl w:val="0"/>
          <w:numId w:val="63"/>
        </w:numPr>
        <w:spacing w:before="0" w:line="312" w:lineRule="auto"/>
        <w:contextualSpacing/>
        <w:rPr>
          <w:b/>
          <w:i/>
        </w:rPr>
      </w:pPr>
      <w:r w:rsidRPr="00B53423">
        <w:rPr>
          <w:b/>
          <w:i/>
        </w:rPr>
        <w:t>Comments / Suggestions of the Public</w:t>
      </w:r>
    </w:p>
    <w:p w:rsidR="00036500" w:rsidRPr="00036500" w:rsidRDefault="00036500" w:rsidP="00036500">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 xml:space="preserve">Dr. Pradeep Kumar Garg of Dr. Garg Nursing Home &amp; X-Ray Clinic requested the Commission to remove the sanctioned load based fixed charge from </w:t>
      </w:r>
      <w:r w:rsidRPr="00B53423">
        <w:rPr>
          <w:bCs w:val="0"/>
        </w:rPr>
        <w:t xml:space="preserve">the Tariff recommended for the Ordinary LMV-1&amp;2 consumers.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He further submitted that the sanctioned load is basically aimed to protect the distribution mains from the overload. He further submitted that ordinary consumer is forced to accept this allowed sanctioned load under fear of the monopoly of the UPPCL and provision of overload assessment penalty. He contended that sanctioned load is the upper limit which a consumer can create on the system and the consumer pays for the sanctioned load via system loading charges. He further submitted that charging of both the fixed charge and cost of depreciation to recover the cost of fixed assets from the consumers is unjustified.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The representatives of Confederation of Residents Welfare Associations (Regd.), Mr. Mahesh Meghani of Association of Industrialists &amp; Merchants, Mr. Vishwanath Rai of Matdata vichar Samiti, Varanasi, Retd. Major Sukhbir Singh and Mr. Avadhesh Kumar Verma, Chairman, Uttar Pradesh Rajya Vidyut Upbhoktha Parishad (UPRVUP) submitted that fixed charges should either be avoided or reduced. Further, the representatives of Bhartiya Janta Party, Agra submitted that fixed charges should be reduced similar to that in Gujarat.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The representatives of Shramik Basti Sewa Samiti (including Mr. M. Ahmed) requested the Commission to clarify about the increase of fixed charges by Rs. 10/kW. He also suggested that fixed charges should be linked with the hours of power supply.</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B.C. Mittal submitted that the minimum fixed charges are being charged in addition to the actual consumption of units which is illogical as the power supply is restricted. He further submitted that there is no logic for graduated scale of rates and the charging of minimum fixed charges, especially when the schedule of rates is worked out to cater these issues. He further contended that fixed duty is charged on the total electricity </w:t>
      </w:r>
      <w:proofErr w:type="gramStart"/>
      <w:r w:rsidRPr="00B53423">
        <w:rPr>
          <w:bCs w:val="0"/>
        </w:rPr>
        <w:t>bills,</w:t>
      </w:r>
      <w:proofErr w:type="gramEnd"/>
      <w:r w:rsidRPr="00B53423">
        <w:rPr>
          <w:bCs w:val="0"/>
        </w:rPr>
        <w:t xml:space="preserve"> instead it should be on actual consumption of units. He added that justification should be provided for the increase of electricity duty.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Vishnu Bhagwan Agarwal of M/s The Popular Cycle Mfg. Co. (Pvt.) Ltd. submitted that the rate charge should be redefined to read energy charge-Load Factor amount. He further submitted that electricity duty should be charged on kWh reading and not on kVAh reading and there should be no compulsory RMU charges if multi feeder supply is not opted. He added that beyond 200 kVA, the charge can be made if multi feeder supply system is available and physically connected.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The representatives of Federation of Noida Residents Welfare Association (including Mr. N. P. Singh) submitted that the total sanctioned load of UP is 35000 MW against available power supply of 11000 MW. However, UPPCL have been levying fixed charges on the basis of connected load which is manifold than the available power supply, hence, it is unjustifiable to charge fixed charges.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Narendra Kumar Dubey of Bhartiya Janta Party, Agra submitted that earlier free units were provided with fixed charge per kW. He suggested that free units should be provided to consumers for payment of fixed charge per kW and fixed charge should be reduced in case the usable demand is less than the sanctioned demand for continuous 3 months.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Pradeep Singhal, Director of Rama Agro &amp; Allied Industries Pvt. Ltd. submitted that consumers should not be penalized with demand charges penalty if actual load is more than sanctioned load.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Rajni Kant </w:t>
      </w:r>
      <w:proofErr w:type="gramStart"/>
      <w:r w:rsidRPr="00B53423">
        <w:rPr>
          <w:bCs w:val="0"/>
        </w:rPr>
        <w:t>Shukla,</w:t>
      </w:r>
      <w:proofErr w:type="gramEnd"/>
      <w:r w:rsidRPr="00B53423">
        <w:rPr>
          <w:bCs w:val="0"/>
        </w:rPr>
        <w:t xml:space="preserve"> submitted that clarification should be provided by the Licensee for increasing load of consumers continuously from 2008 to 2013 without physical verification.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D. C. Sharma, UP Vidyut Majdoor Sangh, Lucknow, Mr. Govind Agarwal, Agra Mandal Vyapar Sangathan, Agra submitted that if the actual load of any consumer is higher than the sanctioned load due to any reason in one month in such case the Licensees increases the load of the consumers and fixed charge and penalty are levied on this increased load whereas as per the Commission’s direction the load can be increase only if the actual load is more than sanction load for continuous 3 cycles. However, if the actual load is continuously lower than the sanctioned load, the load is not decreased. They further suggested that in case actual load of consumer is less than sanctioned load for 3 continuous cycles , then in such cases Licensees’ should reduce the load of such consumer for levying fixed charges.</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Rama Shankar Awasthi submitted that the proposed fixed charges / demand charges being collected by the Licensees are greater than the cumulative transmission capacity available in the State. He requested the Commission to study proposed fixed charges / demand charges in detail and only then allow any increase in fixed charges / demand charges.</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G. C. Chaturvedi of Indian Industries Association submitted that demand charges should be proportionate to the electricity consumed and as such proposal of levying minimum 85% demand charges of the contracted load is illogical and unfair. He further submitted that electricity duty is being charged on fixed charges /demand charges as well as the charges of electricity consumed. He contended that charging electricity duty on fixed / demand charges are illogical and hence should not be approved by the Commission.</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Mohan Singh Chahan, Chairman of Kisan Bachao Sangharsh Samiti suggested that for metered domestic category of consumers, fixed charge should be reduced from Rs. 75/- to Rs. 50/-.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Lt. CDR (Retd) G.C. Shrivastava submitted that fixed charges ar</w:t>
      </w:r>
      <w:r w:rsidRPr="00B53423">
        <w:t xml:space="preserve">e imposed on kW load (minimum 2 kW), but in low voltage electrical gadgets cannot be used regularly and safely and eventually the consumers are paying extra charges for improper services provided.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63"/>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Licensees submitted that fixed charges are part of Tariff and are levied for developing the required infrastructure and to meet the expenses incurred to maintain the supply at all the times. These charges cannot be withdrawn, as they are levied as per provisions of Electricity Act, </w:t>
      </w:r>
      <w:r w:rsidRPr="00B53423">
        <w:rPr>
          <w:bCs w:val="0"/>
        </w:rPr>
        <w:t>2003</w:t>
      </w:r>
      <w:r w:rsidRPr="00B53423">
        <w:t xml:space="preserve">. The Licensees submitted that in the Tariff Order for FY 2002-03, </w:t>
      </w:r>
      <w:proofErr w:type="gramStart"/>
      <w:r w:rsidRPr="00B53423">
        <w:t>the  Commission</w:t>
      </w:r>
      <w:proofErr w:type="gramEnd"/>
      <w:r w:rsidRPr="00B53423">
        <w:t xml:space="preserve"> has defined the said charges as below:</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ListParagraph"/>
        <w:spacing w:before="0" w:line="312" w:lineRule="auto"/>
        <w:ind w:left="1440"/>
        <w:contextualSpacing/>
        <w:rPr>
          <w:i/>
          <w:szCs w:val="26"/>
        </w:rPr>
      </w:pPr>
      <w:r w:rsidRPr="00B53423">
        <w:rPr>
          <w:i/>
          <w:szCs w:val="26"/>
        </w:rPr>
        <w:t>“Fixed / Demand Charge is meant to defray the capital related and other fixed costs while Energy Charges is meant to meet the running expenses i.e. fuel cost / variable portion of power purchase cost, etc. A Licensee requires machinery, plant equipment, sub-stations, and transmission lines, etc., all of which need a large capital outlay. For this purpose it has to raise funds by obtaining loans. The loans have to be repaid with interest. In the total cost, provision is also to be made for depreciation on machinery, equipment and buildings, plants, machines, substations and lines that have to be maintained. All these activities require large staff and their related cost. These costs are 1argely fixed in nature and are levied as a part of tariff to recover such costs.”</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It has been </w:t>
      </w:r>
      <w:r w:rsidRPr="00B53423">
        <w:rPr>
          <w:bCs w:val="0"/>
        </w:rPr>
        <w:t>further</w:t>
      </w:r>
      <w:r w:rsidRPr="00B53423">
        <w:t xml:space="preserve"> mentioned in the said Order that:</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ListParagraph"/>
        <w:spacing w:before="0" w:line="312" w:lineRule="auto"/>
        <w:ind w:left="1440"/>
        <w:contextualSpacing/>
        <w:rPr>
          <w:i/>
          <w:szCs w:val="26"/>
        </w:rPr>
      </w:pPr>
      <w:r w:rsidRPr="00B53423">
        <w:rPr>
          <w:i/>
          <w:szCs w:val="26"/>
        </w:rPr>
        <w:t>“</w:t>
      </w:r>
      <w:proofErr w:type="gramStart"/>
      <w:r w:rsidRPr="00B53423">
        <w:rPr>
          <w:i/>
          <w:szCs w:val="26"/>
        </w:rPr>
        <w:t>the</w:t>
      </w:r>
      <w:proofErr w:type="gramEnd"/>
      <w:r w:rsidRPr="00B53423">
        <w:rPr>
          <w:i/>
          <w:szCs w:val="26"/>
        </w:rPr>
        <w:t xml:space="preserv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then there will be increase in some other charges as the utility has to recover on its prudently incurred cost from consumer.”</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Licensees submitted that in view of above, it is clarified that these charges are logical and necessary. In this regard, the Petitioner further submitted that fixed charges constitute around 40% of the total expenses of the Distribution Licensees. However, the revenue assessment from fixed charges is less than the 40% of the total expenses of the Distribution Licensees.</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As regard the contention related to increase in load the Licensee submitted that the Commission has recently issued an Order to clarify this issue and i</w:t>
      </w:r>
      <w:r w:rsidRPr="00B53423">
        <w:rPr>
          <w:bCs w:val="0"/>
        </w:rPr>
        <w:t xml:space="preserve">t would strictly abide by the directions contained in such Order.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The Licensee submitted that billing is being done as per the Rate Schedule approved by the Commission in the Tariff Orders and considering other provisions of the Supply Code, etc. The Orders of the Commission are being followed in letter and spirit by the Licensees. However, in case any specific discrepancy in consumer billing is brou</w:t>
      </w:r>
      <w:r w:rsidRPr="00B53423">
        <w:t>ght to the knowledge of the Licensee, it is immediately rectified and consumer grievance is promptly addressed.</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63"/>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 xml:space="preserve">The Commission has taken note of the above objections / suggestions made by the stake holders </w:t>
      </w:r>
      <w:r w:rsidRPr="00B53423">
        <w:rPr>
          <w:bCs w:val="0"/>
        </w:rPr>
        <w:t>in this regards. Fixed / Demand Charge is meant to defray the capital related and other fixed costs. A distribution Licensee requires machinery, plant equipment, sub-stations, and transmission lines etc., all of which need a large capital outlay.  Laying down the said infrastructure requires funds which are raised either through debt or equity; both of which come at a cost. Further debt funds are to be repaid and equity has to be serviced through return. In the total cost, provision is also to be made for depreciation on machinery, equipment and buildings, plants, machines, sub-stations and lines that have to be maintained.  All these activities require large staff and their related cost.  These costs are largely fixed in nature and are levied as a part of tariff to recover such costs. The Commission has, only after considering the interest of consumer as well as of the Licensee, approved the hike in fixed charges as it reflects cost of supply.</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The demand charges and energy charges have been increased in consideration of the Electricit</w:t>
      </w:r>
      <w:r w:rsidRPr="00B53423">
        <w:t xml:space="preserve">y Act, 2003 and the National Tariff Policy.  </w:t>
      </w:r>
    </w:p>
    <w:p w:rsidR="002A1F3B" w:rsidRPr="00B53423" w:rsidRDefault="002A1F3B" w:rsidP="0015232B">
      <w:pPr>
        <w:spacing w:line="312" w:lineRule="auto"/>
        <w:ind w:left="360"/>
        <w:contextualSpacing/>
        <w:rPr>
          <w:b/>
          <w:i/>
        </w:rPr>
      </w:pP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46" w:name="_Toc396573741"/>
      <w:bookmarkStart w:id="347" w:name="_Toc399626146"/>
      <w:r w:rsidRPr="00B53423">
        <w:rPr>
          <w:caps/>
        </w:rPr>
        <w:t>Load Factor Rebate</w:t>
      </w:r>
      <w:bookmarkEnd w:id="346"/>
      <w:bookmarkEnd w:id="347"/>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58"/>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S. B. A</w:t>
      </w:r>
      <w:r w:rsidRPr="00B53423">
        <w:rPr>
          <w:bCs w:val="0"/>
        </w:rPr>
        <w:t xml:space="preserve">grawal, Mr. K. L. Aggarwal, Chairman, Associated Chambers of Commerce &amp; Industry of U.P., Mr. Rajeev Gupta, Vice President of Associated Chambers of Commerce &amp; Industry of Uttar Pradesh and Mr. Atul Gupta, President of National Chamber of Industries &amp; Commerce, UP submitted that the Electricity Duty and Regulatory Surcharge is being calculated on gross amount of energy charges + demand / fixed charges. However, in accordance with the computation method given in Tariff Order for FY 2013-14, ‘Rate Charge’ for computing Electricity Duty and Regulatory Surcharge should be applicable on net amount of bill for energy, i.e. energy charges + demand / fixed charges – load factor / power factor rebate amount. Further, in another submission Mr. K. L. Aggarwal, Chairman, Associated Chambers of Commerce &amp; Industry of U. P. and Mr. R. K. Chaudhary, Chairman, Indian Industries Association Varanasi Chapter suggested that the demand charges should be excluded from the definition of ‘Rate Charge’ and it should only be Energy Charge – Load Factor Amount.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Further, Mr. S. B. Agrawal, General Secretary of Associated Chambers of Commerce &amp; Industry of U.P, Mr. Rajeev Gupta, Vice President of Associated Chambers of Commerce &amp; Industry of Uttar Pradesh and Mr. Atul Gupta, President of National Chamber of Industries &amp; Commerce, UP submitted that the rate of electricity duty is presently ad-voleram at the rate of 7.5% of Rate Charge (as against earlier rate of 9%) and further, the Commission vide its Order dated 6th June, 2014 has decided to levy regulatory surcharge at 2.84% for extended period of 2 years, i.e. 2014-15 and 2015-16.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P. K. Maskara, Director of Mahabir Jute Mills Limited of Gorakhpur submitted that ‘Rate Charge’ should be clearly defined as ‘Unit Charge + Demand Charge - Rebate based on units of consumption’. He further suggested that Electricity Duty should also be calculated on same ground after deducting the load factor rebate.</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Further, Mr. K. L. Aggarwal submitted that the provisions of load factor rebate for consumers of HV-2, LMV-2 and LMV-6 categories should be modified and the minimum requirement for consumption of energy units per kVA should be decreased from 396 units to 360 units.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Rama Shankar Awasthi submitted that the proposed load factor rebate will increase the Tariff by</w:t>
      </w:r>
      <w:r w:rsidRPr="00B53423">
        <w:t xml:space="preserve"> around 12.5% on an average. In this regard, he requested the Commission to retain the existing LFR and modify it as follows: </w:t>
      </w:r>
    </w:p>
    <w:p w:rsidR="002A1F3B" w:rsidRPr="00B53423" w:rsidRDefault="002A1F3B" w:rsidP="000174C0">
      <w:pPr>
        <w:pStyle w:val="ListParagraph"/>
        <w:numPr>
          <w:ilvl w:val="0"/>
          <w:numId w:val="70"/>
        </w:numPr>
        <w:ind w:left="1530"/>
      </w:pPr>
      <w:r w:rsidRPr="00B53423">
        <w:t>&gt;392 -7.5% of full tariff</w:t>
      </w:r>
    </w:p>
    <w:p w:rsidR="002A1F3B" w:rsidRPr="00B53423" w:rsidRDefault="002A1F3B" w:rsidP="000174C0">
      <w:pPr>
        <w:pStyle w:val="ListParagraph"/>
        <w:numPr>
          <w:ilvl w:val="0"/>
          <w:numId w:val="70"/>
        </w:numPr>
        <w:ind w:left="1530"/>
      </w:pPr>
      <w:r w:rsidRPr="00B53423">
        <w:t xml:space="preserve">&gt;452 - 10% of full tariff </w:t>
      </w:r>
    </w:p>
    <w:p w:rsidR="002A1F3B" w:rsidRPr="00B53423" w:rsidRDefault="002A1F3B" w:rsidP="000174C0">
      <w:pPr>
        <w:pStyle w:val="ListParagraph"/>
        <w:numPr>
          <w:ilvl w:val="0"/>
          <w:numId w:val="70"/>
        </w:numPr>
        <w:ind w:left="1530"/>
      </w:pPr>
      <w:r w:rsidRPr="00B53423">
        <w:t>&gt;504 - 15% of full tariff</w:t>
      </w:r>
    </w:p>
    <w:p w:rsidR="002A1F3B" w:rsidRPr="00B53423" w:rsidRDefault="002A1F3B" w:rsidP="0015232B">
      <w:pPr>
        <w:pStyle w:val="ListParagraph"/>
        <w:spacing w:before="0" w:line="312" w:lineRule="auto"/>
        <w:ind w:left="162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R. K. </w:t>
      </w:r>
      <w:r w:rsidRPr="00B53423">
        <w:rPr>
          <w:bCs w:val="0"/>
        </w:rPr>
        <w:t>Chaudhary</w:t>
      </w:r>
      <w:r w:rsidRPr="00B53423">
        <w:t xml:space="preserve">, Chairman, Indian Industries Association Varanasi Chapter submitted that the Licensees should provide clarification regarding abolition of load factor rebate. </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0174C0">
      <w:pPr>
        <w:numPr>
          <w:ilvl w:val="0"/>
          <w:numId w:val="58"/>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regards the issue of charging Regulatory Surcharge on the bill amount after netting off Power Factor Load factor rebate, the Licensees replied that the Commission has already clarified the </w:t>
      </w:r>
      <w:r w:rsidRPr="00B53423">
        <w:rPr>
          <w:bCs w:val="0"/>
        </w:rPr>
        <w:t>issue</w:t>
      </w:r>
      <w:r w:rsidRPr="00B53423">
        <w:t xml:space="preserve"> in the Clarifications in regard to the Tariff Order for FY 2013-14 (Clarification No. 1) vide Ref No: UPERC/D(T)RAU/2013-402 dated 25</w:t>
      </w:r>
      <w:r w:rsidRPr="00B53423">
        <w:rPr>
          <w:vertAlign w:val="superscript"/>
        </w:rPr>
        <w:t>th</w:t>
      </w:r>
      <w:r w:rsidRPr="00B53423">
        <w:t xml:space="preserve"> June, 2013.</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As regards to the issue of decreasing minimum requirement for consumption of energy units per KVA from 396 units  to 360 units, the Licensees replied that the load factor rebate has been abolished i</w:t>
      </w:r>
      <w:r w:rsidRPr="00B53423">
        <w:rPr>
          <w:bCs w:val="0"/>
        </w:rPr>
        <w:t xml:space="preserve">n the Tariff Proposal for FY 2014-15, hence, this issue is no more relevant.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As regards the abolition of load factor rebate, the Licensees clarified that Load Factor rebate was approved by the Commission in the Tariff Order for FY 2001-02 with a view to encourage better load utilisation to HV-2 consumers above 50% utilisation and lower system losses and better system operation. The Licensees submitted that at that point of time, theft in industries was rampant, however, in the current context, the situation has changed. The Licensees submitted that Load factor rebate had been introduced earlier in large and heavy consumers to curb the theft of electricity, however, now the Licensees have installed high precision meters to monitor the trend and other parameters and as such it appears that there is no nee</w:t>
      </w:r>
      <w:r w:rsidRPr="00B53423">
        <w:t>d to provide incentive for consumption and therefore they has proposed to abolish the load factor rebate.</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58"/>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The Comm</w:t>
      </w:r>
      <w:r w:rsidRPr="00B53423">
        <w:rPr>
          <w:bCs w:val="0"/>
        </w:rPr>
        <w:t>ission has noted the above objections / suggestions made by the stakeholders in this regards. The Commission has decided to discontinue with the Load Factor Rebate as also proposed by the Licensee. The detailed rationale has been discussed in Chapter Tariff Philosophy of this Order.</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 xml:space="preserve"> As regards the suggestions given by the stakeholders on the definition of ‘Rate Charge’ the Commission has taken note of the above. The term ‘Rate’ and ‘Rate Charge’ are same and the term ‘Rate’ has been clearly defined in the Rate Schedule provided subsequently in this </w:t>
      </w:r>
      <w:proofErr w:type="gramStart"/>
      <w:r w:rsidRPr="00B53423">
        <w:rPr>
          <w:bCs w:val="0"/>
        </w:rPr>
        <w:t>Order.</w:t>
      </w:r>
      <w:proofErr w:type="gramEnd"/>
      <w:r w:rsidR="00F126DD" w:rsidRPr="00B53423">
        <w:rPr>
          <w:bCs w:val="0"/>
        </w:rPr>
        <w:t xml:space="preserve">  As per the definition, Rate means only the Fixed / Demand charge and energy charges.</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48" w:name="_Toc396573742"/>
      <w:bookmarkStart w:id="349" w:name="_Toc399626147"/>
      <w:r w:rsidRPr="00B53423">
        <w:rPr>
          <w:caps/>
        </w:rPr>
        <w:t>TARIFFS FOR Rural Domestic / Agricultural Category</w:t>
      </w:r>
      <w:bookmarkEnd w:id="348"/>
      <w:bookmarkEnd w:id="349"/>
      <w:r w:rsidRPr="00B53423">
        <w:rPr>
          <w:caps/>
        </w:rPr>
        <w:t xml:space="preserve"> </w:t>
      </w:r>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35"/>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Avadhesh Kumar Verma, Chairman, Uttar Pradesh Rajya Vidyut Upbhoktha Parishad (UPRVUP) submitted that the charge of Rs. 180 per connection for the rural consumers is totally w</w:t>
      </w:r>
      <w:r w:rsidRPr="00B53423">
        <w:rPr>
          <w:bCs w:val="0"/>
        </w:rPr>
        <w:t xml:space="preserve">rong and this should be reduced to Rs. 150 per connection. He also submitted that the Tariff fixing of Rs. 100 / B.H.P / month for rural agricultural consumers should be reduced to Rs. 75 / B.H.P / month.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P. N. Kanki of Akhil Bhartiya Matadhikari Sangh submitted that electricity is not supplied properly in rural areas and is being supplied for only 2-6 hours for the time duration between 11 PM to 3 AM at night or 11 AM to 4 PM at day, when there is no need of electricity. He further submitted that the villages getting 24 hour electricity supply get poor quality supply with very low voltage. Moreover, the villages are billed with the addition of fixed charge for poor quality of electricity. He added that the rural consumers are ready to pay electricity Tariffs for their PTW connections at even commercial Tariff if they get quality power.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proofErr w:type="gramStart"/>
      <w:r w:rsidRPr="00B53423">
        <w:rPr>
          <w:bCs w:val="0"/>
        </w:rPr>
        <w:t>The residents of Block Alia, distt.</w:t>
      </w:r>
      <w:proofErr w:type="gramEnd"/>
      <w:r w:rsidRPr="00B53423">
        <w:rPr>
          <w:bCs w:val="0"/>
        </w:rPr>
        <w:t xml:space="preserve"> Sitapur and an individual from village Akbarpur, block Maal, distt. Lucknow submitted that their area gets only 9-10 hours of electricity and in these hours also there are power cuts due to old and outdated power lines.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The residents of gram sabha Itari, district Sitapur submitted that they get power supply for only 6 hours. They further submitted that they are billed once in 6 months and get an electricity bill of Rs 800 per month. They requested the Commission to take appropriate action in this regards.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Dilip Kumar of gram sabha Mumtazpur, the residents of gram sabha Moholi, gram sabha Budanpur, gram sabha Mirchauri, gram sabha Fattepur, gram sabha Mallapur and block Laharpur of distt. Sitapur and nyaya panchayats of Gadhi, Mirchauri, Kakori, Keshra and Sadila complained that they get electricity supply for only 5-6 hours and that too of very low voltage. They further contended that the connections are not metered and the consumers are being billed heavily.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Mohan Singh Chahan, Chairman of Kisan Bachao Sangharsh Samiti submitted that farmers use PTW connection for irrigation purpose. He submitted that the electricity is supplied for PTW connection for only 6-7 hours and the connection is not even used or 4 months of rainy reason. He objected that inspite of this the Licensees have proposed tariff hike from Rs. 75 / BHP to Rs. 140 / BHP, which is too high. In this regard, he requested the Commission to not to approve any Tariff hike rather reduce the present Tariff also. He also objected that the burnt transformers are being replaced at heavy expenditure.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The residents of Kashiram Shehri Gari Aawas Yojna Hanskhera Nayi Colony Char Manzil submitted that their premises have not been electrified.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Bhupendra Singh submitted that his PTW connection no. 975 was approved on 16th Septemb</w:t>
      </w:r>
      <w:r w:rsidRPr="00B53423">
        <w:t>er, 2013 but till now it has not been installed. In this regard, he requested the Commission to take necessary actions to get his PTW connection no. 975 install.</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15232B">
      <w:pPr>
        <w:numPr>
          <w:ilvl w:val="0"/>
          <w:numId w:val="35"/>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With regard to the issue of Tariff hike for rural domestic / agricultural consumers, the Licensees submitted that they have not proposed for any Tariff hike in FY 2014-15 for rural </w:t>
      </w:r>
      <w:r w:rsidRPr="00B53423">
        <w:rPr>
          <w:bCs w:val="0"/>
        </w:rPr>
        <w:t>domestic</w:t>
      </w:r>
      <w:r w:rsidRPr="00B53423">
        <w:t xml:space="preserve"> and rural private tube well consumers.  </w:t>
      </w:r>
    </w:p>
    <w:p w:rsidR="002A1F3B" w:rsidRPr="00B53423" w:rsidRDefault="002A1F3B" w:rsidP="0015232B">
      <w:pPr>
        <w:spacing w:line="312" w:lineRule="auto"/>
        <w:ind w:left="360"/>
        <w:contextualSpacing/>
        <w:rPr>
          <w:b/>
          <w:i/>
        </w:rPr>
      </w:pPr>
    </w:p>
    <w:p w:rsidR="002A1F3B" w:rsidRPr="00B53423" w:rsidRDefault="002A1F3B" w:rsidP="0015232B">
      <w:pPr>
        <w:numPr>
          <w:ilvl w:val="0"/>
          <w:numId w:val="35"/>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Commission has taken note of the objections / suggestions made by the stakeholders in this regards. The applicable Tariffs for all the consumer categories have been designed in accordance with the Electricity Act, 2003 and the Tariff Policy. The details of all the aspects related to Tariff design have been covered subsequently in Chapter Tariff Philosophy and Rate Schedule provided in this Order.</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w:t>
      </w:r>
      <w:r w:rsidRPr="00B53423">
        <w:rPr>
          <w:bCs w:val="0"/>
        </w:rPr>
        <w:t>regards</w:t>
      </w:r>
      <w:r w:rsidRPr="00B53423">
        <w:t xml:space="preserve"> installation of PTW connection, the Licensee is directed to look into the matter and ensure the connection after looking into all the conditions required for the same.</w:t>
      </w:r>
    </w:p>
    <w:p w:rsidR="002A1F3B" w:rsidRPr="00B53423" w:rsidRDefault="002A1F3B" w:rsidP="0015232B">
      <w:pPr>
        <w:pStyle w:val="Heading3"/>
        <w:keepNext w:val="0"/>
        <w:numPr>
          <w:ilvl w:val="0"/>
          <w:numId w:val="0"/>
        </w:numPr>
        <w:ind w:left="993"/>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50" w:name="_Toc396573744"/>
      <w:bookmarkStart w:id="351" w:name="_Toc399626148"/>
      <w:r w:rsidRPr="00B53423">
        <w:rPr>
          <w:caps/>
        </w:rPr>
        <w:t>Tariff Structure</w:t>
      </w:r>
      <w:bookmarkEnd w:id="350"/>
      <w:bookmarkEnd w:id="351"/>
      <w:r w:rsidRPr="00B53423">
        <w:rPr>
          <w:caps/>
        </w:rPr>
        <w:t xml:space="preserve"> </w:t>
      </w:r>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49"/>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 xml:space="preserve">Mr. R. K. Jain, Secretary, Western U. P. Chamber of Commerce and Industry, Bombay Bazar, Meerut Cantt submitted that too many slabs in Tariff structure, like LMV-4  and LMV-6, small and medium power, is counterproductive as it leads to attempts of manipulation and create </w:t>
      </w:r>
      <w:r w:rsidRPr="00B53423">
        <w:rPr>
          <w:bCs w:val="0"/>
        </w:rPr>
        <w:t xml:space="preserve">complication in billing. He submitted that there could be one rate without loss of revenue. He added that the tariff for all small scale industrial units having connected load upto 100 units should be at par with “Rural Schedule” Tariff called as “SSI Schedule” as this will encourage SSI units to set up units in “Rural Areas” giving employment and better viability to SSI units.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 xml:space="preserve"> Mr. R. K. Jain further submitted that the comparison with aggregate Tariff rate per unit for all </w:t>
      </w:r>
      <w:r w:rsidRPr="00B53423">
        <w:t>consumers is a misnomer. Further, he suggested that the Commission should direct all the Distribution Licensees to give per unit revenue in the following format:</w:t>
      </w:r>
    </w:p>
    <w:p w:rsidR="002A1F3B" w:rsidRPr="00B53423" w:rsidRDefault="002A1F3B" w:rsidP="0015232B">
      <w:pPr>
        <w:pStyle w:val="ListParagraph"/>
        <w:spacing w:before="0" w:line="312" w:lineRule="auto"/>
        <w:ind w:left="180"/>
        <w:contextualSpacing/>
        <w:rPr>
          <w:szCs w:val="26"/>
        </w:rPr>
      </w:pPr>
    </w:p>
    <w:tbl>
      <w:tblPr>
        <w:tblStyle w:val="TableGrid"/>
        <w:tblW w:w="0" w:type="auto"/>
        <w:jc w:val="center"/>
        <w:tblInd w:w="180" w:type="dxa"/>
        <w:tblLook w:val="04A0"/>
      </w:tblPr>
      <w:tblGrid>
        <w:gridCol w:w="1368"/>
        <w:gridCol w:w="1440"/>
        <w:gridCol w:w="1890"/>
        <w:gridCol w:w="2266"/>
        <w:gridCol w:w="1741"/>
      </w:tblGrid>
      <w:tr w:rsidR="002A1F3B" w:rsidRPr="00B53423" w:rsidTr="00CD5A87">
        <w:trPr>
          <w:jc w:val="center"/>
        </w:trPr>
        <w:tc>
          <w:tcPr>
            <w:tcW w:w="1368" w:type="dxa"/>
          </w:tcPr>
          <w:p w:rsidR="002A1F3B" w:rsidRPr="00B53423" w:rsidRDefault="002A1F3B" w:rsidP="0015232B">
            <w:pPr>
              <w:pStyle w:val="ListParagraph"/>
              <w:spacing w:before="0" w:line="312" w:lineRule="auto"/>
              <w:ind w:left="0"/>
              <w:contextualSpacing/>
              <w:rPr>
                <w:szCs w:val="26"/>
              </w:rPr>
            </w:pPr>
            <w:r w:rsidRPr="00B53423">
              <w:rPr>
                <w:szCs w:val="26"/>
              </w:rPr>
              <w:t>Tariff Schedule</w:t>
            </w:r>
          </w:p>
        </w:tc>
        <w:tc>
          <w:tcPr>
            <w:tcW w:w="1440" w:type="dxa"/>
          </w:tcPr>
          <w:p w:rsidR="002A1F3B" w:rsidRPr="00B53423" w:rsidRDefault="002A1F3B" w:rsidP="0015232B">
            <w:pPr>
              <w:pStyle w:val="ListParagraph"/>
              <w:spacing w:before="0" w:line="312" w:lineRule="auto"/>
              <w:ind w:left="0"/>
              <w:contextualSpacing/>
              <w:rPr>
                <w:szCs w:val="26"/>
              </w:rPr>
            </w:pPr>
            <w:r w:rsidRPr="00B53423">
              <w:rPr>
                <w:szCs w:val="26"/>
              </w:rPr>
              <w:t>Total Consumer</w:t>
            </w:r>
          </w:p>
        </w:tc>
        <w:tc>
          <w:tcPr>
            <w:tcW w:w="1890" w:type="dxa"/>
          </w:tcPr>
          <w:p w:rsidR="002A1F3B" w:rsidRPr="00B53423" w:rsidRDefault="002A1F3B" w:rsidP="0015232B">
            <w:pPr>
              <w:pStyle w:val="ListParagraph"/>
              <w:spacing w:before="0" w:line="312" w:lineRule="auto"/>
              <w:ind w:left="0"/>
              <w:contextualSpacing/>
              <w:rPr>
                <w:szCs w:val="26"/>
              </w:rPr>
            </w:pPr>
            <w:r w:rsidRPr="00B53423">
              <w:rPr>
                <w:szCs w:val="26"/>
              </w:rPr>
              <w:t>Total Load in kVA</w:t>
            </w:r>
          </w:p>
        </w:tc>
        <w:tc>
          <w:tcPr>
            <w:tcW w:w="2266" w:type="dxa"/>
          </w:tcPr>
          <w:p w:rsidR="002A1F3B" w:rsidRPr="00B53423" w:rsidRDefault="002A1F3B" w:rsidP="0015232B">
            <w:pPr>
              <w:pStyle w:val="ListParagraph"/>
              <w:spacing w:before="0" w:line="312" w:lineRule="auto"/>
              <w:ind w:left="0"/>
              <w:contextualSpacing/>
              <w:rPr>
                <w:szCs w:val="26"/>
              </w:rPr>
            </w:pPr>
            <w:r w:rsidRPr="00B53423">
              <w:rPr>
                <w:szCs w:val="26"/>
              </w:rPr>
              <w:t>Total Consumption in Units</w:t>
            </w:r>
          </w:p>
        </w:tc>
        <w:tc>
          <w:tcPr>
            <w:tcW w:w="1741" w:type="dxa"/>
          </w:tcPr>
          <w:p w:rsidR="002A1F3B" w:rsidRPr="00B53423" w:rsidRDefault="002A1F3B" w:rsidP="0015232B">
            <w:pPr>
              <w:pStyle w:val="ListParagraph"/>
              <w:spacing w:before="0" w:line="312" w:lineRule="auto"/>
              <w:ind w:left="0"/>
              <w:contextualSpacing/>
              <w:rPr>
                <w:szCs w:val="26"/>
              </w:rPr>
            </w:pPr>
            <w:r w:rsidRPr="00B53423">
              <w:rPr>
                <w:szCs w:val="26"/>
              </w:rPr>
              <w:t>Rate per unit sold</w:t>
            </w:r>
          </w:p>
        </w:tc>
      </w:tr>
      <w:tr w:rsidR="002A1F3B" w:rsidRPr="00B53423" w:rsidTr="00CD5A87">
        <w:trPr>
          <w:jc w:val="center"/>
        </w:trPr>
        <w:tc>
          <w:tcPr>
            <w:tcW w:w="8705" w:type="dxa"/>
            <w:gridSpan w:val="5"/>
          </w:tcPr>
          <w:p w:rsidR="002A1F3B" w:rsidRPr="00B53423" w:rsidRDefault="002A1F3B" w:rsidP="0015232B">
            <w:pPr>
              <w:pStyle w:val="ListParagraph"/>
              <w:spacing w:before="0" w:line="312" w:lineRule="auto"/>
              <w:ind w:left="0"/>
              <w:contextualSpacing/>
              <w:rPr>
                <w:szCs w:val="26"/>
              </w:rPr>
            </w:pPr>
            <w:r w:rsidRPr="00B53423">
              <w:rPr>
                <w:szCs w:val="26"/>
              </w:rPr>
              <w:t>LMV-I to LMV-I0 are to be shown separately</w:t>
            </w:r>
          </w:p>
        </w:tc>
      </w:tr>
      <w:tr w:rsidR="002A1F3B" w:rsidRPr="00B53423" w:rsidTr="00CD5A87">
        <w:trPr>
          <w:jc w:val="center"/>
        </w:trPr>
        <w:tc>
          <w:tcPr>
            <w:tcW w:w="8705" w:type="dxa"/>
            <w:gridSpan w:val="5"/>
          </w:tcPr>
          <w:p w:rsidR="002A1F3B" w:rsidRPr="00B53423" w:rsidRDefault="002A1F3B" w:rsidP="0015232B">
            <w:pPr>
              <w:pStyle w:val="ListParagraph"/>
              <w:spacing w:before="0" w:line="312" w:lineRule="auto"/>
              <w:ind w:left="0"/>
              <w:contextualSpacing/>
              <w:rPr>
                <w:szCs w:val="26"/>
              </w:rPr>
            </w:pPr>
            <w:r w:rsidRPr="00B53423">
              <w:rPr>
                <w:szCs w:val="26"/>
              </w:rPr>
              <w:t>Likewise HV- l to HV-4 are to be shown separately</w:t>
            </w:r>
          </w:p>
        </w:tc>
      </w:tr>
    </w:tbl>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Dr. Pradeep </w:t>
      </w:r>
      <w:r w:rsidRPr="00B53423">
        <w:rPr>
          <w:bCs w:val="0"/>
        </w:rPr>
        <w:t>Kumar</w:t>
      </w:r>
      <w:r w:rsidRPr="00B53423">
        <w:t xml:space="preserve"> Garg of Agra submitted that Tariff should be designed in line with the Electricity Act, 2003 and Tariff Policy. </w:t>
      </w:r>
    </w:p>
    <w:p w:rsidR="005D7AFD" w:rsidRPr="00B53423" w:rsidRDefault="005D7AFD" w:rsidP="0015232B">
      <w:pPr>
        <w:pStyle w:val="ListParagraph"/>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Mohan Singh Chahan, Chairman of Kisan Bachao Sangharsh Samiti submitted that for 1 kW capacity of </w:t>
      </w:r>
      <w:r w:rsidRPr="00B53423">
        <w:rPr>
          <w:bCs w:val="0"/>
        </w:rPr>
        <w:t>domestic</w:t>
      </w:r>
      <w:r w:rsidRPr="00B53423">
        <w:t xml:space="preserve"> category, the energy charge is Rs 2.20 /unit for slab of 0-100 units. In this regard, he suggested the Commission to increase this slab to 250 units.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representatives of Confederation of NCR Residents Welfare Associations (including Mr. P. S. Jain) and </w:t>
      </w:r>
      <w:r w:rsidRPr="00B53423">
        <w:rPr>
          <w:bCs w:val="0"/>
        </w:rPr>
        <w:t>the</w:t>
      </w:r>
      <w:r w:rsidRPr="00B53423">
        <w:t xml:space="preserve"> representatives of Federation of Noida Residents Welfare Association (including Mr. N. P. Singh) suggested that there should be separate Tariff for Noida Supply area.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49"/>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The Petitioner s</w:t>
      </w:r>
      <w:r w:rsidRPr="00B53423">
        <w:rPr>
          <w:bCs w:val="0"/>
        </w:rPr>
        <w:t>ubmitted that the ARR and Tariff Proposal are strictly in line with the Distribution Tariff Regulations, 2006, Tariff Policy, 2006 and Electricity Act, 2003.</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As regards the issue of multiple slabs in Tariff structure, the Licensees submitted that they have endeavoured to keep the Rate Schedule as simple as possible. However, different categories have been created to differentiate amongst consumers considering their load factor, power factor, voltage, total consumption of electricity during any specified period of time at which the supply is required or the geographical position of any area, the nature of supply and the purpose for which supply is required.</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 xml:space="preserve">As regards the contention raised for separate Tariff in Noida supply area, the Licensees submitted that the retail tariff within the State has been kept uniform as per guidelines provided in the Section 8.4 (2) of the National Tariff Policy issued by Ministry of Power, Government of </w:t>
      </w:r>
      <w:r w:rsidRPr="00B53423">
        <w:t>India.</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49"/>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The Comm</w:t>
      </w:r>
      <w:r w:rsidRPr="00B53423">
        <w:rPr>
          <w:bCs w:val="0"/>
        </w:rPr>
        <w:t>ission has taken note of the objections / suggestions made by the stakeholders in this regards. The applicable Tariffs for all the consumer categories have been designed in accordance with the Electricity Act, 2003 and the Tariff Policy. The details of all the aspects related to Tariff design have been covered subsequently in Chapter Tariff Philosophy and Rate Schedule provided in this Order.</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As regards the issue of separate Tariff in Noida supply area the Commission opines that current tariff of consumers justifies the rationalization policy of the Commission and is totally in line with the</w:t>
      </w:r>
      <w:r w:rsidRPr="00B53423">
        <w:t xml:space="preserve"> National Tariff Policy.</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52" w:name="_Toc396573745"/>
      <w:bookmarkStart w:id="353" w:name="_Toc399626149"/>
      <w:r w:rsidRPr="00B53423">
        <w:rPr>
          <w:caps/>
        </w:rPr>
        <w:t>Rate Revision of category LMV 1 (b)</w:t>
      </w:r>
      <w:bookmarkEnd w:id="352"/>
      <w:bookmarkEnd w:id="353"/>
      <w:r w:rsidRPr="00B53423">
        <w:rPr>
          <w:caps/>
        </w:rPr>
        <w:t xml:space="preserve">  </w:t>
      </w:r>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36"/>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Sanjay Kumar Jain, Director, M/s Galaxy Real Estate Developers and Builders Pvt. Ltd., Mr. Bhagat Singh Baghel (secretary of M/s Bhawana Sehkari Awas Samiti Ltd.), Mr. Vishal Solanki (secretary of M/s APGCE, Agra City Chapter), Mr. Anil Kumar Goyal (Director/Secretary of M/s CEMG Engineers and Consultants), Mr. Sanjay Kumar Jain (Director of M/s Galaxy Real Estate Developers and Builders Pvt. Ltd.), Mr. Radhe Shyam Sharma (Director of M/s Nalanda Builders Pvt. Ltd.), Mr. Ashok Kumar Goyal (Director of M/s Beriwal Construction), Mr. Hemant Agrawal (Director of M/s JSR Housing and Developers Pvt. Ltd.), Mr. Sudeep Kumar Agrawal (Director of M/s SJP Real Estate Ltd.), Mr. Surendra Kumar Singh (Director of M/s Deeksha Housing Private Ltd.) and Mr. D. S. Chaudhary (Consultant) submitted that UPPCL is having h</w:t>
      </w:r>
      <w:r w:rsidRPr="00B53423">
        <w:rPr>
          <w:bCs w:val="0"/>
        </w:rPr>
        <w:t>uge losses in terms of transmission and distribution Losses. They submitted that the residential Sector constitute a big share of electricity and energy losses in this Sector can be reduced by providing power at single point and transferring the responsibility of further distribution on some Society taking single point connection. They further submitted that in its latest Tariff Petition for FY 2014-2015, the Licensees have proposed hike in kWh and Demand rates. They submitted that in the Domestic category the Licensees has proposed hike of as 7% but in case of Single Point this hike is proposed as 16.7%. The stakeholders further submitted that at Single point distribution losses are very less say 2-5% and the operational and maintenance charges are in between 7-10%. In this regard, they further suggested that the society should be allowed to sale the power at the rates prescribed for other domestic consumers and bulk rate to society should be less by 10-15%. They added that even after lowering the rates by say 10-15%, the Licensees will still be in profit since there will be no distribution loss and no power theft. They also submitted that there is a separate head for loading charge and no guidelines have been developed for Single Point Residential Complex LMV-1(b). They suggested that there should be clear guideline for charging contract demand and rates chargeable to this category and the Commission consider separate overhead charges for Distribution losses, operational and maintenance charges.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The residents of K. P. S Ashiyana (Om Shri Green Homes) submitted that since July 2013 their builder is distributing power to them on Single Point Connection without their approval. They complained that the builder charges them heavily with a connection charge of Rs 25000/-, late payment of Rs 250/- and reconnection charge of Rs 500/-. Further, the builder, whenever require, cancels their connection.  Therefore, the residents of K.P.S Ashiyana have requested the Commission to disapprove the builder’s single point connection from their resident</w:t>
      </w:r>
      <w:r w:rsidRPr="00B53423">
        <w:t xml:space="preserve">s and provide them with the new connection from the Licensee.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Sanjeev of SKS Developers submitted that as per the rate schedule of LMV-1 consumers  </w:t>
      </w:r>
      <w:r w:rsidRPr="00B53423">
        <w:rPr>
          <w:i/>
        </w:rPr>
        <w:t>(point 3 (b)of ARR 2013-14 - Supply at Single Point for bulk loads applicable for Townships, Registered Societies, Residential Colonies, multi-storied residential complexes (including lifts, water pumps and common lighting within the premises) with loads 50 kW and above with the restriction that at least 70% of the total contracted load is meant exclusively for the domestic light, fan and power purposes and for Military Engineer Service (MES) for Defence Establishments (Mixed load without any load restriction))</w:t>
      </w:r>
      <w:r w:rsidRPr="00B53423">
        <w:t xml:space="preserve"> it is granted by the Commission / Distribution Licensees  that ‘The body seeking the supply at Single point for bulk loads under this category shall be considered as a deemed franchisee of the Licensee’. </w:t>
      </w:r>
      <w:proofErr w:type="gramStart"/>
      <w:r w:rsidRPr="00B53423">
        <w:t xml:space="preserve">However, for HV-1 consumers – </w:t>
      </w:r>
      <w:r w:rsidRPr="00B53423">
        <w:rPr>
          <w:i/>
        </w:rPr>
        <w:t>‘Registered Societies, Residential Colonies / Townships.</w:t>
      </w:r>
      <w:proofErr w:type="gramEnd"/>
      <w:r w:rsidRPr="00B53423">
        <w:rPr>
          <w:i/>
        </w:rPr>
        <w:t xml:space="preserve"> Residential Multi-Storied Buildings with mixed loads (getting supply at single point) with contracted load 75 kW &amp; above and getting supply at single point on 11 kV &amp; above voltage levels and having less than 70% of the total contracted load exclusively for the purposes of domestic light, fan and power. Figure of 70% shall also include the load required for lifts, water pumps and common lighting,’</w:t>
      </w:r>
      <w:r w:rsidRPr="00B53423">
        <w:t xml:space="preserve"> the status of deemed franchisee has not been explicitly granted by the Commission / State Distribution Licensees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In order to maintain parity in treatment of LMV-1 consumers and HV-1 consumers, he requested the Commission that deemed franchisee status should also be granted to HV-1 </w:t>
      </w:r>
      <w:r w:rsidRPr="00B53423">
        <w:rPr>
          <w:bCs w:val="0"/>
        </w:rPr>
        <w:t>consumers</w:t>
      </w:r>
      <w:r w:rsidRPr="00B53423">
        <w:t xml:space="preserve"> having supply at Single Point for bulk loads.</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secretary of Millennium Apartments- Resident Welfare Association, Noida submitted that the metering in co-operative societies is done by the Distribution Licensee at 11 kV, however all the distribution losses, including the 11 / 0.4 kV transformer losses, are borne by the society because of which the “effective rate of energy charges” paid by the residents living in co-operative societies is always higher than the “notified rate” charged by Distribution Licensee. In this regard, he further submitted that the proposed energy charges for Bulk loads having Single Point Connection is Rs. 5.25 per kWh (without any slab) whereas the other domestic consumers (being catered directly by Distribution Licensee under Consumer Category LMV-1(c)) have been provided with slabs of Rs. 4.00 per kWh (for 100 units) / Rs. 4.50 per kWh (for 101-300 units) / Rs. 5.00 per kWh (for 301-500 units) and Rs. 5.50 per kWh (for more than 501 units). He further submitted that this shows that even the notified Tariff of Rs. 5.25 per kWh falls outside the 500 kWh slab of domestic consumer category, which definitely is not the average consumption in any domestic household. Moreover, no incentive or discount has been provided for consumers having Single Point Connection at higher voltage levels like 11 kV under Category LMV-1(b). He further requested the Commission for suitable revision of the energy Tariff under Category LMV-1(b) so as to remove the above discrepancy so that some relief can be provided to consumers availing Single Point Connection at 11 kV under Category LMV-1(b).</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15232B">
      <w:pPr>
        <w:numPr>
          <w:ilvl w:val="0"/>
          <w:numId w:val="36"/>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In this regard, the Petitioner submitted that as per the Tariff Policy, Tariff Regulations and </w:t>
      </w:r>
      <w:r w:rsidRPr="00B53423">
        <w:rPr>
          <w:bCs w:val="0"/>
        </w:rPr>
        <w:t>Electricity</w:t>
      </w:r>
      <w:r w:rsidRPr="00B53423">
        <w:t xml:space="preserve"> Act, 2003, the Licensee is entitled to charge the cost of service from the consumers and the Tariff for single point consumers is still significantly below the cost of service.</w:t>
      </w:r>
    </w:p>
    <w:p w:rsidR="002A1F3B" w:rsidRPr="00B53423" w:rsidRDefault="002A1F3B" w:rsidP="0015232B">
      <w:pPr>
        <w:spacing w:line="312" w:lineRule="auto"/>
        <w:contextualSpacing/>
        <w:rPr>
          <w:b/>
          <w:i/>
        </w:rPr>
      </w:pPr>
    </w:p>
    <w:p w:rsidR="002A1F3B" w:rsidRPr="00B53423" w:rsidRDefault="002A1F3B" w:rsidP="0015232B">
      <w:pPr>
        <w:numPr>
          <w:ilvl w:val="0"/>
          <w:numId w:val="36"/>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szCs w:val="22"/>
        </w:rPr>
        <w:t>As regards the single point supply for LMV-1 category, the Commission in the Rate Schedule for FY 2013-14 has clearly specified that the body seeking the supply at Single point for bulk loads under this category shall be considered as a deemed franchisee of the Licensee.</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rPr>
          <w:szCs w:val="22"/>
        </w:rPr>
      </w:pPr>
      <w:r w:rsidRPr="00B53423">
        <w:rPr>
          <w:szCs w:val="22"/>
        </w:rPr>
        <w:t>As a deemed franchisee the single point bulk supplier shall purchase the power from the Licensees at the single point bulk rate approved by the Commission in the Rate Schedule</w:t>
      </w:r>
      <w:r w:rsidR="00F126DD" w:rsidRPr="00B53423">
        <w:rPr>
          <w:szCs w:val="22"/>
        </w:rPr>
        <w:t xml:space="preserve">. </w:t>
      </w:r>
      <w:r w:rsidR="00F126DD" w:rsidRPr="00B53423">
        <w:rPr>
          <w:rFonts w:cs="Arial"/>
          <w:color w:val="auto"/>
          <w:szCs w:val="22"/>
        </w:rPr>
        <w:t>The tariff applicable for the end consumer of the single point supplier has been detailed subsequently in the Rate Schedule</w:t>
      </w:r>
      <w:r w:rsidRPr="00B53423">
        <w:rPr>
          <w:szCs w:val="22"/>
        </w:rPr>
        <w:t>.</w:t>
      </w:r>
    </w:p>
    <w:p w:rsidR="002A1F3B" w:rsidRPr="00B53423" w:rsidRDefault="002A1F3B" w:rsidP="0015232B">
      <w:pPr>
        <w:pStyle w:val="ListParagraph"/>
        <w:spacing w:before="0" w:line="312" w:lineRule="auto"/>
        <w:ind w:left="180"/>
        <w:contextualSpacing/>
      </w:pPr>
      <w:r w:rsidRPr="00B53423">
        <w:rPr>
          <w:szCs w:val="22"/>
        </w:rPr>
        <w:t xml:space="preserve">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As regards the choice of connection, </w:t>
      </w:r>
      <w:r w:rsidRPr="00B53423">
        <w:rPr>
          <w:b/>
          <w:bCs w:val="0"/>
        </w:rPr>
        <w:t>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w:t>
      </w:r>
      <w:r w:rsidRPr="00B53423">
        <w:rPr>
          <w:bCs w:val="0"/>
        </w:rPr>
        <w:t xml:space="preserve">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As regards the single point bulk rate for HV-I category, the Commission has taken note of the above objection / suggestion of the stakeholders and accordingly the Commission has incorporated the deemed franchis</w:t>
      </w:r>
      <w:r w:rsidRPr="00B53423">
        <w:t>ee status to HV-1 consumers having supply at Single Point for bulk loads.</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54" w:name="_Toc396573746"/>
      <w:bookmarkStart w:id="355" w:name="_Toc399626150"/>
      <w:r w:rsidRPr="00B53423">
        <w:rPr>
          <w:caps/>
        </w:rPr>
        <w:t>SYSTEM LOADING CHARGES</w:t>
      </w:r>
      <w:bookmarkEnd w:id="354"/>
      <w:bookmarkEnd w:id="355"/>
    </w:p>
    <w:p w:rsidR="002A1F3B" w:rsidRPr="00B53423" w:rsidRDefault="002A1F3B" w:rsidP="0015232B">
      <w:pPr>
        <w:pStyle w:val="Heading2"/>
        <w:keepNext w:val="0"/>
        <w:numPr>
          <w:ilvl w:val="0"/>
          <w:numId w:val="0"/>
        </w:numPr>
        <w:ind w:left="780"/>
        <w:rPr>
          <w:caps/>
        </w:rPr>
      </w:pPr>
    </w:p>
    <w:p w:rsidR="002A1F3B" w:rsidRPr="00B53423" w:rsidRDefault="002A1F3B" w:rsidP="0015232B">
      <w:pPr>
        <w:numPr>
          <w:ilvl w:val="0"/>
          <w:numId w:val="37"/>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Dr. Pradeep Kumar Garg of Agra an</w:t>
      </w:r>
      <w:r w:rsidRPr="00B53423">
        <w:rPr>
          <w:bCs w:val="0"/>
        </w:rPr>
        <w:t>d Mr. Rama Shankar Awasthi submitted that the Licensees need to submit details of the works done using the amount under System Loading Charges. They contended that the capex should take care of the system enhancement and hence system loading charges are totally illegal and against the Distribution Tariff Regulations, 2006.</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proofErr w:type="gramStart"/>
      <w:r w:rsidRPr="00B53423">
        <w:rPr>
          <w:bCs w:val="0"/>
        </w:rPr>
        <w:t>Mr. P. K. Maskara, Director of Mahabir Jute Mills Limited of Gorakhpur and Mr. Vishnu Bhagwan Agarwal of M/s The Popular Cycle Mfg. Co. (Pvt.) Ltd. Submitted that the System Loading Charges should be discontinued in ARR.</w:t>
      </w:r>
      <w:proofErr w:type="gramEnd"/>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Vishnu Bhagwan Agarwal of M/s the Popular Cycle Mfg. Co. (Pvt.) Ltd. submitted that the transformers after utilization of 80% installed capacity and the lines and meters should be maintained and upgraded at the Licensees’ cost in accordance with the cost data book and such expenditure must be met from Pool of System Loading Charges.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S. B. Agrawal, General Secretary of Associated Chambers of Commerce &amp; Industry of U.P submitted that System Loading Charges is recovered for creation of asset and has been considered in tariff determination, however, there is no proper accounting of assets created through the pool. Further Mr. R</w:t>
      </w:r>
      <w:r w:rsidRPr="00B53423">
        <w:t xml:space="preserve">. K. Chaudhary, </w:t>
      </w:r>
      <w:proofErr w:type="gramStart"/>
      <w:r w:rsidRPr="00B53423">
        <w:t>Chairman,</w:t>
      </w:r>
      <w:proofErr w:type="gramEnd"/>
      <w:r w:rsidRPr="00B53423">
        <w:t xml:space="preserve"> Indian Industries Association Varanasi Chapter submitted that system loading charges should be abolished.</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numPr>
          <w:ilvl w:val="0"/>
          <w:numId w:val="37"/>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On the issue of abolishing system loading charges, the Licensees replied that system loading charges are being recovered as per the Cost Data Book and Supply Code issued by the </w:t>
      </w:r>
      <w:r w:rsidRPr="00B53423">
        <w:rPr>
          <w:bCs w:val="0"/>
        </w:rPr>
        <w:t>Commission</w:t>
      </w:r>
      <w:r w:rsidRPr="00B53423">
        <w:t>.</w:t>
      </w:r>
    </w:p>
    <w:p w:rsidR="002A1F3B" w:rsidRPr="00B53423" w:rsidRDefault="002A1F3B" w:rsidP="0015232B">
      <w:pPr>
        <w:pStyle w:val="ListParagraph"/>
        <w:spacing w:before="0" w:line="312" w:lineRule="auto"/>
        <w:ind w:left="180"/>
        <w:contextualSpacing/>
      </w:pPr>
    </w:p>
    <w:p w:rsidR="002A1F3B" w:rsidRPr="00B53423" w:rsidRDefault="002A1F3B" w:rsidP="0015232B">
      <w:pPr>
        <w:numPr>
          <w:ilvl w:val="0"/>
          <w:numId w:val="37"/>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The Commission, in the proceedings for determination of ARR / Tariff for FY 2012-13, had gone into the detailed procedure for accounting of system loading charges. The Commission had observed that the system loading charges were accounted by the Licensee as part of consume</w:t>
      </w:r>
      <w:r w:rsidRPr="00B53423">
        <w:rPr>
          <w:bCs w:val="0"/>
        </w:rPr>
        <w:t>r contributions under Accounting Group Code 55 (AG-55).</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The Commission in its earlier Orders while Truing-up the interest on long term loan has considered a normative tariff approach with a gearing of 70:30. In this approach, 70% of the capital expenditure undertaken in any year has been considered to be financed through loan and balance 30% has been considered to be funded through equity contributions. The portion of capital expenditure financed through consumer contributions (including system loading charges), capital subsidies and grants has been separated as the depreciation and interest thereon would not be charged to the consumers. Allowable depreciation for the year has been considered as normative loan repayment. The actual weighted average rate as per audited accounts has been considered for computing the interest. The approved interest capitalisation has been considered at a rate equivalent to the rate as per audited accounts.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The same philosophy has been extended while determining the ARR / Tariff for FY 2014-15. This has ensured that no charges in respect of assets created out of consumer contributions (including system loading charges), capital subsidies and grants are imposed on the consume</w:t>
      </w:r>
      <w:r w:rsidRPr="00B53423">
        <w:t>rs’ beginning from FY 2008-09 to FY 2014-15.</w:t>
      </w:r>
    </w:p>
    <w:p w:rsidR="002A1F3B" w:rsidRPr="00B53423" w:rsidRDefault="002A1F3B" w:rsidP="0015232B"/>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56" w:name="_Toc396573747"/>
      <w:bookmarkStart w:id="357" w:name="_Toc399626151"/>
      <w:r w:rsidRPr="00B53423">
        <w:rPr>
          <w:caps/>
        </w:rPr>
        <w:t>FIXED ASSET REGISTERS</w:t>
      </w:r>
      <w:bookmarkEnd w:id="356"/>
      <w:bookmarkEnd w:id="357"/>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60"/>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Vishnu Bhagwan Agarwal of M/s The Popular Cycle Mfg. Co. (Pvt.) Ltd., Dr. Pradeep Kumar Garg of Agra and Mr. Rama Shankar Awasthi submitted that despite repeated Orders of the Hon’ble APTEL and the Commission from time to time, the fixed asset registers have not been pre</w:t>
      </w:r>
      <w:r w:rsidRPr="00B53423">
        <w:rPr>
          <w:bCs w:val="0"/>
        </w:rPr>
        <w:t>pared by the Licensees.</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Rama Shankar Awasthi submitted that the details of inter unit transfer have not been submitte</w:t>
      </w:r>
      <w:r w:rsidRPr="00B53423">
        <w:t>d by the Licensees, failing which such amounts should not be approved by the Commission while doing the True-up.</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60"/>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With regard to the issue raised on preparation of fixed asset registers, the Petitioner submitted that fixe</w:t>
      </w:r>
      <w:r w:rsidRPr="00B53423">
        <w:rPr>
          <w:bCs w:val="0"/>
        </w:rPr>
        <w:t xml:space="preserve">d asset registers could not be prepared as the Transfer Scheme is yet to be finalised and the asset wise opening balances are yet to be finalised.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The Licensee submitted that the broad level opening balances have been adopted from the Transfer Scheme approved by the GoUP. Further, year wise capitalisations, as provided in the audited financial statements, have been considered for Tariff purposes and the same have been approved by the independent statutory auditor as well as by the CAG. The Licensee further submitted that the growth in the distribution network and consumer base is also a testimony of the large capital investment undertaken by the Licensee in the State. Hence, it cannot be denied that the capital investment has been put to beneficial use.</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The Licensees further submitted that the accounting policy in relation to fixed assets is provided as part of the Audited Accounts. However, the fixed assets are shown at the value transferred as per the second Transfer Scheme as opening balance. The Licensee submitted that all the costs relating to the acquisition and installation of fixed assets till the date of their commissioning are capitalised in the accounts. The Licensee submitted that based on this policy, the capitalisations have been accounted in Audited Accounts of each year and the statutory auditors have approved the overall balance sheet of the Licensees. The Licensees added t</w:t>
      </w:r>
      <w:r w:rsidRPr="00B53423">
        <w:t>hat even the supplementary audit report of the AGUP has not found any discrepancy in this policy.</w:t>
      </w:r>
    </w:p>
    <w:p w:rsidR="002A1F3B" w:rsidRPr="00B53423" w:rsidRDefault="002A1F3B" w:rsidP="0015232B">
      <w:pPr>
        <w:pStyle w:val="ListParagraph"/>
        <w:spacing w:before="0" w:line="312" w:lineRule="auto"/>
        <w:ind w:left="180"/>
        <w:contextualSpacing/>
      </w:pPr>
    </w:p>
    <w:p w:rsidR="002A1F3B" w:rsidRPr="00B53423" w:rsidRDefault="002A1F3B" w:rsidP="000174C0">
      <w:pPr>
        <w:numPr>
          <w:ilvl w:val="0"/>
          <w:numId w:val="60"/>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The Commission has taken note of the objections / suggestions made by the stakeholders in this regards. The Commission has already expressed its displeasure on the non-availability of fixed ass</w:t>
      </w:r>
      <w:r w:rsidRPr="00B53423">
        <w:rPr>
          <w:bCs w:val="0"/>
        </w:rPr>
        <w:t xml:space="preserve">et registers of the Licensee.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As a first step towards reprimanding the Licensees over the issue of non-preparation of fixed asset registers, the Commission in its Tariff Order dated 31</w:t>
      </w:r>
      <w:r w:rsidR="004D0378" w:rsidRPr="00B53423">
        <w:rPr>
          <w:bCs w:val="0"/>
          <w:vertAlign w:val="superscript"/>
        </w:rPr>
        <w:t>st</w:t>
      </w:r>
      <w:r w:rsidRPr="00B53423">
        <w:rPr>
          <w:bCs w:val="0"/>
        </w:rPr>
        <w:t xml:space="preserve"> May, 2013 had withheld 20% of the allowable depreciation for FY 2013-14 alongwith the direction that the same would be released for recovery through </w:t>
      </w:r>
      <w:r w:rsidR="00DF6B53" w:rsidRPr="00B53423">
        <w:rPr>
          <w:bCs w:val="0"/>
        </w:rPr>
        <w:t>T</w:t>
      </w:r>
      <w:r w:rsidRPr="00B53423">
        <w:rPr>
          <w:bCs w:val="0"/>
        </w:rPr>
        <w:t>ariff, upon submission of fixed assets registers up to the current year i.e., FY 2012-13 by 30</w:t>
      </w:r>
      <w:r w:rsidR="004D0378" w:rsidRPr="00B53423">
        <w:rPr>
          <w:bCs w:val="0"/>
          <w:vertAlign w:val="superscript"/>
        </w:rPr>
        <w:t>th</w:t>
      </w:r>
      <w:r w:rsidRPr="00B53423">
        <w:rPr>
          <w:bCs w:val="0"/>
        </w:rPr>
        <w:t xml:space="preserve"> November, 2013.</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The Comm</w:t>
      </w:r>
      <w:r w:rsidRPr="00B53423">
        <w:t>ission in the same Order had also observed as follows:</w:t>
      </w:r>
    </w:p>
    <w:p w:rsidR="002A1F3B" w:rsidRPr="00B53423" w:rsidRDefault="002A1F3B" w:rsidP="0015232B">
      <w:pPr>
        <w:pStyle w:val="ListParagraph"/>
        <w:spacing w:line="312" w:lineRule="auto"/>
        <w:ind w:left="1440"/>
        <w:contextualSpacing/>
        <w:rPr>
          <w:i/>
          <w:szCs w:val="26"/>
        </w:rPr>
      </w:pPr>
      <w:r w:rsidRPr="00B53423">
        <w:rPr>
          <w:i/>
          <w:szCs w:val="26"/>
        </w:rPr>
        <w:t>“The Commission is also not satisfied with the explanation provided that the fixed asset registers could not be prepared as the Transfer Scheme finalisation is pending. The responsibility of the Transfer Scheme finalisation also rests with the Licensee. The Licensee needs to pursue with the GoUP to get the Transfer Scheme finalised. Nevertheless, it cannot be argued, that fixed asset registers capturing at least the yearly capitalisations could always have been prepared. The Commission directs the Licensee to prepare the fixed asset registers duly accounting for the yearly capitalisations from FY 2012-13 onwards. The capitalisations for the period before that may be shown on gross level basis. Upon finalisation of the Transfer Scheme, the Licensees may update the fixed asset registers appropriate by passing necessary adjustments.”</w:t>
      </w:r>
    </w:p>
    <w:p w:rsidR="002A1F3B" w:rsidRPr="00B53423" w:rsidRDefault="002A1F3B" w:rsidP="0015232B">
      <w:pPr>
        <w:pStyle w:val="ListParagraph"/>
        <w:spacing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However, the Licensees have shown no improvement in this front and the de</w:t>
      </w:r>
      <w:r w:rsidRPr="00B53423">
        <w:rPr>
          <w:bCs w:val="0"/>
        </w:rPr>
        <w:t>tails of fixed asset registers have still not been submitted till the finalization of ARR and Tariff for FY 2014-15.</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Continuing with its earlier approach the Commission has withheld the allowable depreciation for FY 2014-15 to an extent of 25%, i.e. an additional 5% over the last year’s limit of 20%. However, the Commission has accorded final opportunity to the Licensee in this regards for submission of the fixed asset registers failing which the Commission shall disallow any kind of recovery of the same in the future as detailed in the Chapter titled Annual Revenue Requirement of FY 2014-15.</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 xml:space="preserve">The Commission while approving the past years capitalisation in </w:t>
      </w:r>
      <w:r w:rsidR="00DF6B53" w:rsidRPr="00B53423">
        <w:rPr>
          <w:bCs w:val="0"/>
        </w:rPr>
        <w:t>T</w:t>
      </w:r>
      <w:r w:rsidRPr="00B53423">
        <w:rPr>
          <w:bCs w:val="0"/>
        </w:rPr>
        <w:t>rue</w:t>
      </w:r>
      <w:r w:rsidR="00DF6B53" w:rsidRPr="00B53423">
        <w:rPr>
          <w:bCs w:val="0"/>
        </w:rPr>
        <w:t>-</w:t>
      </w:r>
      <w:r w:rsidRPr="00B53423">
        <w:rPr>
          <w:bCs w:val="0"/>
        </w:rPr>
        <w:t>up orders have relied on the gross fixed asset balances as per audited accounts. While approving the investment for the FY 2014-15, the Commission has considered only 70% of the investment proposed in the ARR Petitions.</w:t>
      </w:r>
    </w:p>
    <w:p w:rsidR="002A1F3B" w:rsidRPr="00B53423" w:rsidRDefault="002A1F3B" w:rsidP="0015232B">
      <w:pPr>
        <w:pStyle w:val="ListParagraph"/>
        <w:spacing w:before="0" w:line="312" w:lineRule="auto"/>
        <w:ind w:left="180"/>
        <w:contextualSpacing/>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58" w:name="_Toc396573748"/>
      <w:bookmarkStart w:id="359" w:name="_Toc399626152"/>
      <w:r w:rsidRPr="00B53423">
        <w:rPr>
          <w:caps/>
        </w:rPr>
        <w:t>TARIFF AND NON TARIFF ITEMS</w:t>
      </w:r>
      <w:bookmarkEnd w:id="358"/>
      <w:bookmarkEnd w:id="359"/>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61"/>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P. K. Maskara, Director of Mahabir Jute Mills Limited of Gorakhpur and Mr. Vishnu Bhagwan Agarwal of M/s The Popular Cycle Mfg. Co. (Pvt.) Ltd. submitted that the Licensees should provide clarification regarding the Tariff and Non-tariff items. He suggested that the Load Factor Rebate is a Tariff item and hence should be considered in ARR.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61"/>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regard the contention raised by Mr. P. K. Maskara regarding the Tariff </w:t>
      </w:r>
      <w:r w:rsidRPr="00B53423">
        <w:rPr>
          <w:bCs w:val="0"/>
        </w:rPr>
        <w:t>and</w:t>
      </w:r>
      <w:r w:rsidRPr="00B53423">
        <w:t xml:space="preserve"> Non-Tariff items, the Licensees replied that it has submitted all the relevant information in the ARR and Tariff Petitions for FY 2014-15. The Licensee further submitted that since the query of the stakeholder is dated 27th November, 2013 hence it is understood that the same does not pertain to the ARR and Tariff filings for FY 20 14- 15.</w:t>
      </w:r>
    </w:p>
    <w:p w:rsidR="002A1F3B" w:rsidRPr="00B53423" w:rsidRDefault="002A1F3B" w:rsidP="0015232B">
      <w:pPr>
        <w:pStyle w:val="ListParagraph"/>
        <w:spacing w:before="0" w:line="312" w:lineRule="auto"/>
        <w:ind w:left="180"/>
        <w:contextualSpacing/>
      </w:pPr>
    </w:p>
    <w:p w:rsidR="002A1F3B" w:rsidRPr="00B53423" w:rsidRDefault="002A1F3B" w:rsidP="000174C0">
      <w:pPr>
        <w:numPr>
          <w:ilvl w:val="0"/>
          <w:numId w:val="61"/>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taken note of the suggestion of the stakeholders in this regards. The Distribution Tariff Regulations, 2006 clearly provides the distinction between the Tariff items to be included in the ARR and the Non- </w:t>
      </w:r>
      <w:r w:rsidR="00DF6B53" w:rsidRPr="00B53423">
        <w:t>T</w:t>
      </w:r>
      <w:r w:rsidRPr="00B53423">
        <w:t>ariff items to be considered while approving the revenue. And thus, revenue from Tariff or Non Tariff items both gets included in the revenue.</w:t>
      </w:r>
    </w:p>
    <w:p w:rsidR="002A1F3B" w:rsidRPr="00B53423" w:rsidRDefault="002A1F3B" w:rsidP="0015232B">
      <w:pPr>
        <w:numPr>
          <w:ilvl w:val="2"/>
          <w:numId w:val="0"/>
        </w:numPr>
        <w:tabs>
          <w:tab w:val="num" w:pos="993"/>
        </w:tabs>
        <w:spacing w:line="312" w:lineRule="auto"/>
        <w:ind w:left="993" w:hanging="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60" w:name="_Toc396573749"/>
      <w:bookmarkStart w:id="361" w:name="_Toc399626153"/>
      <w:r w:rsidRPr="00B53423">
        <w:rPr>
          <w:caps/>
        </w:rPr>
        <w:t>Metering and Billing</w:t>
      </w:r>
      <w:bookmarkEnd w:id="360"/>
      <w:bookmarkEnd w:id="361"/>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62"/>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The representatives of Lucknow Jan Kalyan Mahamanch including Mr. Pitambar Bhatt submitted that proper seals should be placed while replacing the electric meters and a proper i</w:t>
      </w:r>
      <w:r w:rsidRPr="00B53423">
        <w:rPr>
          <w:bCs w:val="0"/>
        </w:rPr>
        <w:t>nspection at site should be there.</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S. B. Agrawal, General Secretary of Associated Chambers of Commerce &amp; Industry of U.P, Mr. Dhanush Vir Singh (General Manager of M/s Bennett Coleman &amp; Co Ltd., Times of India Group), Mr. Vishnu Bhagwan Agarwal of M/s The Popular Cycle Mfg. Co. (Pvt.) Ltd., Mr. Rajeev Gupta, Vice President of Associated  Chambers of Commerce &amp; Industry of Uttar Pradesh, Mr. Atul Gupta, President of National Chamber of Industries &amp; Commerce, UP, the representatives (including Mr. Babu Lal Singhal) of Lohiavadi Vichaar Munch, the representatives of Shramik Basti Seva Samiti of Kanpur, Mr. R. K. Chaudhary, Chairman, Indian Industries Association Varanasi Chapter and Dr. Pradeep Kumar Garg of Dr. Garg Nursing Home &amp; X-Ray Clinic submitted that Licensees should ensure 100% metered supply, including rural consumers and its employees (present as well as retired). They further submitted that the Licensees should install prepaid meters in the premises of all such consumers who opt for it and such consumers in accordance with the Electricity Act 2003.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Further, Mr. P. K. Maskara, Director of Mahabir Jute Mills Limited of Gorakhpur suggested that prepaid meters should be installed in premises of all such consumers who want to opt for it and this will control supply to the industries having independent feeder from 132 / 33 kV sub-stations.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The representative of National Chamber of Industries &amp; Commerce, U. P. submitted that there is a long standing demand of consumers and trade associations to install prepaid meters and the Licensee should clarify the schedule of implementation of such schemes.</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Vishnu Bhagwan Agarwal of M/s The Popular Cycle Mfg. Co. (Pvt.) Ltd. submitted that the consumers seeking prepaid meters should not be made to pay additional security as it is obligatory for the Licensees to make arrangement of easily available meters. Further, Mr. Vishnu Bhagwan Agarwal of M/s The Popular Cycle Mfg. Co. (Pvt.) Ltd. and Mr. S. B. Agrawal, General Secretary of Associated Chambers of Commerce &amp; Industry of U.P requested the Licensees to provide the graph of target achieved in last few years for installing meters on unmetered supply. He suggested that the Govt. can provide subsidy to such consumers instead of providing unmetered connections. They further requested the Commission to direct the Licensees to accept Bank Guarantee from LMV-6 consumers where payment record is bad for any delay or failure.</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Naveen Khanna, Chairman, Kanpur Chapter of Indian industries Association, Mr. K. L. Aggarwal, Chairman, Associated Chambers of Commerce &amp; Industry of U. P., Mr. Vishwanath Rai of Matdata vichar Samiti, Varanasi, the representatives of Confederation of NCR Residents Welfare Associations (including Mr. P. S. Jain) and Mr. R. K. Chaudhary, Chairman, Indian Industries Association Varanasi Chapter submitted that unmetered electricity supply to all category of power consumers including the staff must be stopped and should be metered. They further submitted that all heavy consumers must be provided pre-paid meters and arrangement must be made by the Distribution Licensees to provide pre-paid meters.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Anil Rathi of Associated Chambers of Commerce &amp; Industries submitted that there have been repeated directions by the Commission to all the Licensees to provide all the departmental employees and pensioners metered supply only. He contended that inspite of such directions unmetered supply is still being given to departmental employees and pensioners at price which is not even relevant to the cost price. He also added that in such a scenario HV-2 industries also demand that they should also be given unmetered supply till the time all supplies are metered so as to provide a level playing field to all consumers.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Rupak Gautam, Energy Controller, Indus Tower Ltd. requested the Commission to consider the proposal of compulsory installation of AMR meters and roll out of consolidated billing for large consumers with multiple connections. He further suggested that in this regard, the Commission should issue appropriate directions to the Licensees to consider such implementation on high priority for telecom towers.</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He further submitted that in accordance with supply code, the Licensee has to provide a minimum of 15 days to the consumers to pay their bills. However, very few bills are received by the consumer with a time period of 15 days for bill payment. He contended that 94% of the bills received by Indus Towers have payment period of less than 15 days for payment which results in Indus Tower to pay excessive late payment surcharge to the Licensees for no fault of its own. He requested the Commission to direct the Licensees to ensure that it gives a time period of 15 days from the date of despatch to the final date to ensure timely payment of bills. He also requested the Commission to direct the Licensee to should refund the Indus Tower for the excess late payment surcharge paid by it.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Rama Shankar Awasthi and Mr. Mahesh Meghani of Association of Industrialists &amp; Merchants requested the Commission to continue previous provision of late payment surcharge specified in last Tariff Order. They submitted that the Licensees should also specify excess payment recovered by them from consumer and this should be included in the Tariff Order. They further requested the Commission to direct all the Licensees for providing monthly M.R.I. report (full) to consumer so that the consumer are able to verify consumption mentioned in monthly bill issued by the Licensees as in the absence of M.R.I. report and reading sheets (at present licensee take monthly reading through modem in their office), consumer are never able to verify the consumption mentioned in TOD slot of monthly bill prepared by the Licensee.</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Narendra Kumar Dubey of Bhartiya Janta Party, Agra suggested that consumers should be intimated by SMS for bills.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J. P. Singh of Kamala Nagar, Agra submitted that he has opened school till class 2 and has only 17 poor students in his school. He submitted that on February 2014, his connection was converted from LMV-1 to LMV-4, as a result of which he has to pay the bill applicable for LMV-4 category. He contended that Torrent power has given him a bill with a Tariff difference of Rs. 34421 / 15. Therefore, in interest of poor students getting education from his school, he requested the Commission to change his school connection from LMV-4 to LMV-1 category and also reduce the bill given by Torrent Power.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The representatives of Sanyukt Udyog Vyapar Sangh Kharkhauda, Meerut requested the Commission to direct the Licensees to replace the meter reading based billing with the billing applicable to rural electricity supply.</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Rajiv Goyal, Mr. Ajay Verma and the representatives of Bharat Ka Jan Andolan of Lucknow submitted that all the consumers should be billed on the basis of meter reading.</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Rama Shankar Awasthi submitted that the Commission decide all the rates on which Licensee bills the consumers and Torrent Power, being a franchisee takes the electricity from DVVNL to distribute in the city of Agra. He submitted that clarification should be provided regarding the rate of Torrent Power below the bulk supply tariff determined by the Commission. He further submitted that as per the agreement a quantum of 1905 MU has to be provided by DVVNL and the rest has to be purchased from outside by the franchisee and the Licensees should provide a clarification for non-compliance in this regards.</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Avadhesh Kumar Verma submitted that due to the high losses of Torrent power which is a distribution franchisee in Agra City the ARR of the Licensee has increased. He submitted that the losses of the DVVNL are higher due to input based distribution franchisee. Further some of the others stakeholders also submitted that Torrent power has caused a loss of around Rs. 5000 crore to DVVNL and has worsened the the State conditions.</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Rakesh Goel, President of Samarpan Sankalp Samiti submitted that perusal of ARRs submitted reveals that around 25-30% energy supplied is truly and correctly metered. He submitted that many categories of consumers, including the working and retired employees of MVVNL, are being supplied electricity without metering in spite of the Orders issued by the Commission. He further contended that although new meters have been installed in several 33 / 11 kV substations, yet no data logging is being done for the purpose of energy accounting. He added that in an efficiently managed transmission and distribution system, losses of more than 10% should not be considered.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Abdul Haq and the representatives of Samajvadi Party, Agra requested the Commission to cancel the bills issued to domestic category of uneducated, poor, old and sick consumers. He contended that Licensees had no survey or meter reading for past many years and today under Torrent Power, such domestic households have been billed with Lakh of rupees which is purely unjustified. He requested that such bills should be cancelled as most of such premise</w:t>
      </w:r>
      <w:r w:rsidRPr="00B53423">
        <w:t xml:space="preserve">s are vacant since many years and in very poor condition.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62"/>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With </w:t>
      </w:r>
      <w:r w:rsidRPr="00B53423">
        <w:rPr>
          <w:bCs w:val="0"/>
        </w:rPr>
        <w:t>regard</w:t>
      </w:r>
      <w:r w:rsidRPr="00B53423">
        <w:t xml:space="preserve"> to the metering of departmental employees, the Licensees submitted that Section 23 (7) of Electricity Reforms Act, 1999 provides as follows:</w:t>
      </w:r>
    </w:p>
    <w:p w:rsidR="002A1F3B" w:rsidRPr="00B53423" w:rsidRDefault="002A1F3B" w:rsidP="0015232B">
      <w:pPr>
        <w:pStyle w:val="ListParagraph"/>
        <w:spacing w:before="0" w:line="312" w:lineRule="auto"/>
        <w:contextualSpacing/>
      </w:pPr>
    </w:p>
    <w:p w:rsidR="002A1F3B" w:rsidRPr="00B53423" w:rsidRDefault="002A1F3B" w:rsidP="0015232B">
      <w:pPr>
        <w:pStyle w:val="ListParagraph"/>
        <w:spacing w:before="0" w:line="312" w:lineRule="auto"/>
        <w:ind w:left="1440"/>
        <w:contextualSpacing/>
        <w:rPr>
          <w:i/>
        </w:rPr>
      </w:pPr>
      <w:r w:rsidRPr="00B53423">
        <w:rPr>
          <w:i/>
        </w:rPr>
        <w:t>“</w:t>
      </w:r>
      <w:proofErr w:type="gramStart"/>
      <w:r w:rsidRPr="00B53423">
        <w:rPr>
          <w:i/>
        </w:rPr>
        <w:t>terms</w:t>
      </w:r>
      <w:proofErr w:type="gramEnd"/>
      <w:r w:rsidRPr="00B53423">
        <w:rPr>
          <w:i/>
        </w:rPr>
        <w:t xml:space="preserve"> and condition of service of the personnel shall not be less favourable to the terms and condition which were applicable to them before the transfer”. </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Licensees submitted that same spirit has been echoed under first proviso of section 133 (2) of the Electricity Act, 2003. Also, the benefits for employees / pensioners as provided in section 12 (b</w:t>
      </w:r>
      <w:proofErr w:type="gramStart"/>
      <w:r w:rsidRPr="00B53423">
        <w:t>)(</w:t>
      </w:r>
      <w:proofErr w:type="gramEnd"/>
      <w:r w:rsidRPr="00B53423">
        <w:t>ii) of the Uttar Pradesh Reform Transfer Scheme, 2000 include “concessional rate of electricity”, which means concession in rate of electricity to the extent it is not inferior to what was existing before 14</w:t>
      </w:r>
      <w:r w:rsidRPr="00B53423">
        <w:rPr>
          <w:vertAlign w:val="superscript"/>
        </w:rPr>
        <w:t>th</w:t>
      </w:r>
      <w:r w:rsidRPr="00B53423">
        <w:t xml:space="preserve"> January, 2000. The Licensees submitted that the rates and charges and terms and conditions of supply have been proposed in strict adherence of above statutory provisions.</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As regards the issue of 100% metering the Licensee replied that the same was discussed at length in the Brainstorming meeting held with the Commission on 18</w:t>
      </w:r>
      <w:r w:rsidRPr="00B53423">
        <w:rPr>
          <w:vertAlign w:val="superscript"/>
        </w:rPr>
        <w:t>th</w:t>
      </w:r>
      <w:r w:rsidRPr="00B53423">
        <w:t xml:space="preserve"> February, 2014 and subsequently, the Licensees have undertaken a comprehensive exercise to regularise ‘</w:t>
      </w:r>
      <w:r w:rsidRPr="00B53423">
        <w:rPr>
          <w:bCs w:val="0"/>
        </w:rPr>
        <w:t>katiya’</w:t>
      </w:r>
      <w:r w:rsidRPr="00B53423">
        <w:t xml:space="preserve"> connections and metering of un-metered connections. The Licensees informed that in this regard, an Office Order No. 832 dated 19</w:t>
      </w:r>
      <w:r w:rsidRPr="00B53423">
        <w:rPr>
          <w:vertAlign w:val="superscript"/>
        </w:rPr>
        <w:t>th</w:t>
      </w:r>
      <w:r w:rsidRPr="00B53423">
        <w:t xml:space="preserve"> June, 2014 has been issued by Chairman, UPPCL directing all Distribution Licensees to strictly comply with such Order.</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regards pre-paid meters the Licensees informed that pre-paid meters are being </w:t>
      </w:r>
      <w:r w:rsidRPr="00B53423">
        <w:rPr>
          <w:bCs w:val="0"/>
        </w:rPr>
        <w:t>procured</w:t>
      </w:r>
      <w:r w:rsidRPr="00B53423">
        <w:t xml:space="preserve"> and will be installed at consumers’ premises in near future.</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As regards imposition of late payment surcharge, the Licensees submitted that the late payment surcharge is imposed to enforce payment discipline on the consumers; other</w:t>
      </w:r>
      <w:r w:rsidRPr="00B53423">
        <w:rPr>
          <w:bCs w:val="0"/>
        </w:rPr>
        <w:t xml:space="preserve">wise working capital issues may arise leading to increase in cost of service to consumers.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The Licensee clarified that the Bulk power tariff for M/s Torrent Power Ltd., has been fixed with due diligence taking into consideration all relevant parameters and data. The terms</w:t>
      </w:r>
      <w:r w:rsidRPr="00B53423">
        <w:t xml:space="preserve"> and conditions of the agreement with M/s Torrent Power Limited are governed by the Franchisee Agreement.</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Licensee has treated the energy supplied to M/s Torrent Power Limited as bulk sales by DVVNL. The audited balance sheet has been finalised based on the advice and overview of the statutory auditor. However, the Commission considers the retail sales of Agra City for tariff purposes and therefore, there is no impact on the ARR and consumer’s w.r.t the input based distribution franchisee in Agra City.</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62"/>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The Commission has taken note of the objections / suggestions made by the objectors regarding prepaid meters and on other hand it also appreciates the endeavours made by the Licensees for installation of prepaid meters. Further, the Commission feels that pr</w:t>
      </w:r>
      <w:r w:rsidRPr="00B53423">
        <w:t>epaid meters will go a long way towards reducing commercial losses of the Licensee. The billing and collection through Franchisee model has been widely accepted in different parts of the country and the main purpose is to help the Licensee in reducing inefficiency in billing, collection and loss reduction. Keeping the above in mind, implementation of the franchisee model will be a welcome move by the Licensees.</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rPr>
          <w:b/>
          <w:bCs w:val="0"/>
        </w:rPr>
      </w:pPr>
      <w:r w:rsidRPr="00B53423">
        <w:rPr>
          <w:b/>
        </w:rPr>
        <w:t>The Licensees are directed to provide the monthly MRI reports to all the</w:t>
      </w:r>
      <w:r w:rsidR="00D03E0E" w:rsidRPr="00B53423">
        <w:rPr>
          <w:b/>
        </w:rPr>
        <w:t xml:space="preserve"> applicable</w:t>
      </w:r>
      <w:r w:rsidRPr="00B53423">
        <w:rPr>
          <w:b/>
        </w:rPr>
        <w:t xml:space="preserve"> consumers through email. T</w:t>
      </w:r>
      <w:r w:rsidRPr="00B53423">
        <w:rPr>
          <w:b/>
          <w:bCs w:val="0"/>
        </w:rPr>
        <w:t>he consumers would be required to register their email to the Licensee.</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As regards the objections related to individual objectors for settlement of bills etc. the Commission has taken a note of all such objections, however, the Commission is of the view that such objections do not specifically pertain to the ARR and Tariff related matter. The licensee</w:t>
      </w:r>
      <w:r w:rsidRPr="00B53423">
        <w:t>s are directed to look into the matter and take appropriate actions on the same.</w:t>
      </w:r>
    </w:p>
    <w:p w:rsidR="002A1F3B" w:rsidRPr="00B53423" w:rsidRDefault="002A1F3B" w:rsidP="0015232B">
      <w:pPr>
        <w:spacing w:line="312" w:lineRule="auto"/>
        <w:ind w:left="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62" w:name="_Toc396909057"/>
      <w:bookmarkStart w:id="363" w:name="_Toc396573750"/>
      <w:bookmarkStart w:id="364" w:name="_Toc399626154"/>
      <w:bookmarkEnd w:id="362"/>
      <w:r w:rsidRPr="00B53423">
        <w:rPr>
          <w:caps/>
        </w:rPr>
        <w:t>Electricity Duty and iNTEREST ON sECURITY dEPOSITS</w:t>
      </w:r>
      <w:bookmarkEnd w:id="363"/>
      <w:bookmarkEnd w:id="364"/>
      <w:r w:rsidRPr="00B53423">
        <w:rPr>
          <w:caps/>
        </w:rPr>
        <w:t xml:space="preserve"> </w:t>
      </w:r>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50"/>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 xml:space="preserve">Mr. S. B. </w:t>
      </w:r>
      <w:r w:rsidRPr="00B53423">
        <w:rPr>
          <w:bCs w:val="0"/>
        </w:rPr>
        <w:t xml:space="preserve">Agrawal, General Secretary of Associated Chambers of Commerce &amp; Industry of U.P submitted that in accordance with the Distribution Tariff Regulations, 2006 the Licensees has are required to pay interest to the consumers at bank rate or more on the consumer security deposits. He further submitted that the Commission has considered the prevalent bank rate of the Reserve Bank of India (RBI) for approval of the interest rate applicable for such payments and accordingly, interest on security deposit for FY 2012-13 should be payable at 9.5% which was the effective bank rate as on April 1, 2012, however, despite repeated requests no action has been taken by the Licensees in this regard.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Further, Mr. S. B. Agrawal, Mr. Rajeev Gupta, Vice President of Associated Chambers of Commerce &amp; Industry of Uttar Pradesh, Retd. Major Sukhbir Singh and Mr. Atul Gupta, President of National Chamber of Industries &amp; Commerce, UP submitted that security deposit is being calculated on Electricity Duty also. They contended that as Electricity Duty is being recovered from the Licensees on behalf of GoUP, hence, no Security Deposit should be charged for this.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S. B. Agrawal further submitted that while calculating security deposit two months equivalent billing amount is being considered. He further submitted that the meter readings are being recorded and bills are being issued just on first day of the succeeding month and the consumers are required to pay bills within seven days, therefore, security deposit should be equivalent to 1 month or maximum 45 days.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Vishnu Bhagwan Agarwal of M/s The Popular Cycle Mfg. Co. (Pvt.) Ltd. submitted that additional Security Deposit equivalent to 2 month consumption including duty and other surcharges are unreasonable. He submitted that like other States, Security Deposit should not be increased and also the Licensees are not paying the interest timely and fully. He further submitted that Interest on security has not been paid in the past and the matter remains pending despite directions to clear all outstanding. He added the Licensees should pay the same now and that too with interest.</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Sr. Plant Manager of Indian Oil Corporation Ltd. L.P.G Bottling Plant requested the Commission to provide them the rate of interest on security deposit with the Licensees against their electricity connection for FY 2009-10 to FY 2014-15 and also to verify the amount received from the Licensees for the given years.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The representatives of Confederation of NCR Residents Welfare Associations (including Mr. P. S. Jain) submitted that consumers should be provided interest on the security deposit. The representative of National Chamber of Industries &amp; Commerce, U. P. (including Mr. Manish Agarwal) submitted that the interest on security deposit should be paid fully to the consumers for the period 2003 to 2006 and FY 2011-12.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R. K. Jain, Secretary, Western U. P. Chamber of Commerce and Industry, Bombay Bazar, Meerut Cantt submitted that all the Licensees may be directed to pay interest on security for 2014-15 as per bank rate of RBI on April 1, 2014.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K. L. Aggarwal, Chairman, Associated chambers of Commerce &amp; Industry of U.P submitted that the Commission vide its letter dated 20th August, 2007 and another letter no. UPERC /2008-3261 dated 6th October, 2008 treated non-payment of additional security as an arrear for the purpose to calculate Load Factor Rebate (LBR) of Industrial Consumers. He further submitted that on the same subject, UPPCL has issued letter No. 816/Gen. File 13 dated 10th June, 2014 to MDs of all Distribution Licensees. He added that in this regard, the Hon’ble High Court Allahabad Bench in writ C. No. 7764 of 2011 (K. L. Concast Pvt. Ltd.) Judgment dated 24th February, 2011 ruled as law that non-payment of additional security cannot be treated as arrears for the purpose to deny LBR and also held the Commission’s letter dated 6th June, 2008 as illegal. He requested the Commission to examine the matter and take immediate actions and direct the Licensees to withdraw UPPCL letter No. 816/Gen. File 13 dated 10th June, 2014 issued to MDs of all the Licensees in this regards.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Rama Shankar Awasthi submitted that the Licensees should provide details validating the payment of interest on security to all consumers in a timely fashion. He further submitted that it is the duty of the Licensee to adjust the amount of interest on security deposit in each financial year. He also suggested that if Licensees fail to adjust this amount in, specified time mentioned in distribution code then Licensee should pay interest equivalent to late payment surcharge claimed by licensee in case of delay payment by consumer.</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P. K. Maskara, Director of Mahabir Jute Mills Limited of Gorakhpur submitted that for calculating security deposit equal to two months of bill, </w:t>
      </w:r>
      <w:r w:rsidR="00DF6B53" w:rsidRPr="00B53423">
        <w:rPr>
          <w:bCs w:val="0"/>
        </w:rPr>
        <w:t>N</w:t>
      </w:r>
      <w:r w:rsidRPr="00B53423">
        <w:rPr>
          <w:bCs w:val="0"/>
        </w:rPr>
        <w:t>on-</w:t>
      </w:r>
      <w:r w:rsidR="00DF6B53" w:rsidRPr="00B53423">
        <w:rPr>
          <w:bCs w:val="0"/>
        </w:rPr>
        <w:t>T</w:t>
      </w:r>
      <w:r w:rsidRPr="00B53423">
        <w:rPr>
          <w:bCs w:val="0"/>
        </w:rPr>
        <w:t xml:space="preserve">ariff income must be eliminated from bill average of two months.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P. K. Maskara, Director of Mahabir Jute Mills Limited of Gorakhpur and Mr. Vishnu Bhagwan Agarwal of M/s The Popular Cycle Mfg. Co. (Pvt.) Ltd. submitted submitted that Electricity Duty is a state tax and therefore it should be on net amount of bill. On similar lines he added that calculation of security deposit figures should be only on tariff items (excluding electricity duty as </w:t>
      </w:r>
      <w:r w:rsidR="00DF6B53" w:rsidRPr="00B53423">
        <w:rPr>
          <w:bCs w:val="0"/>
        </w:rPr>
        <w:t>N</w:t>
      </w:r>
      <w:r w:rsidRPr="00B53423">
        <w:rPr>
          <w:bCs w:val="0"/>
        </w:rPr>
        <w:t>on-</w:t>
      </w:r>
      <w:r w:rsidR="00DF6B53" w:rsidRPr="00B53423">
        <w:rPr>
          <w:bCs w:val="0"/>
        </w:rPr>
        <w:t>T</w:t>
      </w:r>
      <w:r w:rsidRPr="00B53423">
        <w:rPr>
          <w:bCs w:val="0"/>
        </w:rPr>
        <w:t>ariff item).</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Vishnu Bhagwan Agarwal of M/s The Popular Cycle Mfg. Co. (Pvt.) Ltd. submitted that there should be no electricity duty on old / sick / nursing units in line with new units to help them sustain.</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Some of the stakeholders submitted that electricity duty should be applicable on units and not on the percentage basis.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Further, Mr. Mahesh Meghani of Association of Industrialists &amp; Merchants submitted that clarificat</w:t>
      </w:r>
      <w:r w:rsidRPr="00B53423">
        <w:t>ion may be provided regarding the consumer security deposit of 9.5% only.</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50"/>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The Licensees submitted that interest on consumer security deposit is being given to consumer as per Orders of the Commission and the provisions related to security deposit and the interest payable on the same are amply clear and are dealt with in detail in the Distribution Tariff Regulations, 2006 and are being followed in letter and spirit by the Licensees. However, in case any specific discrepancy is brought to the knowledge of the licensee, it is then immediately rectified and consumer is credited with the interest on consumer security deposit.</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Further, the Licensees submitted that electricity duty is payable to State Government and its chargeability and rates are not governed by the Tariff Order.</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As regards computation of security deposit on Electricity Duty, the Licensees submitted that the secu</w:t>
      </w:r>
      <w:r w:rsidRPr="00B53423">
        <w:t>rity deposit amount is being calculated as per the Cost Data Book and Supply Code issued by the Commission.</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50"/>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Matters r</w:t>
      </w:r>
      <w:r w:rsidRPr="00B53423">
        <w:rPr>
          <w:bCs w:val="0"/>
        </w:rPr>
        <w:t>elated to electricity duty exemption relate to GoUP and the stakeholders desiring any such favours may approach the GoUP alongwith their proposal.</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The provisions related to security deposit and the interest payable on the same are amply clear and are dealt with in detail in the Distribution Tariff Regulations, 2006. It needs to be followed in the same spirit by both, the Licensee as well as the consumers.</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The Reserve Bank of India vide circular no. RBI/2013-14/469 dated 28th January, 2014 has revised the bank rate from 8.75% to 9.00% w.e.f 28th January, 2014. The Commission in this Order has approved a rate of 9.00% on interest on consumer security deposit for the period 1st April, 2014 to 31st March, 2015.</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 xml:space="preserve">The Commission in its earlier Orders has directed the Licensee on the above matter and it </w:t>
      </w:r>
      <w:r w:rsidRPr="00B53423">
        <w:rPr>
          <w:b/>
          <w:bCs w:val="0"/>
        </w:rPr>
        <w:t>once again directs the Licensee to pay the applicable interest as per the Orders of the Commis</w:t>
      </w:r>
      <w:r w:rsidRPr="00B53423">
        <w:rPr>
          <w:b/>
        </w:rPr>
        <w:t>sion and submit the compliance report with the next ARR filing. Licensees are directed to ensure the timely payment of the interest on security deposit to the consumers.</w:t>
      </w:r>
    </w:p>
    <w:p w:rsidR="002A1F3B" w:rsidRPr="00B53423" w:rsidRDefault="002A1F3B" w:rsidP="0015232B">
      <w:pPr>
        <w:pStyle w:val="Heading2"/>
        <w:keepNext w:val="0"/>
        <w:numPr>
          <w:ilvl w:val="0"/>
          <w:numId w:val="0"/>
        </w:numPr>
        <w:ind w:left="780"/>
        <w:rPr>
          <w:caps/>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65" w:name="_Toc396573751"/>
      <w:bookmarkStart w:id="366" w:name="_Toc399626155"/>
      <w:r w:rsidRPr="00B53423">
        <w:rPr>
          <w:caps/>
        </w:rPr>
        <w:t>Regulatory Surcharge</w:t>
      </w:r>
      <w:bookmarkEnd w:id="365"/>
      <w:bookmarkEnd w:id="366"/>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51"/>
        </w:numPr>
        <w:spacing w:before="0" w:line="312" w:lineRule="auto"/>
        <w:contextualSpacing/>
        <w:rPr>
          <w:b/>
          <w:i/>
        </w:rPr>
      </w:pPr>
      <w:r w:rsidRPr="00B53423">
        <w:rPr>
          <w:b/>
          <w:i/>
        </w:rPr>
        <w:t>Comments / Suggestions of the Public</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S. B. Agrawal, General Secretary of Associated Chambers of Commerce &amp; Industry of U.P and Mr. Pratap Chandra (President of Rashtriya Rashtravadi Party) submitted that regulatory surcharge @ 3.71% was imposed to cover the losses incurred by UPPCL between FY 2000-01 to FY 2007-08. They further submitted that one of the </w:t>
      </w:r>
      <w:proofErr w:type="gramStart"/>
      <w:r w:rsidRPr="00B53423">
        <w:t>consumer</w:t>
      </w:r>
      <w:proofErr w:type="gramEnd"/>
      <w:r w:rsidRPr="00B53423">
        <w:t xml:space="preserve"> of PVVNL has filed the writ Petition against this and accordingly the Hon’ble High Court of Allahabad vide its Judgment dated 18</w:t>
      </w:r>
      <w:r w:rsidRPr="00B53423">
        <w:rPr>
          <w:vertAlign w:val="superscript"/>
        </w:rPr>
        <w:t>th</w:t>
      </w:r>
      <w:r w:rsidRPr="00B53423">
        <w:t xml:space="preserve"> September, 2013 has observed as follows: </w:t>
      </w:r>
    </w:p>
    <w:p w:rsidR="002A1F3B" w:rsidRPr="00B53423" w:rsidRDefault="002A1F3B" w:rsidP="0015232B">
      <w:pPr>
        <w:pStyle w:val="ListParagraph"/>
        <w:spacing w:before="0" w:line="312" w:lineRule="auto"/>
        <w:contextualSpacing/>
        <w:rPr>
          <w:i/>
          <w:szCs w:val="26"/>
        </w:rPr>
      </w:pPr>
    </w:p>
    <w:p w:rsidR="002A1F3B" w:rsidRPr="00B53423" w:rsidRDefault="002A1F3B" w:rsidP="0015232B">
      <w:pPr>
        <w:pStyle w:val="ListParagraph"/>
        <w:spacing w:before="0" w:line="312" w:lineRule="auto"/>
        <w:ind w:left="1440"/>
        <w:contextualSpacing/>
        <w:rPr>
          <w:i/>
          <w:szCs w:val="26"/>
        </w:rPr>
      </w:pPr>
      <w:r w:rsidRPr="00B53423">
        <w:rPr>
          <w:i/>
          <w:szCs w:val="26"/>
        </w:rPr>
        <w:t>“as an interim measure, we direct that the surcharge, imposed by the notification dated 10-6-2013 shall be paid by the petitioner @3.71% but the.....Paschimanchal Vidyut Vitran Nigam Ltd., shall ensure that the said amount of regulatory surcharge be kept in a separate interest bearing account of a national bank. The deposit so made by the petitioner shall be subject to the further orders passed in the writ petition”.</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 xml:space="preserve">They further </w:t>
      </w:r>
      <w:r w:rsidRPr="00B53423">
        <w:rPr>
          <w:bCs w:val="0"/>
        </w:rPr>
        <w:t xml:space="preserve">requested that to avoid similar writ Petitions from consumer of HV-2 categories of other Licensees’ area, the Commission may order similar procedure for other Licensees as well.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 xml:space="preserve">The representatives of Confederation of NCR Residents Welfare Associations (including Mr. P. S. Jain), the </w:t>
      </w:r>
      <w:r w:rsidRPr="00B53423">
        <w:t>representatives Federation of Noida Residents Welfare Association (including Mr. N. P. Singh), Mr. M. Ahmed of Shramik Basti Sewa Samiti, Retd. Major Sukhbir Singh and National Chamber of Industries &amp; Commerce, U. P. including Mr. Manish Agarwal submitted that the Licensees should not charge regulatory surcharge from the consumers.</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B.C. Mittal submitted that surcharge is levied on the consumers for no fault of theirs. Mr. Vishnu Bhagwan Agarwal of M/s The Popular Cycle Mfg. Co. (Pvt.) Ltd. submitted that regulato</w:t>
      </w:r>
      <w:r w:rsidRPr="00B53423">
        <w:rPr>
          <w:bCs w:val="0"/>
        </w:rPr>
        <w:t xml:space="preserve">ry surcharge should not be repeated as it is unreasonable, illogical and illegal as per Electricity Act, 2003. </w:t>
      </w:r>
    </w:p>
    <w:p w:rsidR="002A1F3B" w:rsidRPr="00B53423" w:rsidRDefault="002A1F3B" w:rsidP="0015232B">
      <w:pPr>
        <w:pStyle w:val="Heading3"/>
        <w:keepNext w:val="0"/>
        <w:numPr>
          <w:ilvl w:val="0"/>
          <w:numId w:val="0"/>
        </w:numPr>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K. S. Parmar, Pramukh Sachiv of Upbhokta Kalyan Parishad submitted that regulatory surcharge should not be imposed in public interest.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M/s Rathi Steel and Power Ltd., Director of M/s Rathi Industries Ltd., Director of M/s K. L. Rathi Steels Ltd., Managing Director of M/s Rathi Super Steel Ltd., General Manager (Operations) of M/s K. L. Steels (p) Ltd. and Director of K.L. Concast Pvt. Ltd. submitted that the Petitions submitted by the Licensees should provide clarification regarding the recovery of Regulatory Assets from Open Access Consumers.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Further, Mr. Vishnu Bhagwan Agarwal of M/s The Popular Cycle Mfg. Co. (Pvt.) Ltd. and Mr. P. K. Maskara, Director of Mahabir Jute Mills Limited of Gorakhpur submitted that clarification should b</w:t>
      </w:r>
      <w:r w:rsidRPr="00B53423">
        <w:t>e provided whether regulatory surcharge is a Tariff or Non-Tariff item.</w:t>
      </w:r>
    </w:p>
    <w:p w:rsidR="002A1F3B" w:rsidRPr="00B53423" w:rsidRDefault="002A1F3B" w:rsidP="0015232B">
      <w:pPr>
        <w:spacing w:before="0" w:line="312" w:lineRule="auto"/>
        <w:ind w:left="360"/>
        <w:contextualSpacing/>
        <w:rPr>
          <w:b/>
          <w:i/>
        </w:rPr>
      </w:pPr>
    </w:p>
    <w:p w:rsidR="002A1F3B" w:rsidRPr="00B53423" w:rsidRDefault="002A1F3B" w:rsidP="000174C0">
      <w:pPr>
        <w:numPr>
          <w:ilvl w:val="0"/>
          <w:numId w:val="51"/>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With</w:t>
      </w:r>
      <w:r w:rsidRPr="00B53423">
        <w:t xml:space="preserve"> regard to the issue of regulatory surcharge @3.71% for FY 2013-14, the Licensees submitted that Clause 6.12 of the Distribution Tariff Regulations, 2006 provide as follows:</w:t>
      </w:r>
    </w:p>
    <w:p w:rsidR="002A1F3B" w:rsidRPr="00B53423" w:rsidRDefault="002A1F3B" w:rsidP="0015232B">
      <w:pPr>
        <w:spacing w:line="312" w:lineRule="auto"/>
        <w:ind w:left="1533" w:hanging="270"/>
        <w:contextualSpacing/>
        <w:rPr>
          <w:i/>
          <w:szCs w:val="26"/>
        </w:rPr>
      </w:pPr>
      <w:r w:rsidRPr="00B53423">
        <w:rPr>
          <w:i/>
          <w:szCs w:val="26"/>
        </w:rPr>
        <w:t>“1.Creation of Regulatory Asset only for the purposes of avoiding tariff increase shall not be allowed and it shall only be created to take care of natural causes or force majeure conditions or major tariff shocks. The Commission shall have the discretion of providing regulatory asset.</w:t>
      </w:r>
    </w:p>
    <w:p w:rsidR="002A1F3B" w:rsidRPr="00B53423" w:rsidRDefault="002A1F3B" w:rsidP="0015232B">
      <w:pPr>
        <w:pStyle w:val="ListParagraph"/>
        <w:spacing w:before="0" w:line="312" w:lineRule="auto"/>
        <w:ind w:left="1533" w:hanging="270"/>
        <w:contextualSpacing/>
        <w:rPr>
          <w:i/>
          <w:szCs w:val="26"/>
        </w:rPr>
      </w:pPr>
      <w:r w:rsidRPr="00B53423">
        <w:rPr>
          <w:i/>
          <w:szCs w:val="26"/>
        </w:rPr>
        <w:t>2. The use of the facility of Regulatory Asset shall not be repetitive.</w:t>
      </w:r>
    </w:p>
    <w:p w:rsidR="002A1F3B" w:rsidRPr="00B53423" w:rsidRDefault="002A1F3B" w:rsidP="0015232B">
      <w:pPr>
        <w:pStyle w:val="ListParagraph"/>
        <w:spacing w:before="0" w:line="312" w:lineRule="auto"/>
        <w:ind w:left="1533" w:hanging="270"/>
        <w:contextualSpacing/>
        <w:rPr>
          <w:i/>
          <w:szCs w:val="26"/>
        </w:rPr>
      </w:pPr>
      <w:r w:rsidRPr="00B53423">
        <w:rPr>
          <w:i/>
          <w:szCs w:val="26"/>
        </w:rPr>
        <w:t>3. Depending on the amount of Regulatory Asset accepted by the Commission, the Commission shall stipulate the amortization and financing of such assets. Regulatory Asset shall be recovered within a period not exceeding three years immediately following the year in which it is created.”</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Licensees submitted that regulatory asset had been created by the Commission towards unrecovered gap pursuant to the final True-up for FY 2000-01 to FY 2007-08 based on Audited Accounts and thereafter regulatory surcharge @ 3.71% was approved by the Commission to amortize 50% of the revenue gap approved in such True-up Order. The Licensees submitted that in view of the above regulatory surcharge is valid in law and is in accordance with the Distribution Tariff Regulations, 2006.</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51"/>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matter of Regulatory surcharge is of great concern to the Commission and accordingly it has </w:t>
      </w:r>
      <w:r w:rsidRPr="00B53423">
        <w:rPr>
          <w:bCs w:val="0"/>
        </w:rPr>
        <w:t>issued</w:t>
      </w:r>
      <w:r w:rsidRPr="00B53423">
        <w:t xml:space="preserve"> appropriate directions on the same as detailed subsequently in this Order.</w:t>
      </w:r>
    </w:p>
    <w:p w:rsidR="002A1F3B" w:rsidRPr="00B53423" w:rsidRDefault="002A1F3B" w:rsidP="0015232B">
      <w:pPr>
        <w:spacing w:line="312" w:lineRule="auto"/>
        <w:ind w:left="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67" w:name="_Toc396909060"/>
      <w:bookmarkStart w:id="368" w:name="_Toc396573752"/>
      <w:bookmarkStart w:id="369" w:name="_Toc399626156"/>
      <w:bookmarkEnd w:id="367"/>
      <w:r w:rsidRPr="00B53423">
        <w:rPr>
          <w:caps/>
        </w:rPr>
        <w:t>Cross Subsidy and CROSS SUBSIDY Surcharge</w:t>
      </w:r>
      <w:bookmarkEnd w:id="368"/>
      <w:bookmarkEnd w:id="369"/>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52"/>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Dr. Pradeep Kumar Garg of Dr. Garg Nursing Home &amp; X-Ray Clinic requested the Commission to issue an</w:t>
      </w:r>
      <w:r w:rsidRPr="00B53423">
        <w:rPr>
          <w:bCs w:val="0"/>
        </w:rPr>
        <w:t xml:space="preserve"> Order so that cross subsidy component levied on better class of consumer shall be unit linked and clearly reflected in their bills.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K. L. Aggarwal, Chairman, Associated Chambers of Commerce &amp; Industry of U. P. submitted that the Commission vide letter dated 20th August, 2007 directed to treat pending due to surcharge liability as an arrear. However, such amount of surcharge liability is not conveyed to the consumer. He submitted that it is a settled law that until and unless a demand is raised against any due or the same is added in next bill giving an opportunity to the consumer to pay off the due / liability, then any such liability cannot suo-moto be treated as an arrear.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Ms. Shruti</w:t>
      </w:r>
      <w:r w:rsidRPr="00B53423">
        <w:t xml:space="preserve"> Bhatia, Vice President (Policy &amp; Communications) of IEX has suggested the following formula for computation of cross subsidy surcharge (CSS):</w:t>
      </w:r>
    </w:p>
    <w:p w:rsidR="002A1F3B" w:rsidRPr="00B53423" w:rsidRDefault="002A1F3B" w:rsidP="0015232B">
      <w:pPr>
        <w:pStyle w:val="ListParagraph"/>
        <w:spacing w:before="0" w:line="312" w:lineRule="auto"/>
        <w:ind w:left="1346"/>
        <w:contextualSpacing/>
        <w:rPr>
          <w:i/>
          <w:szCs w:val="26"/>
        </w:rPr>
      </w:pPr>
      <w:r w:rsidRPr="00B53423">
        <w:rPr>
          <w:i/>
          <w:szCs w:val="26"/>
        </w:rPr>
        <w:t>“Formula should be in line with the National Tariff Policy i.e. S= T – [C (I+ L /100) + D].</w:t>
      </w:r>
    </w:p>
    <w:p w:rsidR="002A1F3B" w:rsidRPr="00B53423" w:rsidRDefault="002A1F3B" w:rsidP="000174C0">
      <w:pPr>
        <w:pStyle w:val="ListParagraph"/>
        <w:numPr>
          <w:ilvl w:val="0"/>
          <w:numId w:val="71"/>
        </w:numPr>
        <w:rPr>
          <w:i/>
        </w:rPr>
      </w:pPr>
      <w:r w:rsidRPr="00B53423">
        <w:rPr>
          <w:i/>
        </w:rPr>
        <w:t xml:space="preserve">'T' should be specified as Tariff applicable for the consumer category in Rs/unit. This should exclude those charges which are payable by the relevant category of consumer which are fixed in nature and payable by the OA consumer to the DISCOM irrespective of whether the consumer choose for procuring power from open access or not since presently all OA consumers seek open access with their contract demand intact. When tariff which are fixed in nature considered in 'T', it leads to double charges as these fixed charges are anyway has to be paid by the consumer. </w:t>
      </w:r>
    </w:p>
    <w:p w:rsidR="002A1F3B" w:rsidRPr="00B53423" w:rsidRDefault="002A1F3B" w:rsidP="000174C0">
      <w:pPr>
        <w:pStyle w:val="ListParagraph"/>
        <w:numPr>
          <w:ilvl w:val="0"/>
          <w:numId w:val="71"/>
        </w:numPr>
        <w:rPr>
          <w:i/>
        </w:rPr>
      </w:pPr>
      <w:r w:rsidRPr="00B53423">
        <w:rPr>
          <w:i/>
        </w:rPr>
        <w:t>'C' should be taken as “Weighted average variable cost of power purchase of top 5% at the margin in the merit order of including short term power and excluding liquid fuel based generation and renewable power". To start with, the Commission may take top 10% instead of 5%.</w:t>
      </w:r>
    </w:p>
    <w:p w:rsidR="002A1F3B" w:rsidRPr="00B53423" w:rsidRDefault="002A1F3B" w:rsidP="000174C0">
      <w:pPr>
        <w:pStyle w:val="ListParagraph"/>
        <w:numPr>
          <w:ilvl w:val="0"/>
          <w:numId w:val="71"/>
        </w:numPr>
        <w:rPr>
          <w:i/>
        </w:rPr>
      </w:pPr>
      <w:r w:rsidRPr="00B53423">
        <w:rPr>
          <w:i/>
        </w:rPr>
        <w:t>'D' should be the average wheeling charges for transmission and distribution of power.</w:t>
      </w:r>
    </w:p>
    <w:p w:rsidR="002A1F3B" w:rsidRPr="00B53423" w:rsidRDefault="002A1F3B" w:rsidP="000174C0">
      <w:pPr>
        <w:pStyle w:val="ListParagraph"/>
        <w:numPr>
          <w:ilvl w:val="0"/>
          <w:numId w:val="71"/>
        </w:numPr>
        <w:rPr>
          <w:i/>
        </w:rPr>
      </w:pPr>
      <w:r w:rsidRPr="00B53423">
        <w:rPr>
          <w:i/>
        </w:rPr>
        <w:t>'L' should be the system losses for the applicable voltage level, expressed as a percentage. In absence of loss data, the Commission may take 7.8% as loss and may change the loss figure as and when actual figures will be available with the Commission.”</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Rama Shankar Awasthi submitted that in accordance with the previous Tariff Orders, the Government has not being providing adequate subsidy, which is against Section 65 of the Electricity Act, 2003 and this leads to cross subsidization of other categories which is against the spirit of the Electricity Act, 2003. He contended that the Licensees have not provided the detailed computation of the Government subsidy provided to them. In this regard, he requested the Commission to direct the Licensees to provide such details before finalizing and designing the Tariffs of various categories of consumers as the True-up can also not be approved by the Commission without this data.</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 xml:space="preserve">Mr. G. C. Chaturvedi of Indian Industries Association submitted that cross subsidy burden must be removed from the industry.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Dhanush Vir Singh (General Manager of M/s Bennett Coleman &amp; Co Ltd., Times of India Group) submitted that the Commission may persuade the State Government to grant an appropriate power subsidy to the new</w:t>
      </w:r>
      <w:r w:rsidRPr="00B53423">
        <w:t xml:space="preserve">spaper printing establishments.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52"/>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As regards the CSS the Licensee submitted that the schedule of open access charges and CSS are notified by the Commission in the Tariff Orders. The Licensees submitted that they are duty bound to abide by the Electricity Act, 2003 which provides for open access in the distribution segment. The Licensees further submitted that in this background they have already made a Petition before the Commission for determination of CSS which would pave way for operationalization of open access. The Commission has also issued In-house paper on the matter. The Licensees added that the Commission is seized with this matter and it is expecte</w:t>
      </w:r>
      <w:r w:rsidRPr="00B53423">
        <w:rPr>
          <w:bCs w:val="0"/>
        </w:rPr>
        <w:t>d that in the ARR and Tariff Order for FY 2014-15, the Commission would provide details of open access charges and cross subsidy surcharge.</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With regard to granting power subsidy to the newspaper printing establishments, the Petitioner submitted that it is the prerogative of the State Govt to decide on the issue of subsidy and the distribution licensee is not in a position to influence the decision making process of the State Govt.</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As regard</w:t>
      </w:r>
      <w:r w:rsidRPr="00B53423">
        <w:t>s the issue of cross subsidy burden to be removed from the industries, the Licensees submitted the cross subsidy is within the threshold limits prescribed under the Tariff Policy.</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52"/>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The Commission is of the view that tariff should be rationalized. However, it is also aware of the socio-economic condition of different groups of the population. Therefore, it is of the opinion, that there is a need to have a feasible solution that helps the cause of rationalization. The Commission has ensured that the tariff payable by these consumers is low, kee</w:t>
      </w:r>
      <w:r w:rsidRPr="00B53423">
        <w:rPr>
          <w:bCs w:val="0"/>
        </w:rPr>
        <w:t>ping in mind that they belong to the most disadvantaged sections of the society. The current tariff for this category of consumers, well justifies the rationalization policy of the Commission and is in line with the National Tariff Policy.</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In accordance with the National Electricity Policy, consumers below poverty line who consume electricity below a specified level may receive a special support through cross subsidy. Tariffs for such designated group of consumers will be at least 50% of the average cost of supply. </w:t>
      </w:r>
      <w:r w:rsidR="003C4DE7" w:rsidRPr="00B53423">
        <w:rPr>
          <w:bCs w:val="0"/>
        </w:rPr>
        <w:t>The tariff has been designed in such a way that it shall progressively reflect the cost of supply of electricity</w:t>
      </w:r>
      <w:r w:rsidRPr="00B53423">
        <w:rPr>
          <w:bCs w:val="0"/>
        </w:rPr>
        <w:t xml:space="preserve">.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As regards the cross subsidy surcharge the Commission has noted the suggestions made by the stakehol</w:t>
      </w:r>
      <w:r w:rsidRPr="00B53423">
        <w:t>ders and has accordingly discussed the issue in detail in Chapter Open Access Charges.</w:t>
      </w:r>
    </w:p>
    <w:p w:rsidR="002A1F3B" w:rsidRPr="00B53423" w:rsidRDefault="002A1F3B" w:rsidP="0015232B">
      <w:pPr>
        <w:spacing w:line="312" w:lineRule="auto"/>
        <w:ind w:left="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70" w:name="_Toc396573753"/>
      <w:bookmarkStart w:id="371" w:name="_Toc399626157"/>
      <w:r w:rsidRPr="00B53423">
        <w:rPr>
          <w:caps/>
        </w:rPr>
        <w:t>Rebate in Tariff</w:t>
      </w:r>
      <w:bookmarkEnd w:id="370"/>
      <w:bookmarkEnd w:id="371"/>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53"/>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Mr. Deepak Agarwal, Jt. Managing Director, A2Z Infrastructure Ltd. submitted that pursuant to the affidavit filed by the Union of lndia in Writ Petition (Civil) No. 888 of 1996 in the Hon’ble Supreme Court of lndia by Mrs. Almitra Patel &amp; Others vs Union of lndia &amp; on Solid Waste Management, the Ministry of Urban Development, Government of lndia constituted an Inter-Ministerial Task Force on “Integrated Plant Nutrient Management using City Compost” comprising of experts from various Government bodies and special invitees / NGOs. The recommendation number (xxi) of the Task Force under Financial Recommendations states in the Para (12) as:</w:t>
      </w:r>
    </w:p>
    <w:p w:rsidR="00DF6B53" w:rsidRPr="00B53423" w:rsidRDefault="00DF6B53" w:rsidP="0015232B">
      <w:pPr>
        <w:pStyle w:val="ListParagraph"/>
        <w:spacing w:line="312" w:lineRule="auto"/>
        <w:ind w:left="1440"/>
        <w:contextualSpacing/>
        <w:rPr>
          <w:i/>
          <w:szCs w:val="26"/>
        </w:rPr>
      </w:pPr>
    </w:p>
    <w:p w:rsidR="002A1F3B" w:rsidRPr="00B53423" w:rsidRDefault="002A1F3B" w:rsidP="0015232B">
      <w:pPr>
        <w:pStyle w:val="ListParagraph"/>
        <w:spacing w:line="312" w:lineRule="auto"/>
        <w:ind w:left="1440"/>
        <w:contextualSpacing/>
        <w:rPr>
          <w:i/>
          <w:szCs w:val="26"/>
        </w:rPr>
      </w:pPr>
      <w:r w:rsidRPr="00B53423">
        <w:rPr>
          <w:i/>
          <w:szCs w:val="26"/>
        </w:rPr>
        <w:t>“Composter should be supplied electricity and water on the same rates as provided to agriculture sector or at concessional rate, whichever is less”</w:t>
      </w:r>
    </w:p>
    <w:p w:rsidR="002A1F3B" w:rsidRPr="00B53423" w:rsidRDefault="002A1F3B" w:rsidP="0015232B">
      <w:pPr>
        <w:pStyle w:val="ListParagraph"/>
        <w:spacing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 xml:space="preserve">He further submitted that while considering the Report of the Task Force, the Hon’ble Supreme Court of India had directed for immediate implementation of the recommendations of the Task Force. </w:t>
      </w:r>
      <w:r w:rsidRPr="00B53423">
        <w:rPr>
          <w:bCs w:val="0"/>
        </w:rPr>
        <w:t>In this regard, he requested the Commission to provide electricity to A2Z Infrastructure Ltd. for its MSW Projects at agricultural / concessional Tariff as per the directives of the Hon’ble Supreme Court and may accordingly take the same into consideration in the ARR for FY 2014-15, which promotes composting of city waste with twin objective of cleaning the cities and replenishing the soils with much needed humus rich in nutrients and moderating soil environment.</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Dr. Sunil Kumar submitted that the rebate in Tariff should be continued for the supply of power to the clinics established at the premises of Doctors.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R. K. Jain, Secretary, Western U. P. Chamber of Commerce and Industry, Bombay Bazar, Meerut Cantt submitted that rebate should be reintroduced to power consumers on the bills paid in time.</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Vishnu Bhagwan Agarwal of M/s The Popular Cycle Mfg. Co. (Pvt.) Ltd. submitted that load factor rebate should be given on actual hours of supply on MDI meters, which is on the assumption of 24 hours supply and accordingly proportionate rebate should be allowed.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Atul Kanojia submitted that the shop opened in the residential premises should be considered in domestic category.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Kedar Nath Gupta of Avinash Ghan Neer Girls Inter College, Kanpur requested the Commission to provide concessional Tariff for un-aided educational institutions.</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Mr. Satyajeet Thakur of U. P. Khadi &amp; Village Industries Board submitted that the hand-made paper products are eco-friendly and such cottage industries provide employment to rural population and therefore, there should be reduction in Tariff for cottage industries of hand-made paper products.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The representatives of Hath Kagaz Nirmata Samiti Kalpi-Jaunpur, U. P. (including Mr. Rabindra Nath Gupta) submitted that hand-made paper cottage industry is in very poor condition and requested the Commission to provide 50% subsidy to hand-made paper cottage industry and supply electricity to them at rate based on horse power.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 xml:space="preserve">The representatives of Uttar Pradesh Madhyamik Vidyalaya Prabandhak Mahasabha submitted that there are two types of private schools wherein the first category of private schools are those where State Govt. has no control over the fees charged from the students while the second category of private schools are run under the aid of State Govt. and the teachers of such category get the salary from the State Govt. Remaining expenses of the such second category of schools are borne by the school by its own. They submitted that the fees charged by second category of private schools are controlled by the State Govt. They contended that there is a separate category for Private Schools in the Tariff structure </w:t>
      </w:r>
      <w:proofErr w:type="gramStart"/>
      <w:r w:rsidRPr="00B53423">
        <w:rPr>
          <w:bCs w:val="0"/>
        </w:rPr>
        <w:t>whose</w:t>
      </w:r>
      <w:proofErr w:type="gramEnd"/>
      <w:r w:rsidRPr="00B53423">
        <w:rPr>
          <w:bCs w:val="0"/>
        </w:rPr>
        <w:t xml:space="preserve"> Tariff are Rs. 6.50 / 6.75 per Unit, which is even more than the commercial category. They submitted that the connections of most of the second category of private schools have been disconnected due to inability to pay bills and hence they requested the Commission to provide a provision for free / sub</w:t>
      </w:r>
      <w:r w:rsidRPr="00B53423">
        <w:t>sidized electricity for the second category of private schools.</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53"/>
        </w:numPr>
        <w:spacing w:before="0" w:line="312" w:lineRule="auto"/>
        <w:contextualSpacing/>
        <w:rPr>
          <w:b/>
          <w:i/>
          <w:szCs w:val="26"/>
        </w:rPr>
      </w:pPr>
      <w:r w:rsidRPr="00B53423">
        <w:rPr>
          <w:b/>
          <w:i/>
          <w:szCs w:val="26"/>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As regards the contention raised by Mr. Deepak Agarwal regarding electricity supply to MSW projects at concessional agriculture Tariff, the Licensees submitted that UPPCL had communicated vide letter no. 654 / RAU / ARR general dated 2</w:t>
      </w:r>
      <w:r w:rsidRPr="00B53423">
        <w:rPr>
          <w:vertAlign w:val="superscript"/>
        </w:rPr>
        <w:t>nd</w:t>
      </w:r>
      <w:r w:rsidRPr="00B53423">
        <w:t xml:space="preserve"> May, 2012 stating that it would n</w:t>
      </w:r>
      <w:r w:rsidRPr="00B53423">
        <w:rPr>
          <w:bCs w:val="0"/>
        </w:rPr>
        <w:t>ot be possible to supply electricity at subsidised rates without any provision of subsidy from the Central or State Government. The Licensees added that since subsidy provision is not available, as per the terms of the Tariff Policy, it would not be possible to supply electricity at subsidised rates to MSW projects.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The Petitio</w:t>
      </w:r>
      <w:r w:rsidRPr="00B53423">
        <w:t>ner submitted that Section 62 (3) of the Electricity Act 2003 states as follows:</w:t>
      </w:r>
    </w:p>
    <w:p w:rsidR="00DF6B53" w:rsidRPr="00B53423" w:rsidRDefault="00DF6B53" w:rsidP="0015232B">
      <w:pPr>
        <w:pStyle w:val="ListParagraph"/>
        <w:spacing w:before="0" w:line="312" w:lineRule="auto"/>
        <w:ind w:left="1440"/>
        <w:contextualSpacing/>
        <w:rPr>
          <w:szCs w:val="26"/>
        </w:rPr>
      </w:pPr>
    </w:p>
    <w:p w:rsidR="002A1F3B" w:rsidRPr="00B53423" w:rsidRDefault="002A1F3B" w:rsidP="0015232B">
      <w:pPr>
        <w:pStyle w:val="ListParagraph"/>
        <w:spacing w:before="0" w:line="312" w:lineRule="auto"/>
        <w:ind w:left="1440"/>
        <w:contextualSpacing/>
        <w:rPr>
          <w:szCs w:val="26"/>
        </w:rPr>
      </w:pPr>
      <w:r w:rsidRPr="00B53423">
        <w:rPr>
          <w:szCs w:val="26"/>
        </w:rPr>
        <w:t xml:space="preserve"> </w:t>
      </w:r>
      <w:r w:rsidRPr="00B53423">
        <w:rPr>
          <w:i/>
          <w:szCs w:val="26"/>
        </w:rPr>
        <w:t>“Appropriate Commission shall not while determining the tariff under this Act, show undue preference to any consumer of electricity, but may differentiate according to the consumer's load factor, power factor, voltage, total consumption of electricity during any specified period or the time at which the supply is required or the geographical position of any area, the nature of supply and the purpose for which supply is required”.</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Licensees submitted that based on above distinction has been done in the Rate Schedule such that consumers who consume power for commercial purposes are charged near the cost of supply.</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regards reduction in Tariff for khadi and village industries, paper industry and cottage industry, the Licensees replied that such industries run with commercial motives and such industries pass the incidence of their cost on to their consumers in terms of hike in charges of products and services. The Licensees submitted that any reduction in Tariff of such </w:t>
      </w:r>
      <w:r w:rsidRPr="00B53423">
        <w:rPr>
          <w:bCs w:val="0"/>
        </w:rPr>
        <w:t>consumers</w:t>
      </w:r>
      <w:r w:rsidRPr="00B53423">
        <w:t xml:space="preserve"> would hurt the Licensees who are already reeling under severe financial crisis. The Licensees added that since no subsidy is being received from the State Government towards such industries, hence any reduction in their Tariffs would be uncovered gap for the Licensees.</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53"/>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taken note of the above objections / suggestions made by the stakeholders in this regards. The Commission has determined the Tariff for different category of </w:t>
      </w:r>
      <w:r w:rsidRPr="00B53423">
        <w:rPr>
          <w:bCs w:val="0"/>
        </w:rPr>
        <w:t>consumers</w:t>
      </w:r>
      <w:r w:rsidRPr="00B53423">
        <w:t xml:space="preserve"> in accordance with the Electricity Act, 2003 and the Tariff Policy. All the aspects related to tariff design have been discussed in detail in Chapter Tariff Philosophy and the Rate Schedule approved by the Commission.</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regards subsidy for any particular category of consumers is concerned, the Commission opines that it is outside the purview of the Commission and is related to the State Government. The stakeholders desiring any relief in this regards may approach the State </w:t>
      </w:r>
      <w:r w:rsidRPr="00B53423">
        <w:rPr>
          <w:bCs w:val="0"/>
        </w:rPr>
        <w:t>Government</w:t>
      </w:r>
      <w:r w:rsidRPr="00B53423">
        <w:t xml:space="preserve"> with their proposal. As far as applicable Tariff for different category of consumers is concerned, the same shall be in accordance with the Rate Schedule approved by the Commission.</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0174C0">
      <w:pPr>
        <w:pStyle w:val="Heading2"/>
        <w:keepNext w:val="0"/>
        <w:numPr>
          <w:ilvl w:val="1"/>
          <w:numId w:val="65"/>
        </w:numPr>
        <w:autoSpaceDE w:val="0"/>
        <w:autoSpaceDN w:val="0"/>
        <w:adjustRightInd w:val="0"/>
        <w:spacing w:before="120" w:line="240" w:lineRule="auto"/>
        <w:contextualSpacing/>
        <w:rPr>
          <w:caps/>
        </w:rPr>
      </w:pPr>
      <w:bookmarkStart w:id="372" w:name="_Toc396573754"/>
      <w:bookmarkStart w:id="373" w:name="_Toc399626158"/>
      <w:r w:rsidRPr="00B53423">
        <w:rPr>
          <w:caps/>
        </w:rPr>
        <w:t>Open Access</w:t>
      </w:r>
      <w:bookmarkEnd w:id="372"/>
      <w:bookmarkEnd w:id="373"/>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38"/>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Mr. R. N. Singh, Secretary, Chamber of Industries, Gorakhpur submitted that Open Access is available to Independent Feeders, immerging from 132 kV / 33 kV sub-stations and therefore wheeling loss would be less than 0.1%. However, there are two different rates for two </w:t>
      </w:r>
      <w:r w:rsidRPr="00B53423">
        <w:rPr>
          <w:bCs w:val="0"/>
        </w:rPr>
        <w:t>Licensees</w:t>
      </w:r>
      <w:r w:rsidRPr="00B53423">
        <w:t xml:space="preserve"> i.e. in the Tariff Order for the Licensees it is 7% whie for NPCL it is 2.76%. He submitted that in the ARR filed by Chief Engineer (RAU), UPPCL on 6</w:t>
      </w:r>
      <w:r w:rsidRPr="00B53423">
        <w:rPr>
          <w:vertAlign w:val="superscript"/>
        </w:rPr>
        <w:t>th</w:t>
      </w:r>
      <w:r w:rsidRPr="00B53423">
        <w:t xml:space="preserve"> February, 2013, the wheeling loss was only 1.91% for the current year. He submitted that under the system of double metering, two meters are installed at two places, i.e., main meter at factory’s entry point and other at exit point of transmission sub-station which is an independent feeder and the variation of both meters is less than 0.1% hence, wheeling loss should be less than 0.5%. In this regard, Mr. S. B. Agrawal, General Secretary of Associated Chambers of Commerce &amp; Industry of U.P suggested the wheeling loss should not be considered more than 1%. Further, </w:t>
      </w:r>
      <w:r w:rsidRPr="00B53423">
        <w:rPr>
          <w:bCs w:val="0"/>
        </w:rPr>
        <w:t xml:space="preserve">Mr. P. K. Maskara, Director of Mahabir Jute Mills Limited of Gorakhpur requested the Commission to allow not more than 0.5% wheeling loss for 33 kV </w:t>
      </w:r>
      <w:proofErr w:type="gramStart"/>
      <w:r w:rsidRPr="00B53423">
        <w:rPr>
          <w:bCs w:val="0"/>
        </w:rPr>
        <w:t>feeder</w:t>
      </w:r>
      <w:proofErr w:type="gramEnd"/>
      <w:r w:rsidRPr="00B53423">
        <w:rPr>
          <w:bCs w:val="0"/>
        </w:rPr>
        <w:t>.</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Anil Sardana, Chairman, Confederation of Indian Industry (CII) National Committee on Power submitted that denial of Open Access affects the State and its economy as a whole. He submitted that when an Industrial Consumer in a State is denied access to competitive power leading to lower turnover, the economy the State is hampered leading to lesser Income from taxes for the State and increased unemployment. He added that the Licensees are deprived of whee</w:t>
      </w:r>
      <w:r w:rsidRPr="00B53423">
        <w:rPr>
          <w:bCs w:val="0"/>
        </w:rPr>
        <w:t xml:space="preserve">ling and other charges applicable on the consumer availing open access and the aspects like cross subsidy charge and surcharge are causing difficulties in promoting open access.  He requested the Commission to frame policy and regulations pertaining to rationalization of wheeling charges, cross subsidy surcharge and other OA charges in such a way that OA is promoted.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M/s Rathi Steel and Power Ltd., Director of M/s Rathi Industries Ltd., Director of M/s K. L. Rathi Steels Ltd., Managing Director of M/s Rathi Super Steel Ltd., General Manager (Operations) of M/s K. L. Steels (p) Ltd. and Director of K.L. Concast Pvt. Ltd. submitted that proposed wheeling charges with detailed explanation on the different voltage level should be specified and clarified and the Petitions filed by the Licensees are silent about subsidy to be granted by U.P. Govt. to them. They submitted that the charges to be recovered from Open Access consumers on account of cross subsidy should be provided with justification and the details of category wise and voltage wise charges to be recovered from open access consumers should also be clarified. They further submitted that rate of bulk consumer on HT supply system may be fixed without taking into consideration the cost of L.T. supply system.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 xml:space="preserve">The director of M/s Mahabir Jute Mills Ltd. submitted that wheeling loss should be considered on case to case basis and requested the Commission to allow them appropriate wheeling loss of about 1%.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38"/>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As regards accounting of wheeling losses for computation of open access charges, the Licensees submitted that the issue has already been dealt with by the Commission in Para 5.2.6 of the suo-motu Tariff Order dated 31</w:t>
      </w:r>
      <w:r w:rsidRPr="00B53423">
        <w:rPr>
          <w:vertAlign w:val="superscript"/>
        </w:rPr>
        <w:t>st</w:t>
      </w:r>
      <w:r w:rsidRPr="00B53423">
        <w:t xml:space="preserve"> May, 2013 for FY 2013-14. The relevant extract submitted by the Licensees is reproduced below:</w:t>
      </w:r>
    </w:p>
    <w:p w:rsidR="00DF6B53" w:rsidRPr="00B53423" w:rsidRDefault="00DF6B53" w:rsidP="0015232B">
      <w:pPr>
        <w:pStyle w:val="ListParagraph"/>
        <w:spacing w:before="0" w:line="312" w:lineRule="auto"/>
        <w:ind w:left="1440"/>
        <w:contextualSpacing/>
        <w:rPr>
          <w:i/>
        </w:rPr>
      </w:pPr>
    </w:p>
    <w:p w:rsidR="002A1F3B" w:rsidRPr="00B53423" w:rsidRDefault="002A1F3B" w:rsidP="0015232B">
      <w:pPr>
        <w:pStyle w:val="ListParagraph"/>
        <w:spacing w:before="0" w:line="312" w:lineRule="auto"/>
        <w:ind w:left="1440"/>
        <w:contextualSpacing/>
        <w:rPr>
          <w:i/>
        </w:rPr>
      </w:pPr>
      <w:r w:rsidRPr="00B53423">
        <w:rPr>
          <w:i/>
        </w:rPr>
        <w:t>“In addition to the payment of wheeling charges, the customers also have to hear the wheeling losses in kind.”</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Licensees further submitted that the </w:t>
      </w:r>
      <w:r w:rsidRPr="00B53423">
        <w:rPr>
          <w:bCs w:val="0"/>
        </w:rPr>
        <w:t>voltage</w:t>
      </w:r>
      <w:r w:rsidRPr="00B53423">
        <w:t xml:space="preserve"> wise losses will be determined under the MYT regime.</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regards open access, the Licensees submitted that they are duly bound to abide by the Electricity Act, 2003 which provides for open access in the distribution segment and in this background, they have already made a Petition before the Commission for determination of cross subsidy surcharge which will pave way for operationalisation of open access. The Licensees further submitted that the Commission has also issued an In-house paper on this matter and is seized with this matter. The Licensees added that it is expected that in the ARR and Tariff Order for FY 2014-15, the </w:t>
      </w:r>
      <w:r w:rsidRPr="00B53423">
        <w:rPr>
          <w:bCs w:val="0"/>
        </w:rPr>
        <w:t>Commission</w:t>
      </w:r>
      <w:r w:rsidRPr="00B53423">
        <w:t xml:space="preserve"> would provide the details of the open access charges and cross subsidy surcharge such that open access is a revenue neutral event to the distribution licensees. </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As regards the subsidy granted by GoUP, the Licensees submitted that details of the proposed subsidy have been duly submitted in the ARR and Tariff Petition and the Govt. Orders in this regards have also been submitted before the Commission. The Licensees added that all such details have been published on the website of the Petitioner. </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On the issue of applicability of regulatory surcharge on open access charges, the Licensees submitted that the Commission has already clarified the issue in the Clarifications in regard to the Tariff Orders for FY 2013-14 (Clarification No. 1) vide Ref No: UPERC/D(T)RAU/2013-402 dated 25</w:t>
      </w:r>
      <w:r w:rsidRPr="00B53423">
        <w:rPr>
          <w:vertAlign w:val="superscript"/>
        </w:rPr>
        <w:t>th</w:t>
      </w:r>
      <w:r w:rsidRPr="00B53423">
        <w:t xml:space="preserve"> June, 2013.</w:t>
      </w:r>
    </w:p>
    <w:p w:rsidR="002A1F3B" w:rsidRPr="00B53423" w:rsidRDefault="002A1F3B" w:rsidP="0015232B">
      <w:pPr>
        <w:pStyle w:val="ListParagraph"/>
        <w:spacing w:before="0" w:line="312" w:lineRule="auto"/>
        <w:ind w:left="180"/>
        <w:contextualSpacing/>
      </w:pPr>
    </w:p>
    <w:p w:rsidR="002A1F3B" w:rsidRPr="00B53423" w:rsidRDefault="002A1F3B" w:rsidP="000174C0">
      <w:pPr>
        <w:numPr>
          <w:ilvl w:val="0"/>
          <w:numId w:val="38"/>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taken note of the above objections / suggestions made by the stakeholders in this regards. The details of the charges applicable to open access consumers along with the wheeling losses approved by the Commission have been discussed in subsequent Chapter titled Open Access Charges. </w:t>
      </w:r>
    </w:p>
    <w:p w:rsidR="002A1F3B" w:rsidRPr="00B53423" w:rsidRDefault="002A1F3B" w:rsidP="0015232B">
      <w:pPr>
        <w:spacing w:line="312" w:lineRule="auto"/>
        <w:ind w:left="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74" w:name="_Toc396573755"/>
      <w:bookmarkStart w:id="375" w:name="_Toc399626159"/>
      <w:r w:rsidRPr="00B53423">
        <w:rPr>
          <w:caps/>
        </w:rPr>
        <w:t xml:space="preserve">Public </w:t>
      </w:r>
      <w:bookmarkEnd w:id="374"/>
      <w:r w:rsidRPr="00B53423">
        <w:rPr>
          <w:caps/>
        </w:rPr>
        <w:t>participaton</w:t>
      </w:r>
      <w:bookmarkEnd w:id="375"/>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54"/>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 xml:space="preserve">Mr. Rajata Mehta, General Secretary, Amausi Industries Association requested the Commission to list Amausi Industries Ltd. in the list of registered associations that represent micro-small and medium enterprises so that they will be </w:t>
      </w:r>
      <w:r w:rsidRPr="00B53423">
        <w:rPr>
          <w:bCs w:val="0"/>
        </w:rPr>
        <w:t xml:space="preserve">able to participate in the discussions organised by the Commission and put forward issues, grievances and suggestions before the Commission. </w:t>
      </w:r>
    </w:p>
    <w:p w:rsidR="005D7AFD" w:rsidRPr="00B53423" w:rsidRDefault="005D7AFD" w:rsidP="0015232B">
      <w:pPr>
        <w:pStyle w:val="Heading3"/>
        <w:keepNext w:val="0"/>
        <w:numPr>
          <w:ilvl w:val="0"/>
          <w:numId w:val="0"/>
        </w:numPr>
        <w:spacing w:before="120"/>
        <w:ind w:left="993"/>
        <w:rPr>
          <w:bCs w:val="0"/>
        </w:rPr>
      </w:pP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rPr>
          <w:bCs w:val="0"/>
        </w:rPr>
        <w:t>Mr. Vishnu Bhagwan Agarwal of M/s the Popular Cycle Mfg. Co. (Pvt.) Ltd. submitted that public hearing should be video graphed and made transparent. He also submitted that speaking Order should be given on individual points of objections raised by the stakeholders.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K. L. Aggarwal, Chairman, Associated Chambers of Commerce &amp; Industry of U. P. and Mr. R. K. Chaudhary, Chairman, Indian Industries Association Varanasi Chapter submitted that the video-recording of the proceeding of all public hearings should be made compulsorily and copy thereof be made available to the interes</w:t>
      </w:r>
      <w:r w:rsidRPr="00B53423">
        <w:t xml:space="preserve">ted parties on demand.  </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54"/>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w:t>
      </w:r>
      <w:r w:rsidRPr="00B53423">
        <w:rPr>
          <w:bCs w:val="0"/>
        </w:rPr>
        <w:t>Licensee</w:t>
      </w:r>
      <w:r w:rsidRPr="00B53423">
        <w:t xml:space="preserve"> has not replied to the above objections.</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54"/>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As regard</w:t>
      </w:r>
      <w:r w:rsidRPr="00B53423">
        <w:rPr>
          <w:bCs w:val="0"/>
        </w:rPr>
        <w:t>s the issue of speaking Order is concerned, the Commission has taken note of the suggestions made by the stakeholder and also ensures the stakeholders that the Commission diligently considers valuable suggestions provided by various stakeholders during the process and duly incorporates the same in the Tariff Order issued by it after taking all the necessary actions in this regards.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The Commission ensures the stakeholders that the public hearings are a transparent process and all necessary procedures in this regards are followed by the Commission as well as the Licensee which also include video-recording of the proceedings. The copy of the video-recordin</w:t>
      </w:r>
      <w:r w:rsidRPr="00B53423">
        <w:t>g of the proceedings is always available with the Licensee and in case any interested stakeholder desires a copy, it may seek the same from the Licensees.</w:t>
      </w:r>
    </w:p>
    <w:p w:rsidR="002A1F3B" w:rsidRPr="00B53423" w:rsidRDefault="002A1F3B" w:rsidP="0015232B">
      <w:pPr>
        <w:spacing w:line="312" w:lineRule="auto"/>
        <w:ind w:left="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76" w:name="_Toc396573756"/>
      <w:bookmarkStart w:id="377" w:name="_Toc399626160"/>
      <w:r w:rsidRPr="00B53423">
        <w:rPr>
          <w:caps/>
        </w:rPr>
        <w:t>New Sub-category for telecom towers within Commercial Category</w:t>
      </w:r>
      <w:bookmarkEnd w:id="376"/>
      <w:bookmarkEnd w:id="377"/>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55"/>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 xml:space="preserve">Mr. Rupak Gautam, Energy Controller, Indus Tower Ltd.  </w:t>
      </w:r>
      <w:proofErr w:type="gramStart"/>
      <w:r w:rsidRPr="00B53423">
        <w:t>submitted</w:t>
      </w:r>
      <w:proofErr w:type="gramEnd"/>
      <w:r w:rsidRPr="00B53423">
        <w:t xml:space="preserve"> that all the telecom towers which are owned by Indus and which are being supplied by rural feeders are currently being billed on the basis of urban tariffs. He submitted that the towers being supplied electricity by rural fee</w:t>
      </w:r>
      <w:r w:rsidRPr="00B53423">
        <w:rPr>
          <w:bCs w:val="0"/>
        </w:rPr>
        <w:t>ders receive a continuous supply of electricity for a much smaller time period than urban areas. He further submitted that to ensure uninterrupted operation of telecom towers and to guarantee mobile connectivity, Indus Towers has to supply large volumes of diesel fuel to each of the towers and this additional expenditure on diesel, coupled with the excess tariff billed provides a major and unjustified financial strain on Indus Towers, affecting its liability to operate effectively. In this regard, he requested the Commission to direct the Licensee to bill telecom towers located in rural areas based on rural tariffs applicable to it. In addition, he also requested the Commission to direct the Licensee to refund excess billing made by the Utility to Indus Towers.</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Further, Mr. Rupak submitted that in accordance with Section 62(3) of the EA 2003, Commissions across various States in India have introduced specific sub-categories for certain type of consumers under the Commercial category. Further, Hon’ble APTEL in its Judgment dated 20th October, 2010 in Appeal No. 70, 71, 78, 79, 80, 81 &amp; 82 of 2010 in the matter of Association of Hospitals c/o Bombay Hospital vs. Mumbai Electricity Regulatory Commission and Reliance Energy Ltd. stated that the differentiation between consumers can be based on the use of electricity by hospital, educational institutions as compared to the commercial utilities such as malls and multiplexes etc. He submitted that the Commission has the right to differentiate between consumers on the basis of the “purpose for which the supply is required”. In this regard, he requested the Commission to consider telecom as a special sub-category under the commercial category. He added that telecom tower industry forms a very different consumption profile and comes under the domain of essential service provider</w:t>
      </w:r>
      <w:r w:rsidRPr="00B53423">
        <w:t xml:space="preserve"> for social benefit and considering the ease of serving consumers, appropriate relaxations in tariff should be provided for telecom tower industry.</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55"/>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In this regard, the Licensees submitted that the Commission is already seized with this matter and </w:t>
      </w:r>
      <w:r w:rsidRPr="00B53423">
        <w:rPr>
          <w:bCs w:val="0"/>
        </w:rPr>
        <w:t>hence</w:t>
      </w:r>
      <w:r w:rsidRPr="00B53423">
        <w:t xml:space="preserve"> it would not be appropriate for the Petitioner to comment on the same in this proceeding. The Licensees further added that this matter does not specifically pertain to the determination of the ARR and Tariff for FY 2014-15.</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Licensees submitted that it has endeavoured to keep the Rate Schedule as simple as possible. However, different categories have been created to discriminate among consumers considering their load factor, power factor, voltage, total consumption of electricity during any specified period or the time at which the supply is required or the geographical position of any </w:t>
      </w:r>
      <w:r w:rsidRPr="00B53423">
        <w:rPr>
          <w:bCs w:val="0"/>
        </w:rPr>
        <w:t>area</w:t>
      </w:r>
      <w:r w:rsidRPr="00B53423">
        <w:t>, the nature of supply and the purpose for which supply is required as the telecom companies pass the incidence of their cost on to their consumers in terms of hike in the charges of their services; any move to re-categorise the  consumer category which has impact on Tariff of such consumers would hurt the Licensees who are already reeling under severe financial crisis.</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55"/>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does not agree with the contentions of the stakeholder to provide special relaxation to the telecom towers based on the kind of services provided by them. The </w:t>
      </w:r>
      <w:r w:rsidRPr="00B53423">
        <w:rPr>
          <w:bCs w:val="0"/>
        </w:rPr>
        <w:t>Commission</w:t>
      </w:r>
      <w:r w:rsidRPr="00B53423">
        <w:t xml:space="preserve"> understands that the telecom companies are allowed to pass over the burden of legitimate costs through increase in tariffs to consumers. The Judgment cited by the stakeholder also does not apply in the current case. Accordingly, the Commission does not agree with the proposal to create a separate category for mobile tower in this Tariff Order.</w:t>
      </w:r>
    </w:p>
    <w:p w:rsidR="002A1F3B" w:rsidRPr="00B53423" w:rsidRDefault="002A1F3B" w:rsidP="0015232B">
      <w:pPr>
        <w:spacing w:line="312" w:lineRule="auto"/>
        <w:ind w:left="993"/>
        <w:contextualSpacing/>
        <w:outlineLvl w:val="2"/>
        <w:rPr>
          <w:rFonts w:cs="Arial"/>
          <w:bCs/>
          <w:szCs w:val="26"/>
        </w:rPr>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78" w:name="_Toc396573757"/>
      <w:bookmarkStart w:id="379" w:name="_Toc399626161"/>
      <w:r w:rsidRPr="00B53423">
        <w:rPr>
          <w:caps/>
        </w:rPr>
        <w:t>Minimum Consumption Guarantee</w:t>
      </w:r>
      <w:bookmarkEnd w:id="378"/>
      <w:bookmarkEnd w:id="379"/>
      <w:r w:rsidRPr="00B53423">
        <w:rPr>
          <w:caps/>
        </w:rPr>
        <w:t xml:space="preserve"> </w:t>
      </w:r>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56"/>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Mr. Vishnu Bhagwan Agarwal and Mr. Ravi Agarwal of Popular Cycles (Auto) submitted that UPPCL has proposed to impose MCG Rs. at 600/- per kW on LMV-2 consumer which is unreaso</w:t>
      </w:r>
      <w:r w:rsidRPr="00B53423">
        <w:rPr>
          <w:bCs w:val="0"/>
        </w:rPr>
        <w:t xml:space="preserve">nable.  </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Mr. K. S. Parmar, Pramukh Sachiv of Upbhokta Kalyan Parishad submitted that and Mr. Avadhes</w:t>
      </w:r>
      <w:r w:rsidRPr="00B53423">
        <w:t xml:space="preserve">h Kumar Verma, Chairman, Uttar Pradesh Rajya Vidyut Upbhoktha Parishad (UPRVUP) submitted that the concept of levy of minimum consumption charges is unjustifiable and should be avoided. </w:t>
      </w:r>
    </w:p>
    <w:p w:rsidR="002A1F3B" w:rsidRPr="00B53423" w:rsidRDefault="002A1F3B" w:rsidP="0015232B">
      <w:pPr>
        <w:spacing w:line="312" w:lineRule="auto"/>
        <w:ind w:left="993"/>
        <w:contextualSpacing/>
        <w:outlineLvl w:val="2"/>
        <w:rPr>
          <w:rFonts w:cs="Arial"/>
          <w:bCs/>
          <w:szCs w:val="26"/>
        </w:rPr>
      </w:pPr>
    </w:p>
    <w:p w:rsidR="002A1F3B" w:rsidRPr="00B53423" w:rsidRDefault="002A1F3B" w:rsidP="000174C0">
      <w:pPr>
        <w:numPr>
          <w:ilvl w:val="0"/>
          <w:numId w:val="56"/>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rPr>
          <w:bCs w:val="0"/>
        </w:rPr>
      </w:pPr>
      <w:r w:rsidRPr="00B53423">
        <w:t>The Licensees submitted that a Petition for levy of minimum consumption guarantee (MCG) charges for LMV-2 (c) consumers has been submitted before the Commission on 2</w:t>
      </w:r>
      <w:r w:rsidRPr="00B53423">
        <w:rPr>
          <w:vertAlign w:val="superscript"/>
        </w:rPr>
        <w:t>nd</w:t>
      </w:r>
      <w:r w:rsidRPr="00B53423">
        <w:t xml:space="preserve"> July, 2014. The Licens</w:t>
      </w:r>
      <w:r w:rsidRPr="00B53423">
        <w:rPr>
          <w:bCs w:val="0"/>
        </w:rPr>
        <w:t>ees submitted that the Commission is seized with this matter and the Licensee may proceed on the matter based on the directions of the Commission as it may deem fit.</w:t>
      </w:r>
    </w:p>
    <w:p w:rsidR="005D7AFD" w:rsidRPr="00B53423" w:rsidRDefault="005D7AFD" w:rsidP="0015232B">
      <w:pPr>
        <w:pStyle w:val="Heading3"/>
        <w:keepNext w:val="0"/>
        <w:numPr>
          <w:ilvl w:val="0"/>
          <w:numId w:val="0"/>
        </w:numPr>
        <w:spacing w:before="120"/>
        <w:ind w:left="993"/>
      </w:pP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rPr>
          <w:bCs w:val="0"/>
        </w:rPr>
        <w:t>The Licensees further replied that fixed charges are part of tariff and are levied for developing the required infrastructure and to meet the expenses incurred to maintain the supply at all the times and cannot be withdrawn, as they are levied as per provisions of Electricity Act, 2003. The Licensee submitted that in the Tariff Order for FY 2002-03, the Commission has defined the said c</w:t>
      </w:r>
      <w:r w:rsidRPr="00B53423">
        <w:t>harges as below:</w:t>
      </w:r>
    </w:p>
    <w:p w:rsidR="002A1F3B" w:rsidRPr="00B53423" w:rsidRDefault="002A1F3B" w:rsidP="0015232B">
      <w:pPr>
        <w:pStyle w:val="ListParagraph"/>
        <w:spacing w:before="0" w:line="312" w:lineRule="auto"/>
        <w:ind w:left="180"/>
        <w:contextualSpacing/>
      </w:pPr>
    </w:p>
    <w:p w:rsidR="002A1F3B" w:rsidRPr="00B53423" w:rsidRDefault="002A1F3B" w:rsidP="0015232B">
      <w:pPr>
        <w:pStyle w:val="ListParagraph"/>
        <w:spacing w:before="0" w:line="312" w:lineRule="auto"/>
        <w:ind w:left="1440"/>
        <w:contextualSpacing/>
        <w:rPr>
          <w:i/>
          <w:szCs w:val="26"/>
        </w:rPr>
      </w:pPr>
      <w:r w:rsidRPr="00B53423">
        <w:rPr>
          <w:i/>
          <w:szCs w:val="26"/>
        </w:rPr>
        <w:t>“</w:t>
      </w:r>
      <w:proofErr w:type="gramStart"/>
      <w:r w:rsidRPr="00B53423">
        <w:rPr>
          <w:i/>
          <w:szCs w:val="26"/>
        </w:rPr>
        <w:t>the</w:t>
      </w:r>
      <w:proofErr w:type="gramEnd"/>
      <w:r w:rsidRPr="00B53423">
        <w:rPr>
          <w:i/>
          <w:szCs w:val="26"/>
        </w:rPr>
        <w:t xml:space="preserv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then there will be increase in some other charges as the utility has to recover on its prudently incurred cost from consumer.”</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The Licensee added that in view of the above these charges are logical and necessary.</w:t>
      </w:r>
    </w:p>
    <w:p w:rsidR="002A1F3B" w:rsidRPr="00B53423" w:rsidRDefault="002A1F3B" w:rsidP="0015232B">
      <w:pPr>
        <w:spacing w:line="312" w:lineRule="auto"/>
        <w:ind w:left="360"/>
        <w:contextualSpacing/>
        <w:rPr>
          <w:b/>
          <w:i/>
        </w:rPr>
      </w:pPr>
    </w:p>
    <w:p w:rsidR="002A1F3B" w:rsidRPr="00B53423" w:rsidRDefault="002A1F3B" w:rsidP="000174C0">
      <w:pPr>
        <w:numPr>
          <w:ilvl w:val="0"/>
          <w:numId w:val="56"/>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above mentioned Petition submitted by the Licensees in this regard was not a part of the original submissions made during the proceedings of the ARR and Tariff determination process for FY 2014-15 instead it was an entirely separate Petition which was not circulated in the public domain by the Licensee. Since issues like above have significant impact on the stakeholders hence, the Petitions of this kind should be made public for consultation process i.e. inviting suggestions of the stakeholders and by holding public hearings. Therefore the Commission has not considered the Licensee’s proposal in this regard during the proceedings of the current Tariff Order. However, </w:t>
      </w:r>
      <w:r w:rsidRPr="00B53423">
        <w:rPr>
          <w:b/>
        </w:rPr>
        <w:t>the Licensee is directed to re-submit its above proposal for the Commission’s consideration alongwith the next ARR filing</w:t>
      </w:r>
      <w:r w:rsidRPr="00B53423">
        <w:t>.</w:t>
      </w:r>
    </w:p>
    <w:p w:rsidR="002A1F3B" w:rsidRPr="00B53423" w:rsidRDefault="002A1F3B" w:rsidP="0015232B">
      <w:pPr>
        <w:pStyle w:val="ListParagraph"/>
        <w:spacing w:before="0" w:line="312" w:lineRule="auto"/>
        <w:ind w:left="180"/>
        <w:contextualSpacing/>
      </w:pPr>
    </w:p>
    <w:p w:rsidR="005D7AFD" w:rsidRPr="00B53423" w:rsidRDefault="002A1F3B" w:rsidP="000174C0">
      <w:pPr>
        <w:pStyle w:val="Heading2"/>
        <w:keepNext w:val="0"/>
        <w:numPr>
          <w:ilvl w:val="1"/>
          <w:numId w:val="65"/>
        </w:numPr>
        <w:autoSpaceDE w:val="0"/>
        <w:autoSpaceDN w:val="0"/>
        <w:adjustRightInd w:val="0"/>
        <w:spacing w:before="120" w:line="240" w:lineRule="auto"/>
        <w:ind w:left="990" w:hanging="990"/>
        <w:contextualSpacing/>
        <w:rPr>
          <w:caps/>
        </w:rPr>
      </w:pPr>
      <w:bookmarkStart w:id="380" w:name="_Toc396573758"/>
      <w:bookmarkStart w:id="381" w:name="_Toc399626162"/>
      <w:r w:rsidRPr="00B53423">
        <w:rPr>
          <w:caps/>
        </w:rPr>
        <w:t>OTHER GENERAL ISSUES</w:t>
      </w:r>
      <w:bookmarkEnd w:id="380"/>
      <w:bookmarkEnd w:id="381"/>
      <w:r w:rsidRPr="00B53423">
        <w:rPr>
          <w:caps/>
        </w:rPr>
        <w:t xml:space="preserve"> </w:t>
      </w:r>
    </w:p>
    <w:p w:rsidR="002A1F3B" w:rsidRPr="00B53423" w:rsidRDefault="002A1F3B" w:rsidP="0015232B">
      <w:pPr>
        <w:pStyle w:val="Heading2"/>
        <w:keepNext w:val="0"/>
        <w:numPr>
          <w:ilvl w:val="0"/>
          <w:numId w:val="0"/>
        </w:numPr>
        <w:ind w:left="780"/>
        <w:rPr>
          <w:caps/>
        </w:rPr>
      </w:pPr>
    </w:p>
    <w:p w:rsidR="002A1F3B" w:rsidRPr="00B53423" w:rsidRDefault="002A1F3B" w:rsidP="000174C0">
      <w:pPr>
        <w:numPr>
          <w:ilvl w:val="0"/>
          <w:numId w:val="64"/>
        </w:numPr>
        <w:spacing w:before="0" w:line="312" w:lineRule="auto"/>
        <w:contextualSpacing/>
        <w:rPr>
          <w:b/>
          <w:i/>
        </w:rPr>
      </w:pPr>
      <w:r w:rsidRPr="00B53423">
        <w:rPr>
          <w:b/>
          <w:i/>
        </w:rPr>
        <w:t>Comments / Suggestions of the Public</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during the public hearing process have received many individual complaints which are not related to the ARR and Tariff Petitions like Mr. Surendra Singh Yadav submitted that he is a resident of 32A/F 983/7A Panchayati Pajaya Kamla Nagar, Agra and has requested the Commission to direct the Licensees to remove the illegal electricity line passing through the roof of his premises. Ms. Nandini Rawat requested the Commission to direct Licensee to remove the connection box installed near her residential plot no. 59, khasra no.8, deversi nagar, </w:t>
      </w:r>
      <w:r w:rsidRPr="00B53423">
        <w:rPr>
          <w:bCs w:val="0"/>
        </w:rPr>
        <w:t>Budhpuri</w:t>
      </w:r>
      <w:r w:rsidRPr="00B53423">
        <w:t xml:space="preserve">.  Shri Dinesh Chand of Agra submitted that the connection No. 5060627 of Torrent Power Ltd. is illegal. Mr. Ravikant, Mr. Bhujan Singh and Mr. Jaswant Singh submitted that connection no. 248450 in the name of Mrs. Sandhya Pokhal w/o Mr. Prakash Chand Pokhal, resident of Chitrakut Ashram Shamshan Ghat, Balkeshwar, </w:t>
      </w:r>
      <w:proofErr w:type="gramStart"/>
      <w:r w:rsidRPr="00B53423">
        <w:t>Agra</w:t>
      </w:r>
      <w:proofErr w:type="gramEnd"/>
      <w:r w:rsidRPr="00B53423">
        <w:t xml:space="preserve"> should be cancelled</w:t>
      </w:r>
      <w:r w:rsidR="00B776C2" w:rsidRPr="00B53423">
        <w:t>.</w:t>
      </w:r>
      <w:r w:rsidRPr="00B53423">
        <w:t xml:space="preserve"> </w:t>
      </w:r>
      <w:r w:rsidR="00B776C2" w:rsidRPr="00B53423">
        <w:t xml:space="preserve">Mr. Vishnu Bhagwan Agarwal of M/s The Popular Cycle Mfg. Co. (Pvt.) Ltd. also submitted that overload penalty is 10% up to excess usage or 10% and 20% over above 10% to 20% i.e. in two </w:t>
      </w:r>
      <w:proofErr w:type="gramStart"/>
      <w:r w:rsidR="00B776C2" w:rsidRPr="00B53423">
        <w:t>tier</w:t>
      </w:r>
      <w:proofErr w:type="gramEnd"/>
      <w:r w:rsidR="00B776C2" w:rsidRPr="00B53423">
        <w:t>, however, the Licensees are wrongly charging 20% on total overload etc.</w:t>
      </w:r>
    </w:p>
    <w:p w:rsidR="002A1F3B" w:rsidRPr="00B53423" w:rsidRDefault="002A1F3B" w:rsidP="0015232B">
      <w:pPr>
        <w:pStyle w:val="ListParagraph"/>
        <w:spacing w:before="0" w:line="312" w:lineRule="auto"/>
        <w:ind w:left="180"/>
        <w:contextualSpacing/>
        <w:rPr>
          <w:szCs w:val="26"/>
        </w:rPr>
      </w:pPr>
    </w:p>
    <w:p w:rsidR="002A1F3B" w:rsidRPr="00B53423" w:rsidRDefault="002A1F3B" w:rsidP="000174C0">
      <w:pPr>
        <w:numPr>
          <w:ilvl w:val="0"/>
          <w:numId w:val="64"/>
        </w:numPr>
        <w:spacing w:before="0" w:line="312" w:lineRule="auto"/>
        <w:contextualSpacing/>
        <w:rPr>
          <w:b/>
          <w:i/>
        </w:rPr>
      </w:pPr>
      <w:r w:rsidRPr="00B53423">
        <w:rPr>
          <w:b/>
          <w:i/>
        </w:rPr>
        <w:t>The Petitioner’s response:</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In response to such complaints the Licensee have replied that the issue does not pertain to the ARR and Tariff Petition for FY 2014-15 and the consumer may approach the concerned executive engineer of the division in which such consumers fall.</w:t>
      </w:r>
    </w:p>
    <w:p w:rsidR="002A1F3B" w:rsidRPr="00B53423" w:rsidRDefault="002A1F3B" w:rsidP="0015232B">
      <w:pPr>
        <w:pStyle w:val="ListParagraph"/>
        <w:spacing w:before="0" w:line="312" w:lineRule="auto"/>
        <w:ind w:left="180"/>
        <w:contextualSpacing/>
      </w:pPr>
    </w:p>
    <w:p w:rsidR="002A1F3B" w:rsidRPr="00B53423" w:rsidRDefault="002A1F3B" w:rsidP="000174C0">
      <w:pPr>
        <w:numPr>
          <w:ilvl w:val="0"/>
          <w:numId w:val="64"/>
        </w:numPr>
        <w:spacing w:before="0" w:line="312" w:lineRule="auto"/>
        <w:contextualSpacing/>
        <w:rPr>
          <w:b/>
          <w:i/>
        </w:rPr>
      </w:pPr>
      <w:r w:rsidRPr="00B53423">
        <w:rPr>
          <w:b/>
          <w:i/>
        </w:rPr>
        <w:t>The Commission’s view:</w:t>
      </w:r>
    </w:p>
    <w:p w:rsidR="002A1F3B" w:rsidRPr="00B53423" w:rsidRDefault="002A1F3B" w:rsidP="0015232B">
      <w:pPr>
        <w:pStyle w:val="Heading3"/>
        <w:keepNext w:val="0"/>
        <w:numPr>
          <w:ilvl w:val="2"/>
          <w:numId w:val="2"/>
        </w:numPr>
        <w:tabs>
          <w:tab w:val="clear" w:pos="936"/>
          <w:tab w:val="num" w:pos="993"/>
        </w:tabs>
        <w:spacing w:before="120"/>
        <w:ind w:left="993" w:hanging="993"/>
      </w:pPr>
      <w:r w:rsidRPr="00B53423">
        <w:t xml:space="preserve">The Commission has noted the above objections raised by the stakeholders. </w:t>
      </w:r>
      <w:r w:rsidRPr="00B53423">
        <w:rPr>
          <w:b/>
        </w:rPr>
        <w:t xml:space="preserve">The Commission directs the Licensees to look </w:t>
      </w:r>
      <w:r w:rsidRPr="00B53423">
        <w:rPr>
          <w:b/>
          <w:bCs w:val="0"/>
        </w:rPr>
        <w:t>into</w:t>
      </w:r>
      <w:r w:rsidRPr="00B53423">
        <w:rPr>
          <w:b/>
        </w:rPr>
        <w:t xml:space="preserve">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p w:rsidR="002A1F3B" w:rsidRPr="00B53423" w:rsidRDefault="002A1F3B" w:rsidP="0015232B">
      <w:pPr>
        <w:spacing w:before="0" w:after="200"/>
        <w:jc w:val="left"/>
        <w:rPr>
          <w:rFonts w:cs="Arial"/>
          <w:b/>
          <w:bCs/>
          <w:color w:val="333399"/>
          <w:kern w:val="32"/>
          <w:szCs w:val="32"/>
        </w:rPr>
      </w:pPr>
      <w:r w:rsidRPr="00B53423">
        <w:br w:type="page"/>
      </w:r>
    </w:p>
    <w:p w:rsidR="005D7AFD" w:rsidRPr="00B53423" w:rsidRDefault="003A6B3B" w:rsidP="000174C0">
      <w:pPr>
        <w:pStyle w:val="Heading1"/>
        <w:keepNext w:val="0"/>
        <w:numPr>
          <w:ilvl w:val="0"/>
          <w:numId w:val="75"/>
        </w:numPr>
        <w:ind w:left="720" w:hanging="1080"/>
        <w:rPr>
          <w:color w:val="auto"/>
        </w:rPr>
      </w:pPr>
      <w:bookmarkStart w:id="382" w:name="_Toc399626163"/>
      <w:r w:rsidRPr="00B53423">
        <w:rPr>
          <w:color w:val="auto"/>
        </w:rPr>
        <w:t>TRUING UP OF AGGREGATE REVENUE REQUIREMENT FY 2008-09</w:t>
      </w:r>
      <w:bookmarkEnd w:id="382"/>
      <w:r w:rsidRPr="00B53423">
        <w:rPr>
          <w:color w:val="auto"/>
        </w:rPr>
        <w:t xml:space="preserve"> </w:t>
      </w:r>
    </w:p>
    <w:p w:rsidR="004C74C2" w:rsidRPr="00B53423" w:rsidRDefault="004C74C2" w:rsidP="0015232B">
      <w:pPr>
        <w:pStyle w:val="Heading2"/>
        <w:keepNext w:val="0"/>
        <w:ind w:left="720" w:hanging="1080"/>
      </w:pPr>
      <w:bookmarkStart w:id="383" w:name="_Toc399626164"/>
      <w:r w:rsidRPr="00B53423">
        <w:t>INTRODUCTION</w:t>
      </w:r>
      <w:bookmarkEnd w:id="383"/>
    </w:p>
    <w:p w:rsidR="00D0134F" w:rsidRPr="00B53423" w:rsidRDefault="00D0134F" w:rsidP="0015232B">
      <w:pPr>
        <w:pStyle w:val="Heading2"/>
        <w:keepNext w:val="0"/>
        <w:numPr>
          <w:ilvl w:val="0"/>
          <w:numId w:val="0"/>
        </w:numPr>
        <w:ind w:left="720"/>
      </w:pPr>
    </w:p>
    <w:p w:rsidR="004C74C2" w:rsidRPr="00B53423" w:rsidRDefault="004C74C2" w:rsidP="0015232B">
      <w:pPr>
        <w:pStyle w:val="Heading3"/>
        <w:keepNext w:val="0"/>
        <w:ind w:hanging="1080"/>
      </w:pPr>
      <w:r w:rsidRPr="00B53423">
        <w:t>The Petitioner has sought final Truing-up of expenditure and revenue for FY 2008-09 to FY 2011-12 based on actual expenditure and revenue as per Audited Accounts. In this Section, the Commission has analysed all the elements of actual revenue and expenses for FY 2008-09 and has undertaken Truing-up of expenses and revenue after prudence check on the data made available by the Petitioner.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384" w:name="_Toc356912890"/>
      <w:bookmarkStart w:id="385" w:name="_Toc399626165"/>
      <w:r w:rsidRPr="00B53423">
        <w:t>POWER PURCHASE QUANTUM AND COST FOR FY</w:t>
      </w:r>
      <w:bookmarkEnd w:id="384"/>
      <w:r w:rsidRPr="00B53423">
        <w:t xml:space="preserve"> 2008-09</w:t>
      </w:r>
      <w:bookmarkEnd w:id="385"/>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9</w:t>
      </w:r>
      <w:r w:rsidRPr="00B53423">
        <w:rPr>
          <w:vertAlign w:val="superscript"/>
        </w:rPr>
        <w:t>th</w:t>
      </w:r>
      <w:r w:rsidRPr="00B53423">
        <w:t xml:space="preserve"> July, 2008 in Petition No. 487 and 510 of 2007 for FY 2008-09, the Commission had approved power purchase cost of Rs. 678.33 Crore towards projected purchase of 2746.39 MU. The Petitioner submitted that the actual power purchase in FY 2008-09 was 2649.69 MU at an expense of Rs. 650.96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 submitted that it has considered the following philosophy for computing the allowable power purchase cost: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3"/>
        </w:numPr>
      </w:pPr>
      <w:r w:rsidRPr="00B53423">
        <w:t xml:space="preserve">The Petitioner has first calculated the allowable power purchase input which has been calculated by grossing up the actual energy sales by the approved T&amp;D loss target of FY 2008-09.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3"/>
        </w:numPr>
      </w:pPr>
      <w:r w:rsidRPr="00B53423">
        <w:t>The allowable power purchase cost has been computed by multiplying the derived allowable power purchase input by the actual power purchase rate as per Audited Accounts.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Thus, considering the above philosophy the Petitioner has claimed an allowable power purchase expense of Rs. 643.48 Crore in FY 2008-09.</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in its Order dated 21</w:t>
      </w:r>
      <w:r w:rsidRPr="00B53423">
        <w:rPr>
          <w:vertAlign w:val="superscript"/>
        </w:rPr>
        <w:t>st</w:t>
      </w:r>
      <w:r w:rsidRPr="00B53423">
        <w:t xml:space="preserve"> May, 2013 has concurred with the philosophy considered by the Petitioner, wherein the efficiency target of T&amp;D loss level, was considered as controllable parameter, and thereupon the power purchase cost consequent to under-achievement of T&amp;D loss was disallowed. The Commission in its </w:t>
      </w:r>
      <w:r w:rsidR="00F126DD" w:rsidRPr="00B53423">
        <w:t xml:space="preserve">Tariff </w:t>
      </w:r>
      <w:r w:rsidRPr="00B53423">
        <w:t xml:space="preserve">Order </w:t>
      </w:r>
      <w:r w:rsidR="00F126DD" w:rsidRPr="00B53423">
        <w:t xml:space="preserve">for FY 2014-15 for DVVNL </w:t>
      </w:r>
      <w:r w:rsidRPr="00B53423">
        <w:t xml:space="preserve">has determined the Trued-up </w:t>
      </w:r>
      <w:r w:rsidR="00AB48AB" w:rsidRPr="00B53423">
        <w:t>B</w:t>
      </w:r>
      <w:r w:rsidRPr="00B53423">
        <w:t xml:space="preserve">ulk </w:t>
      </w:r>
      <w:r w:rsidR="00AB48AB" w:rsidRPr="00B53423">
        <w:t>S</w:t>
      </w:r>
      <w:r w:rsidRPr="00B53423">
        <w:t xml:space="preserve">upply </w:t>
      </w:r>
      <w:r w:rsidR="00AB48AB" w:rsidRPr="00B53423">
        <w:t>T</w:t>
      </w:r>
      <w:r w:rsidRPr="00B53423">
        <w:t>ariff of Rs. 2.63 per kWh for FY 2008-09.</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Considering the allowable power purchase quantum of 2619.24 MU and the Trued- up power purchase rate of Rs. 2.63 per kWh, the allowable power purchase cost has been assessed at Rs. 688.63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Table below summarises the sales, distribution losses, energy balance, power purchase quantum and cost approved in the Tariff Order, as submitted by the Petitioner in the Truing up Petition and as approved by the Commission in this Order:</w:t>
      </w:r>
    </w:p>
    <w:p w:rsidR="004C74C2" w:rsidRPr="00B53423" w:rsidRDefault="004C74C2" w:rsidP="0015232B">
      <w:pPr>
        <w:pStyle w:val="ListParagraph"/>
        <w:numPr>
          <w:ilvl w:val="2"/>
          <w:numId w:val="0"/>
        </w:numPr>
        <w:ind w:left="180" w:hanging="180"/>
      </w:pPr>
    </w:p>
    <w:p w:rsidR="004C74C2" w:rsidRPr="00B53423" w:rsidRDefault="004C74C2" w:rsidP="0015232B">
      <w:pPr>
        <w:spacing w:before="0"/>
        <w:jc w:val="center"/>
        <w:rPr>
          <w:rFonts w:asciiTheme="minorHAnsi" w:hAnsiTheme="minorHAnsi" w:cstheme="minorHAnsi"/>
          <w:b/>
        </w:rPr>
      </w:pPr>
      <w:bookmarkStart w:id="386" w:name="_Toc356913178"/>
      <w:bookmarkStart w:id="387" w:name="_Toc399626312"/>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w:t>
      </w:r>
      <w:r w:rsidR="005D68E7" w:rsidRPr="00B53423">
        <w:rPr>
          <w:rFonts w:asciiTheme="minorHAnsi" w:hAnsiTheme="minorHAnsi" w:cstheme="minorHAnsi"/>
          <w:b/>
        </w:rPr>
        <w:fldChar w:fldCharType="end"/>
      </w:r>
      <w:r w:rsidRPr="00B53423">
        <w:rPr>
          <w:rFonts w:asciiTheme="minorHAnsi" w:hAnsiTheme="minorHAnsi" w:cstheme="minorHAnsi"/>
          <w:b/>
        </w:rPr>
        <w:t>: ALLOWABLE POWER PURCHASE COST FOR FY 200</w:t>
      </w:r>
      <w:bookmarkEnd w:id="386"/>
      <w:r w:rsidRPr="00B53423">
        <w:rPr>
          <w:rFonts w:asciiTheme="minorHAnsi" w:hAnsiTheme="minorHAnsi" w:cstheme="minorHAnsi"/>
          <w:b/>
        </w:rPr>
        <w:t>8-09</w:t>
      </w:r>
      <w:bookmarkEnd w:id="387"/>
    </w:p>
    <w:tbl>
      <w:tblPr>
        <w:tblW w:w="9000" w:type="dxa"/>
        <w:tblLayout w:type="fixed"/>
        <w:tblLook w:val="04A0"/>
      </w:tblPr>
      <w:tblGrid>
        <w:gridCol w:w="2646"/>
        <w:gridCol w:w="1414"/>
        <w:gridCol w:w="1053"/>
        <w:gridCol w:w="1385"/>
        <w:gridCol w:w="1332"/>
        <w:gridCol w:w="1170"/>
      </w:tblGrid>
      <w:tr w:rsidR="004C74C2" w:rsidRPr="00B53423" w:rsidTr="005B31C0">
        <w:trPr>
          <w:trHeight w:val="900"/>
        </w:trPr>
        <w:tc>
          <w:tcPr>
            <w:tcW w:w="2646" w:type="dxa"/>
            <w:vMerge w:val="restart"/>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sz w:val="22"/>
                <w:szCs w:val="22"/>
                <w:lang w:val="en-US"/>
              </w:rPr>
              <w:t>Particulars</w:t>
            </w:r>
          </w:p>
        </w:tc>
        <w:tc>
          <w:tcPr>
            <w:tcW w:w="1414" w:type="dxa"/>
            <w:vMerge w:val="restart"/>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sz w:val="22"/>
                <w:szCs w:val="22"/>
                <w:lang w:val="en-US"/>
              </w:rPr>
              <w:t>Unit</w:t>
            </w:r>
          </w:p>
        </w:tc>
        <w:tc>
          <w:tcPr>
            <w:tcW w:w="1053" w:type="dxa"/>
            <w:vMerge w:val="restart"/>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sz w:val="22"/>
                <w:szCs w:val="22"/>
                <w:lang w:val="en-US"/>
              </w:rPr>
              <w:t>Tariff Order</w:t>
            </w:r>
          </w:p>
        </w:tc>
        <w:tc>
          <w:tcPr>
            <w:tcW w:w="1385" w:type="dxa"/>
            <w:vMerge w:val="restart"/>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lang w:val="en-US"/>
              </w:rPr>
            </w:pPr>
            <w:r w:rsidRPr="00B53423">
              <w:rPr>
                <w:rFonts w:cs="Calibri"/>
                <w:b/>
                <w:bCs/>
                <w:sz w:val="22"/>
                <w:szCs w:val="22"/>
                <w:lang w:val="en-US"/>
              </w:rPr>
              <w:t>Actuals as per Audited Accounts</w:t>
            </w:r>
          </w:p>
        </w:tc>
        <w:tc>
          <w:tcPr>
            <w:tcW w:w="1332" w:type="dxa"/>
            <w:vMerge w:val="restart"/>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sz w:val="22"/>
                <w:szCs w:val="22"/>
                <w:lang w:val="en-US"/>
              </w:rPr>
              <w:t>True-up Petition</w:t>
            </w:r>
          </w:p>
        </w:tc>
        <w:tc>
          <w:tcPr>
            <w:tcW w:w="1170" w:type="dxa"/>
            <w:vMerge w:val="restart"/>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sz w:val="22"/>
                <w:szCs w:val="22"/>
                <w:lang w:val="en-US"/>
              </w:rPr>
              <w:t>Allowable</w:t>
            </w:r>
          </w:p>
        </w:tc>
      </w:tr>
      <w:tr w:rsidR="004C74C2" w:rsidRPr="00B53423" w:rsidTr="005B31C0">
        <w:trPr>
          <w:trHeight w:val="244"/>
        </w:trPr>
        <w:tc>
          <w:tcPr>
            <w:tcW w:w="2646"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414"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053"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385"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sz w:val="20"/>
                <w:szCs w:val="20"/>
                <w:lang w:val="en-US"/>
              </w:rPr>
            </w:pPr>
          </w:p>
        </w:tc>
        <w:tc>
          <w:tcPr>
            <w:tcW w:w="1332"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170"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r>
      <w:tr w:rsidR="004C74C2" w:rsidRPr="00B53423" w:rsidTr="005B31C0">
        <w:trPr>
          <w:trHeight w:val="300"/>
        </w:trPr>
        <w:tc>
          <w:tcPr>
            <w:tcW w:w="2646"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sz w:val="22"/>
                <w:szCs w:val="22"/>
                <w:lang w:val="en-US"/>
              </w:rPr>
              <w:t>Power Purchase</w:t>
            </w:r>
          </w:p>
        </w:tc>
        <w:tc>
          <w:tcPr>
            <w:tcW w:w="1414"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sz w:val="22"/>
                <w:szCs w:val="22"/>
                <w:lang w:val="en-US"/>
              </w:rPr>
              <w:t>MU</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2746.39</w:t>
            </w:r>
          </w:p>
        </w:tc>
        <w:tc>
          <w:tcPr>
            <w:tcW w:w="138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2649.69</w:t>
            </w:r>
          </w:p>
        </w:tc>
        <w:tc>
          <w:tcPr>
            <w:tcW w:w="133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2649.69</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2649.69</w:t>
            </w:r>
          </w:p>
        </w:tc>
      </w:tr>
      <w:tr w:rsidR="004C74C2" w:rsidRPr="00B53423" w:rsidTr="005B31C0">
        <w:trPr>
          <w:trHeight w:val="300"/>
        </w:trPr>
        <w:tc>
          <w:tcPr>
            <w:tcW w:w="2646"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sz w:val="22"/>
                <w:szCs w:val="22"/>
                <w:lang w:val="en-US"/>
              </w:rPr>
              <w:t>Energy Sales</w:t>
            </w:r>
          </w:p>
        </w:tc>
        <w:tc>
          <w:tcPr>
            <w:tcW w:w="1414"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sz w:val="22"/>
                <w:szCs w:val="22"/>
                <w:lang w:val="en-US"/>
              </w:rPr>
              <w:t>MU</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2059.79</w:t>
            </w:r>
          </w:p>
        </w:tc>
        <w:tc>
          <w:tcPr>
            <w:tcW w:w="138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1964.42</w:t>
            </w:r>
          </w:p>
        </w:tc>
        <w:tc>
          <w:tcPr>
            <w:tcW w:w="133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1964.42</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1964.42</w:t>
            </w:r>
          </w:p>
        </w:tc>
      </w:tr>
      <w:tr w:rsidR="004C74C2" w:rsidRPr="00B53423" w:rsidTr="005B31C0">
        <w:trPr>
          <w:trHeight w:val="300"/>
        </w:trPr>
        <w:tc>
          <w:tcPr>
            <w:tcW w:w="2646"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3E399E" w:rsidP="0015232B">
            <w:pPr>
              <w:spacing w:before="0" w:line="240" w:lineRule="auto"/>
              <w:jc w:val="left"/>
              <w:rPr>
                <w:rFonts w:cs="Calibri"/>
                <w:color w:val="000000"/>
                <w:lang w:val="en-US"/>
              </w:rPr>
            </w:pPr>
            <w:r w:rsidRPr="00B53423">
              <w:rPr>
                <w:rFonts w:cs="Calibri"/>
                <w:color w:val="000000"/>
                <w:sz w:val="22"/>
                <w:szCs w:val="22"/>
                <w:lang w:val="en-US"/>
              </w:rPr>
              <w:t>Distribution</w:t>
            </w:r>
            <w:r w:rsidR="004C74C2" w:rsidRPr="00B53423">
              <w:rPr>
                <w:rFonts w:cs="Calibri"/>
                <w:color w:val="000000"/>
                <w:sz w:val="22"/>
                <w:szCs w:val="22"/>
                <w:lang w:val="en-US"/>
              </w:rPr>
              <w:t xml:space="preserve"> Loss</w:t>
            </w:r>
          </w:p>
        </w:tc>
        <w:tc>
          <w:tcPr>
            <w:tcW w:w="1414"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sz w:val="22"/>
                <w:szCs w:val="22"/>
                <w:lang w:val="en-US"/>
              </w:rPr>
              <w:t>%</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sz w:val="22"/>
                <w:szCs w:val="22"/>
              </w:rPr>
              <w:t>25.00%</w:t>
            </w:r>
          </w:p>
        </w:tc>
        <w:tc>
          <w:tcPr>
            <w:tcW w:w="138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sz w:val="22"/>
                <w:szCs w:val="22"/>
              </w:rPr>
              <w:t>25.86%</w:t>
            </w:r>
          </w:p>
        </w:tc>
        <w:tc>
          <w:tcPr>
            <w:tcW w:w="133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sz w:val="22"/>
                <w:szCs w:val="22"/>
              </w:rPr>
              <w:t>25.</w:t>
            </w:r>
            <w:r w:rsidR="005B31C0" w:rsidRPr="00B53423">
              <w:rPr>
                <w:rFonts w:asciiTheme="minorHAnsi" w:hAnsiTheme="minorHAnsi" w:cstheme="minorHAnsi"/>
                <w:sz w:val="22"/>
                <w:szCs w:val="22"/>
              </w:rPr>
              <w:t>00</w:t>
            </w:r>
            <w:r w:rsidRPr="00B53423">
              <w:rPr>
                <w:rFonts w:asciiTheme="minorHAnsi" w:hAnsiTheme="minorHAnsi" w:cstheme="minorHAnsi"/>
                <w:sz w:val="22"/>
                <w:szCs w:val="22"/>
              </w:rPr>
              <w:t>%</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sz w:val="22"/>
                <w:szCs w:val="22"/>
              </w:rPr>
              <w:t>25.00%</w:t>
            </w:r>
          </w:p>
        </w:tc>
      </w:tr>
      <w:tr w:rsidR="004C74C2" w:rsidRPr="00B53423" w:rsidTr="005B31C0">
        <w:trPr>
          <w:trHeight w:val="300"/>
        </w:trPr>
        <w:tc>
          <w:tcPr>
            <w:tcW w:w="2646"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sz w:val="22"/>
                <w:szCs w:val="22"/>
                <w:lang w:val="en-US"/>
              </w:rPr>
              <w:t>Power Purchase Cost</w:t>
            </w:r>
          </w:p>
        </w:tc>
        <w:tc>
          <w:tcPr>
            <w:tcW w:w="1414"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sz w:val="22"/>
                <w:szCs w:val="22"/>
                <w:lang w:val="en-US"/>
              </w:rPr>
              <w:t>Rs. Crore</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678.30</w:t>
            </w:r>
          </w:p>
        </w:tc>
        <w:tc>
          <w:tcPr>
            <w:tcW w:w="138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650.96</w:t>
            </w:r>
          </w:p>
        </w:tc>
        <w:tc>
          <w:tcPr>
            <w:tcW w:w="133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650.96</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 </w:t>
            </w:r>
          </w:p>
        </w:tc>
      </w:tr>
      <w:tr w:rsidR="004C74C2" w:rsidRPr="00B53423" w:rsidTr="005B31C0">
        <w:trPr>
          <w:trHeight w:val="300"/>
        </w:trPr>
        <w:tc>
          <w:tcPr>
            <w:tcW w:w="2646"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sz w:val="22"/>
                <w:szCs w:val="22"/>
                <w:lang w:val="en-US"/>
              </w:rPr>
              <w:t>Power Purchase Cost per unit</w:t>
            </w:r>
          </w:p>
        </w:tc>
        <w:tc>
          <w:tcPr>
            <w:tcW w:w="1414"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sz w:val="22"/>
                <w:szCs w:val="22"/>
                <w:lang w:val="en-US"/>
              </w:rPr>
              <w:t>Rs. /kWh</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2.47</w:t>
            </w:r>
          </w:p>
        </w:tc>
        <w:tc>
          <w:tcPr>
            <w:tcW w:w="138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2.46</w:t>
            </w:r>
          </w:p>
        </w:tc>
        <w:tc>
          <w:tcPr>
            <w:tcW w:w="133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2.46</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2.6291</w:t>
            </w:r>
          </w:p>
        </w:tc>
      </w:tr>
      <w:tr w:rsidR="004C74C2" w:rsidRPr="00B53423" w:rsidTr="005B31C0">
        <w:trPr>
          <w:trHeight w:val="300"/>
        </w:trPr>
        <w:tc>
          <w:tcPr>
            <w:tcW w:w="2646"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sz w:val="22"/>
                <w:szCs w:val="22"/>
                <w:lang w:val="en-US"/>
              </w:rPr>
              <w:t>Allowable Power Purchase Input</w:t>
            </w:r>
          </w:p>
        </w:tc>
        <w:tc>
          <w:tcPr>
            <w:tcW w:w="1414"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sz w:val="22"/>
                <w:szCs w:val="22"/>
                <w:lang w:val="en-US"/>
              </w:rPr>
              <w:t>MU</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 </w:t>
            </w:r>
          </w:p>
        </w:tc>
        <w:tc>
          <w:tcPr>
            <w:tcW w:w="138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 </w:t>
            </w:r>
          </w:p>
        </w:tc>
        <w:tc>
          <w:tcPr>
            <w:tcW w:w="133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2619.24</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2619.24</w:t>
            </w:r>
          </w:p>
        </w:tc>
      </w:tr>
      <w:tr w:rsidR="004C74C2" w:rsidRPr="00B53423" w:rsidTr="005B31C0">
        <w:trPr>
          <w:trHeight w:val="377"/>
        </w:trPr>
        <w:tc>
          <w:tcPr>
            <w:tcW w:w="2646"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sz w:val="22"/>
                <w:szCs w:val="22"/>
                <w:lang w:val="en-US"/>
              </w:rPr>
              <w:t>Allowable Power Purchase Cost at BST</w:t>
            </w:r>
          </w:p>
        </w:tc>
        <w:tc>
          <w:tcPr>
            <w:tcW w:w="1414" w:type="dxa"/>
            <w:tcBorders>
              <w:top w:val="nil"/>
              <w:left w:val="nil"/>
              <w:bottom w:val="dotted" w:sz="4" w:space="0" w:color="auto"/>
              <w:right w:val="dotted" w:sz="4" w:space="0" w:color="auto"/>
            </w:tcBorders>
            <w:shd w:val="clear" w:color="000000" w:fill="FFFFFF"/>
            <w:noWrap/>
            <w:vAlign w:val="bottom"/>
            <w:hideMark/>
          </w:tcPr>
          <w:p w:rsidR="004C74C2" w:rsidRPr="00B53423" w:rsidRDefault="005B31C0" w:rsidP="0015232B">
            <w:pPr>
              <w:spacing w:before="0" w:line="240" w:lineRule="auto"/>
              <w:jc w:val="center"/>
              <w:rPr>
                <w:rFonts w:cs="Calibri"/>
                <w:color w:val="000000"/>
                <w:lang w:val="en-US"/>
              </w:rPr>
            </w:pPr>
            <w:r w:rsidRPr="00B53423">
              <w:rPr>
                <w:rFonts w:cs="Calibri"/>
                <w:color w:val="000000"/>
                <w:sz w:val="22"/>
                <w:szCs w:val="22"/>
                <w:lang w:val="en-US"/>
              </w:rPr>
              <w:t>Rs. Crore</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 </w:t>
            </w:r>
          </w:p>
        </w:tc>
        <w:tc>
          <w:tcPr>
            <w:tcW w:w="138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 </w:t>
            </w:r>
          </w:p>
        </w:tc>
        <w:tc>
          <w:tcPr>
            <w:tcW w:w="133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643.48</w:t>
            </w:r>
            <w:r w:rsidR="00F56923" w:rsidRPr="00B53423">
              <w:rPr>
                <w:rFonts w:asciiTheme="minorHAnsi" w:hAnsiTheme="minorHAnsi" w:cstheme="minorHAnsi"/>
                <w:color w:val="000000"/>
                <w:sz w:val="22"/>
                <w:szCs w:val="22"/>
              </w:rPr>
              <w:t>*</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sz w:val="22"/>
                <w:szCs w:val="22"/>
              </w:rPr>
              <w:t>688.63</w:t>
            </w:r>
          </w:p>
        </w:tc>
      </w:tr>
    </w:tbl>
    <w:p w:rsidR="00564993" w:rsidRPr="00B77B9B" w:rsidRDefault="003A6B3B" w:rsidP="0015232B">
      <w:pPr>
        <w:spacing w:before="0" w:line="240" w:lineRule="auto"/>
        <w:jc w:val="left"/>
        <w:rPr>
          <w:i/>
        </w:rPr>
      </w:pPr>
      <w:r w:rsidRPr="00B77B9B">
        <w:rPr>
          <w:rFonts w:cs="Calibri"/>
          <w:i/>
          <w:color w:val="000000"/>
          <w:sz w:val="22"/>
          <w:szCs w:val="22"/>
          <w:lang w:val="en-US"/>
        </w:rPr>
        <w:t>*Allowable Power Purchase cost at pooled cost as submitted by the Petitioner</w:t>
      </w:r>
      <w:bookmarkStart w:id="388" w:name="_Toc356912998"/>
    </w:p>
    <w:p w:rsidR="00B77B9B" w:rsidRDefault="00B77B9B" w:rsidP="0015232B">
      <w:pPr>
        <w:pStyle w:val="Heading2"/>
        <w:keepNext w:val="0"/>
        <w:numPr>
          <w:ilvl w:val="0"/>
          <w:numId w:val="0"/>
        </w:numPr>
        <w:ind w:left="720"/>
      </w:pPr>
    </w:p>
    <w:p w:rsidR="004C74C2" w:rsidRPr="00B53423" w:rsidRDefault="004C74C2" w:rsidP="0015232B">
      <w:pPr>
        <w:pStyle w:val="Heading2"/>
        <w:keepNext w:val="0"/>
        <w:ind w:left="720" w:hanging="1080"/>
      </w:pPr>
      <w:bookmarkStart w:id="389" w:name="_Toc399626166"/>
      <w:r w:rsidRPr="00B53423">
        <w:t>TRANSMISSION CHARGES</w:t>
      </w:r>
      <w:bookmarkEnd w:id="388"/>
      <w:bookmarkEnd w:id="389"/>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9</w:t>
      </w:r>
      <w:r w:rsidRPr="00B53423">
        <w:rPr>
          <w:vertAlign w:val="superscript"/>
        </w:rPr>
        <w:t>th</w:t>
      </w:r>
      <w:r w:rsidRPr="00B53423">
        <w:t xml:space="preserve"> July, 2008 in Petition No. 487 and 510 of 2007 in the matter of ARR and Tariff Determination of FY 2007-08 and FY 2008-09 for FY 2008-09, the Commission had approved Transmission Charges of Rs. 59.23 Crore towards projected power purchase of 2,746.39 MU. The Petitioner submitted that the actual Power Purchase in FY 2008-09 was 2,649.69 MU incurring </w:t>
      </w:r>
      <w:r w:rsidR="00AB48AB" w:rsidRPr="00B53423">
        <w:t>T</w:t>
      </w:r>
      <w:r w:rsidRPr="00B53423">
        <w:t xml:space="preserve">ransmission </w:t>
      </w:r>
      <w:r w:rsidR="00AB48AB" w:rsidRPr="00B53423">
        <w:t>C</w:t>
      </w:r>
      <w:r w:rsidRPr="00B53423">
        <w:t>harges to the tune of Rs. 58.29 Crore as per the Audited Accounts. The Petitioner further submitted that the allowable power purchase input for FY 2008-09 works out to 2,619.24 MU and therefore for the purpose of claiming the trued of Transmission Charges the allowable power purchase input has been taken into consideration. The Petitioner further submitted that the per unit rate of Transmission Charge has been considered equivalent to the rate submitted by UPPTCL in its True-up Petition filed before the Commission on 19</w:t>
      </w:r>
      <w:r w:rsidRPr="00B53423">
        <w:rPr>
          <w:vertAlign w:val="superscript"/>
        </w:rPr>
        <w:t>th</w:t>
      </w:r>
      <w:r w:rsidRPr="00B53423">
        <w:t xml:space="preserve"> November, 2012 which was subsequently admitted by the Commission in its Admittance Order dated 6</w:t>
      </w:r>
      <w:r w:rsidRPr="00B53423">
        <w:rPr>
          <w:vertAlign w:val="superscript"/>
        </w:rPr>
        <w:t>th</w:t>
      </w:r>
      <w:r w:rsidRPr="00B53423">
        <w:t xml:space="preserve"> May, 2013. The Petitioner further submitted that the allowable Transmission Charges for FY 2008-09 works out to Rs. 37.67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Accordingly, the Petitioner has claimed allowable Transmission Charges of Rs. 37.67 Crore against the actual Transmission Charges of Rs. 58.29 Crore.</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The Commission in its Tariff Order dated 9</w:t>
      </w:r>
      <w:r w:rsidRPr="00B53423">
        <w:rPr>
          <w:vertAlign w:val="superscript"/>
        </w:rPr>
        <w:t>th</w:t>
      </w:r>
      <w:r w:rsidRPr="00B53423">
        <w:t xml:space="preserve"> July, 2008 in Petition No. 487 and 510 of 2007 had prescribed the distribution loss targets for the Petitioner. The Commission has computed the allowable power purchase by grossing up the actual energy sales by the approved distribution loss target. It is observed that the Petitioner has considered Transmission Charges at the rate equivalent to the rate submitted by UPPTCL in its True-up Petition, however, the True-up Order in the matter of Petition No.  849 / 2012 and 883 / 2013 </w:t>
      </w:r>
      <w:proofErr w:type="gramStart"/>
      <w:r w:rsidRPr="00B53423">
        <w:t>was</w:t>
      </w:r>
      <w:proofErr w:type="gramEnd"/>
      <w:r w:rsidRPr="00B53423">
        <w:t xml:space="preserve"> issued by the Commission on 31</w:t>
      </w:r>
      <w:r w:rsidRPr="00B53423">
        <w:rPr>
          <w:vertAlign w:val="superscript"/>
        </w:rPr>
        <w:t>st</w:t>
      </w:r>
      <w:r w:rsidRPr="00B53423">
        <w:t xml:space="preserve"> May, 2013. Thus, to derive the allowable Transmission Charges, the allowable power purchase input has been multiplied by the Trued-up transmission tariff for Truing-up of FY 2008-09.</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Accordingly, the Table below provides the allowable Transmission Charges for the Petitioner for FY 2008-09:</w:t>
      </w:r>
    </w:p>
    <w:p w:rsidR="004C74C2" w:rsidRPr="00B53423" w:rsidRDefault="004C74C2" w:rsidP="0015232B">
      <w:pPr>
        <w:pStyle w:val="ListParagraph"/>
        <w:ind w:left="180"/>
      </w:pPr>
    </w:p>
    <w:p w:rsidR="004C74C2" w:rsidRPr="00B53423" w:rsidRDefault="004C74C2" w:rsidP="0015232B">
      <w:pPr>
        <w:pStyle w:val="ListParagraph"/>
        <w:spacing w:before="240"/>
        <w:ind w:left="432"/>
        <w:rPr>
          <w:rFonts w:asciiTheme="minorHAnsi" w:hAnsiTheme="minorHAnsi" w:cstheme="minorHAnsi"/>
          <w:b/>
        </w:rPr>
      </w:pPr>
      <w:bookmarkStart w:id="390" w:name="_Toc356913179"/>
      <w:bookmarkStart w:id="391" w:name="_Toc399626313"/>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w:t>
      </w:r>
      <w:r w:rsidR="005D68E7" w:rsidRPr="00B53423">
        <w:rPr>
          <w:rFonts w:asciiTheme="minorHAnsi" w:hAnsiTheme="minorHAnsi" w:cstheme="minorHAnsi"/>
          <w:b/>
        </w:rPr>
        <w:fldChar w:fldCharType="end"/>
      </w:r>
      <w:r w:rsidRPr="00B53423">
        <w:rPr>
          <w:rFonts w:asciiTheme="minorHAnsi" w:hAnsiTheme="minorHAnsi" w:cstheme="minorHAnsi"/>
          <w:b/>
        </w:rPr>
        <w:t>: ALLOWABLE TRANSMISSION CHARGES FOR FY 2008-09 (Rs. Crore)</w:t>
      </w:r>
      <w:bookmarkEnd w:id="390"/>
      <w:bookmarkEnd w:id="391"/>
    </w:p>
    <w:tbl>
      <w:tblPr>
        <w:tblW w:w="8266" w:type="dxa"/>
        <w:jc w:val="center"/>
        <w:tblInd w:w="90" w:type="dxa"/>
        <w:tblLook w:val="04A0"/>
      </w:tblPr>
      <w:tblGrid>
        <w:gridCol w:w="3980"/>
        <w:gridCol w:w="1053"/>
        <w:gridCol w:w="1052"/>
        <w:gridCol w:w="1140"/>
        <w:gridCol w:w="1132"/>
      </w:tblGrid>
      <w:tr w:rsidR="004C74C2" w:rsidRPr="00B53423" w:rsidTr="00F2494F">
        <w:trPr>
          <w:trHeight w:val="300"/>
          <w:tblHeader/>
          <w:jc w:val="center"/>
        </w:trPr>
        <w:tc>
          <w:tcPr>
            <w:tcW w:w="398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asciiTheme="minorHAnsi" w:hAnsiTheme="minorHAnsi" w:cstheme="minorHAnsi"/>
                <w:b/>
                <w:bCs/>
                <w:color w:val="000000"/>
                <w:lang w:val="en-IN" w:eastAsia="en-IN"/>
              </w:rPr>
            </w:pPr>
            <w:r w:rsidRPr="00B53423">
              <w:rPr>
                <w:rFonts w:asciiTheme="minorHAnsi" w:hAnsiTheme="minorHAnsi" w:cstheme="minorHAnsi"/>
                <w:b/>
                <w:bCs/>
                <w:color w:val="000000"/>
                <w:sz w:val="22"/>
                <w:szCs w:val="22"/>
                <w:lang w:val="en-IN" w:eastAsia="en-IN"/>
              </w:rPr>
              <w:t>Particulars</w:t>
            </w:r>
          </w:p>
        </w:tc>
        <w:tc>
          <w:tcPr>
            <w:tcW w:w="1053"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Tariff Order</w:t>
            </w:r>
          </w:p>
        </w:tc>
        <w:tc>
          <w:tcPr>
            <w:tcW w:w="10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asciiTheme="minorHAnsi" w:hAnsiTheme="minorHAnsi" w:cstheme="minorHAnsi"/>
                <w:b/>
                <w:bCs/>
                <w:lang w:val="en-US"/>
              </w:rPr>
            </w:pPr>
            <w:r w:rsidRPr="00B53423">
              <w:rPr>
                <w:rFonts w:asciiTheme="minorHAnsi" w:hAnsiTheme="minorHAnsi" w:cstheme="minorHAnsi"/>
                <w:b/>
                <w:bCs/>
                <w:sz w:val="22"/>
                <w:szCs w:val="22"/>
                <w:lang w:val="en-US"/>
              </w:rPr>
              <w:t>Actuals as per Audited Accounts</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True-up Petition</w:t>
            </w:r>
          </w:p>
        </w:tc>
        <w:tc>
          <w:tcPr>
            <w:tcW w:w="1053"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Allowable</w:t>
            </w:r>
          </w:p>
        </w:tc>
      </w:tr>
      <w:tr w:rsidR="004C74C2" w:rsidRPr="00B53423" w:rsidTr="009268E4">
        <w:trPr>
          <w:trHeight w:val="300"/>
          <w:jc w:val="center"/>
        </w:trPr>
        <w:tc>
          <w:tcPr>
            <w:tcW w:w="398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sz w:val="22"/>
                <w:szCs w:val="22"/>
              </w:rPr>
              <w:t>Allowable Units Wheeled (MU)</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color w:val="000000"/>
                <w:lang w:val="en-IN" w:eastAsia="en-IN"/>
              </w:rPr>
            </w:pPr>
            <w:r w:rsidRPr="00B53423">
              <w:rPr>
                <w:rFonts w:asciiTheme="minorHAnsi" w:hAnsiTheme="minorHAnsi" w:cstheme="minorHAnsi"/>
                <w:color w:val="000000"/>
                <w:sz w:val="22"/>
                <w:szCs w:val="22"/>
                <w:lang w:val="en-IN" w:eastAsia="en-IN"/>
              </w:rPr>
              <w:t>2746.39</w:t>
            </w:r>
          </w:p>
        </w:tc>
        <w:tc>
          <w:tcPr>
            <w:tcW w:w="10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color w:val="000000"/>
                <w:lang w:val="en-IN" w:eastAsia="en-IN"/>
              </w:rPr>
            </w:pPr>
          </w:p>
        </w:tc>
        <w:tc>
          <w:tcPr>
            <w:tcW w:w="11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jc w:val="right"/>
              <w:rPr>
                <w:rFonts w:asciiTheme="minorHAnsi" w:hAnsiTheme="minorHAnsi" w:cstheme="minorHAnsi"/>
              </w:rPr>
            </w:pPr>
            <w:r w:rsidRPr="00B53423">
              <w:rPr>
                <w:rFonts w:asciiTheme="minorHAnsi" w:hAnsiTheme="minorHAnsi" w:cstheme="minorHAnsi"/>
                <w:sz w:val="22"/>
                <w:szCs w:val="22"/>
              </w:rPr>
              <w:t>643.48</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jc w:val="right"/>
              <w:rPr>
                <w:rFonts w:asciiTheme="minorHAnsi" w:hAnsiTheme="minorHAnsi" w:cstheme="minorHAnsi"/>
              </w:rPr>
            </w:pPr>
            <w:r w:rsidRPr="00B53423">
              <w:rPr>
                <w:rFonts w:asciiTheme="minorHAnsi" w:hAnsiTheme="minorHAnsi" w:cstheme="minorHAnsi"/>
                <w:sz w:val="22"/>
                <w:szCs w:val="22"/>
              </w:rPr>
              <w:t>688.63</w:t>
            </w:r>
          </w:p>
        </w:tc>
      </w:tr>
      <w:tr w:rsidR="004C74C2" w:rsidRPr="00B53423" w:rsidTr="009268E4">
        <w:trPr>
          <w:trHeight w:val="300"/>
          <w:jc w:val="center"/>
        </w:trPr>
        <w:tc>
          <w:tcPr>
            <w:tcW w:w="398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sz w:val="22"/>
                <w:szCs w:val="22"/>
              </w:rPr>
              <w:t>Trued up Transmission Charge (Rs/kWh)</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color w:val="000000"/>
                <w:lang w:val="en-IN" w:eastAsia="en-IN"/>
              </w:rPr>
            </w:pPr>
            <w:r w:rsidRPr="00B53423">
              <w:rPr>
                <w:rFonts w:asciiTheme="minorHAnsi" w:hAnsiTheme="minorHAnsi" w:cstheme="minorHAnsi"/>
                <w:color w:val="000000"/>
                <w:sz w:val="22"/>
                <w:szCs w:val="22"/>
                <w:lang w:val="en-IN" w:eastAsia="en-IN"/>
              </w:rPr>
              <w:t>0.22</w:t>
            </w:r>
          </w:p>
        </w:tc>
        <w:tc>
          <w:tcPr>
            <w:tcW w:w="10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color w:val="000000"/>
                <w:lang w:val="en-IN" w:eastAsia="en-IN"/>
              </w:rPr>
            </w:pPr>
          </w:p>
        </w:tc>
        <w:tc>
          <w:tcPr>
            <w:tcW w:w="11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jc w:val="right"/>
              <w:rPr>
                <w:rFonts w:asciiTheme="minorHAnsi" w:hAnsiTheme="minorHAnsi" w:cstheme="minorHAnsi"/>
              </w:rPr>
            </w:pPr>
            <w:r w:rsidRPr="00B53423">
              <w:rPr>
                <w:rFonts w:asciiTheme="minorHAnsi" w:hAnsiTheme="minorHAnsi" w:cstheme="minorHAnsi"/>
                <w:sz w:val="22"/>
                <w:szCs w:val="22"/>
              </w:rPr>
              <w:t>0.14</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jc w:val="right"/>
              <w:rPr>
                <w:rFonts w:asciiTheme="minorHAnsi" w:hAnsiTheme="minorHAnsi" w:cstheme="minorHAnsi"/>
              </w:rPr>
            </w:pPr>
            <w:r w:rsidRPr="00B53423">
              <w:rPr>
                <w:rFonts w:asciiTheme="minorHAnsi" w:hAnsiTheme="minorHAnsi" w:cstheme="minorHAnsi"/>
                <w:sz w:val="22"/>
                <w:szCs w:val="22"/>
              </w:rPr>
              <w:t>0.15</w:t>
            </w:r>
          </w:p>
        </w:tc>
      </w:tr>
      <w:tr w:rsidR="004C74C2" w:rsidRPr="00B53423" w:rsidTr="009268E4">
        <w:trPr>
          <w:trHeight w:val="300"/>
          <w:jc w:val="center"/>
        </w:trPr>
        <w:tc>
          <w:tcPr>
            <w:tcW w:w="398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b/>
                <w:bCs/>
                <w:color w:val="000000"/>
                <w:sz w:val="22"/>
                <w:szCs w:val="22"/>
              </w:rPr>
              <w:t>Transmission Charges (Rs Crore)</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color w:val="000000"/>
                <w:lang w:val="en-IN" w:eastAsia="en-IN"/>
              </w:rPr>
            </w:pPr>
            <w:r w:rsidRPr="00B53423">
              <w:rPr>
                <w:rFonts w:asciiTheme="minorHAnsi" w:hAnsiTheme="minorHAnsi" w:cstheme="minorHAnsi"/>
                <w:color w:val="000000"/>
                <w:sz w:val="22"/>
                <w:szCs w:val="22"/>
                <w:lang w:val="en-IN" w:eastAsia="en-IN"/>
              </w:rPr>
              <w:t>59.23</w:t>
            </w:r>
          </w:p>
        </w:tc>
        <w:tc>
          <w:tcPr>
            <w:tcW w:w="10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color w:val="000000"/>
                <w:lang w:val="en-IN" w:eastAsia="en-IN"/>
              </w:rPr>
            </w:pPr>
            <w:r w:rsidRPr="00B53423">
              <w:rPr>
                <w:rFonts w:asciiTheme="minorHAnsi" w:hAnsiTheme="minorHAnsi" w:cstheme="minorHAnsi"/>
                <w:color w:val="000000"/>
                <w:sz w:val="22"/>
                <w:szCs w:val="22"/>
                <w:lang w:val="en-IN" w:eastAsia="en-IN"/>
              </w:rPr>
              <w:t>58.29</w:t>
            </w:r>
          </w:p>
        </w:tc>
        <w:tc>
          <w:tcPr>
            <w:tcW w:w="11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jc w:val="right"/>
              <w:rPr>
                <w:rFonts w:asciiTheme="minorHAnsi" w:hAnsiTheme="minorHAnsi" w:cstheme="minorHAnsi"/>
              </w:rPr>
            </w:pPr>
            <w:r w:rsidRPr="00B53423">
              <w:rPr>
                <w:rFonts w:asciiTheme="minorHAnsi" w:hAnsiTheme="minorHAnsi" w:cstheme="minorHAnsi"/>
                <w:sz w:val="22"/>
                <w:szCs w:val="22"/>
              </w:rPr>
              <w:t>37.67</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jc w:val="right"/>
              <w:rPr>
                <w:rFonts w:asciiTheme="minorHAnsi" w:hAnsiTheme="minorHAnsi" w:cstheme="minorHAnsi"/>
              </w:rPr>
            </w:pPr>
            <w:r w:rsidRPr="00B53423">
              <w:rPr>
                <w:rFonts w:asciiTheme="minorHAnsi" w:hAnsiTheme="minorHAnsi" w:cstheme="minorHAnsi"/>
                <w:sz w:val="22"/>
                <w:szCs w:val="22"/>
              </w:rPr>
              <w:t>39.58</w:t>
            </w:r>
          </w:p>
        </w:tc>
      </w:tr>
    </w:tbl>
    <w:p w:rsidR="00F2494F" w:rsidRPr="00B53423" w:rsidRDefault="00F2494F" w:rsidP="0015232B">
      <w:pPr>
        <w:pStyle w:val="Heading2"/>
        <w:keepNext w:val="0"/>
        <w:numPr>
          <w:ilvl w:val="0"/>
          <w:numId w:val="0"/>
        </w:numPr>
        <w:ind w:left="720"/>
      </w:pPr>
      <w:bookmarkStart w:id="392" w:name="_Toc352568750"/>
      <w:bookmarkStart w:id="393" w:name="_Toc356912999"/>
    </w:p>
    <w:p w:rsidR="004C74C2" w:rsidRPr="00B53423" w:rsidRDefault="004C74C2" w:rsidP="0015232B">
      <w:pPr>
        <w:pStyle w:val="Heading2"/>
        <w:keepNext w:val="0"/>
        <w:ind w:left="720" w:hanging="1080"/>
      </w:pPr>
      <w:bookmarkStart w:id="394" w:name="_Toc399626167"/>
      <w:r w:rsidRPr="00B53423">
        <w:t>O&amp;M EXPENSES</w:t>
      </w:r>
      <w:bookmarkEnd w:id="392"/>
      <w:bookmarkEnd w:id="393"/>
      <w:bookmarkEnd w:id="394"/>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ind w:hanging="1080"/>
      </w:pPr>
      <w:r w:rsidRPr="00B53423">
        <w:t>Operation and Maintenance (O&amp;M) expenses comprise of employee related costs, A&amp;G expenses and R&amp;M expenditure.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Petitioner’s submissions on each of the heads of O&amp;M expenditure for FY 2008-09, and the Commission’s analysis on the Truing-up of O&amp;M expenditure heads are detailed below: </w:t>
      </w:r>
    </w:p>
    <w:p w:rsidR="004C74C2" w:rsidRPr="00B53423" w:rsidRDefault="004C74C2" w:rsidP="0015232B">
      <w:pPr>
        <w:spacing w:before="240"/>
        <w:rPr>
          <w:rFonts w:asciiTheme="minorHAnsi" w:hAnsiTheme="minorHAnsi" w:cstheme="minorHAnsi"/>
        </w:rPr>
      </w:pPr>
    </w:p>
    <w:p w:rsidR="004C74C2" w:rsidRPr="00B53423" w:rsidRDefault="004C74C2" w:rsidP="0015232B">
      <w:pPr>
        <w:pStyle w:val="Heading3"/>
        <w:keepNext w:val="0"/>
        <w:ind w:hanging="1080"/>
      </w:pPr>
      <w:r w:rsidRPr="00B53423">
        <w:t>The Petitioner submitted that the actual net employee expense for FY 2008-09 is Rs. 100.59 Crore as against approved expenses of Rs. 53.89 Crore. The Petitioner requested the Commission to consider the Employee expenses as per its Audited Accounts.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actual net administrative and general expense for FY 2008-09 is Rs. 7.83 Crore against the approved expenses of Rs. 8.92 Crore. The Petitioner submitted that the actual A&amp;G expenses incurred by it for FY 2008-09 are below the approved A&amp;G expenses, thereby making it eligible for efficiency gains of Rs. 0.54 Crore. The Petitioner further submitted that the net entitlement towards A&amp;G expenses for FY 2008-09 works out to Rs. 8.37 Crore against the approved expenses of Rs. 8.92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actual R&amp;M expense for FY 2008-09 is Rs. 14.01 Crore as against Rs. 11.50 Crore approved in the Tariff Order dated 9</w:t>
      </w:r>
      <w:r w:rsidRPr="00B53423">
        <w:rPr>
          <w:vertAlign w:val="superscript"/>
        </w:rPr>
        <w:t>th</w:t>
      </w:r>
      <w:r w:rsidRPr="00B53423">
        <w:t xml:space="preserve"> July, 2008 in Petition No. 487 and 510 of 2007 for FY 2008-09. The Petitioner requested the Commission to approve R&amp;M expenses as per its Audited Accounts.</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In reply to the Commission’s query regarding the basis of capitalization the Petitioner added that the capitalisation of Employee expenses and A&amp;G expenses for FY 2008-09, has been done as per the Audited Accounts of FY 2008-09.</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Regulation 4.3 of the Distribution Tariff Regulations, 2006, stipulates the methodology for consideration of O&amp;M Expenses, wherein such expenses are linked to the inflation index determined under these Regulations. The relevant provisions of the Distribution Tariff Regulation are reproduced below: </w:t>
      </w:r>
    </w:p>
    <w:p w:rsidR="004C74C2" w:rsidRPr="00B53423" w:rsidRDefault="004C74C2" w:rsidP="0015232B">
      <w:pPr>
        <w:autoSpaceDE w:val="0"/>
        <w:autoSpaceDN w:val="0"/>
        <w:adjustRightInd w:val="0"/>
        <w:ind w:left="1440"/>
        <w:rPr>
          <w:rFonts w:asciiTheme="minorHAnsi" w:hAnsiTheme="minorHAnsi" w:cstheme="minorHAnsi"/>
          <w:i/>
          <w:lang w:val="en-US"/>
        </w:rPr>
      </w:pPr>
      <w:r w:rsidRPr="00B53423">
        <w:rPr>
          <w:rFonts w:asciiTheme="minorHAnsi" w:hAnsiTheme="minorHAnsi" w:cstheme="minorHAnsi"/>
          <w:i/>
          <w:lang w:val="en-US"/>
        </w:rPr>
        <w:t xml:space="preserve">“The O&amp;M expenses comprise of employee cost, repairs &amp; maintenance (R&amp;M) cost and administrative &amp; general (A&amp;G) cost. The O&amp;M expenses for the base year shall be calculated on the basis of historical/audited costs and past trend during the preceding five years. However, any abnormal variation during the preceding five years shall be excluded. For determination of the O&amp;M expenses of the year under consideration, the O&amp;M expenses of the </w:t>
      </w:r>
      <w:r w:rsidRPr="00B53423">
        <w:rPr>
          <w:rFonts w:asciiTheme="minorHAnsi" w:hAnsiTheme="minorHAnsi" w:cstheme="minorHAnsi"/>
          <w:b/>
          <w:i/>
          <w:u w:val="single"/>
          <w:lang w:val="en-US"/>
        </w:rPr>
        <w:t>base year shall be escalated at inflation rates notified by the Central Government for different years. The inflation rate for above purpose shall be the weighted average of Wholesale Price Index and Consumer Price Index in the ratio of 60:40. Base year, for these regulations means, the first year of tariff determination under these regulations</w:t>
      </w:r>
      <w:r w:rsidRPr="00B53423">
        <w:rPr>
          <w:rFonts w:asciiTheme="minorHAnsi" w:hAnsiTheme="minorHAnsi" w:cstheme="minorHAnsi"/>
          <w:b/>
          <w:i/>
          <w:lang w:val="en-US"/>
        </w:rPr>
        <w:t>…” [Emphasis added</w:t>
      </w:r>
      <w:r w:rsidRPr="00B53423">
        <w:rPr>
          <w:rFonts w:asciiTheme="minorHAnsi" w:hAnsiTheme="minorHAnsi" w:cstheme="minorHAnsi"/>
          <w:i/>
          <w:lang w:val="en-US"/>
        </w:rPr>
        <w:t>]</w:t>
      </w:r>
    </w:p>
    <w:p w:rsidR="004C74C2" w:rsidRPr="00B53423" w:rsidRDefault="004C74C2" w:rsidP="0015232B">
      <w:pPr>
        <w:autoSpaceDE w:val="0"/>
        <w:autoSpaceDN w:val="0"/>
        <w:adjustRightInd w:val="0"/>
        <w:spacing w:line="240" w:lineRule="auto"/>
        <w:jc w:val="left"/>
        <w:rPr>
          <w:rFonts w:ascii="Tahoma" w:hAnsi="Tahoma" w:cs="Tahoma"/>
          <w:sz w:val="21"/>
          <w:szCs w:val="21"/>
          <w:lang w:val="en-US"/>
        </w:rPr>
      </w:pPr>
    </w:p>
    <w:p w:rsidR="004C74C2" w:rsidRPr="00B53423" w:rsidRDefault="004C74C2" w:rsidP="0015232B">
      <w:pPr>
        <w:pStyle w:val="Heading3"/>
        <w:keepNext w:val="0"/>
        <w:ind w:hanging="1080"/>
      </w:pPr>
      <w:r w:rsidRPr="00B53423">
        <w:t>The Commission in accordance with the above stated Regulation has calculated the inflation index for the FY 2008-09 to FY 2014-15 based on the weighted average index of WPI and CPI. The Commission has considered the WPI and CPI as available on the website of Economic Advisor, Ministry of Commerce and Industry Ministry of Labour respectively. Accordingly, the Commission has calculated the inflation index for approval of O&amp;M expenses as shown in Table below:</w:t>
      </w:r>
    </w:p>
    <w:p w:rsidR="004C74C2" w:rsidRPr="00B53423" w:rsidRDefault="004C74C2" w:rsidP="0015232B">
      <w:pPr>
        <w:spacing w:before="0" w:after="200"/>
        <w:jc w:val="left"/>
        <w:rPr>
          <w:rFonts w:asciiTheme="minorHAnsi" w:hAnsiTheme="minorHAnsi" w:cstheme="minorHAnsi"/>
        </w:rPr>
        <w:sectPr w:rsidR="004C74C2" w:rsidRPr="00B53423" w:rsidSect="004065F0">
          <w:headerReference w:type="default" r:id="rId14"/>
          <w:footerReference w:type="default" r:id="rId15"/>
          <w:pgSz w:w="11909" w:h="16834"/>
          <w:pgMar w:top="1440" w:right="1440" w:bottom="1440" w:left="1800" w:header="720" w:footer="720" w:gutter="0"/>
          <w:pgNumType w:chapSep="colon"/>
          <w:cols w:space="720"/>
        </w:sectPr>
      </w:pPr>
      <w:r w:rsidRPr="00B53423">
        <w:rPr>
          <w:rFonts w:asciiTheme="minorHAnsi" w:hAnsiTheme="minorHAnsi" w:cstheme="minorHAnsi"/>
        </w:rPr>
        <w:br w:type="page"/>
      </w:r>
    </w:p>
    <w:p w:rsidR="004C74C2" w:rsidRPr="00B53423" w:rsidRDefault="004C74C2" w:rsidP="0015232B">
      <w:pPr>
        <w:pStyle w:val="ListParagraph"/>
        <w:numPr>
          <w:ilvl w:val="2"/>
          <w:numId w:val="0"/>
        </w:numPr>
        <w:spacing w:before="240"/>
        <w:ind w:left="432" w:hanging="180"/>
        <w:rPr>
          <w:rFonts w:asciiTheme="minorHAnsi" w:hAnsiTheme="minorHAnsi" w:cstheme="minorHAnsi"/>
          <w:b/>
        </w:rPr>
      </w:pPr>
      <w:bookmarkStart w:id="395" w:name="_Ref395785845"/>
      <w:bookmarkStart w:id="396" w:name="_Toc399626314"/>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3</w:t>
      </w:r>
      <w:r w:rsidR="005D68E7" w:rsidRPr="00B53423">
        <w:rPr>
          <w:rFonts w:asciiTheme="minorHAnsi" w:hAnsiTheme="minorHAnsi" w:cstheme="minorHAnsi"/>
          <w:b/>
        </w:rPr>
        <w:fldChar w:fldCharType="end"/>
      </w:r>
      <w:bookmarkEnd w:id="395"/>
      <w:r w:rsidRPr="00B53423">
        <w:rPr>
          <w:rFonts w:asciiTheme="minorHAnsi" w:hAnsiTheme="minorHAnsi" w:cstheme="minorHAnsi"/>
          <w:b/>
        </w:rPr>
        <w:t xml:space="preserve">: </w:t>
      </w:r>
      <w:r w:rsidRPr="00B53423">
        <w:rPr>
          <w:rFonts w:asciiTheme="minorHAnsi" w:hAnsiTheme="minorHAnsi" w:cstheme="minorHAnsi"/>
          <w:b/>
          <w:caps/>
        </w:rPr>
        <w:t>Escalation Index</w:t>
      </w:r>
      <w:bookmarkEnd w:id="396"/>
      <w:r w:rsidRPr="00B53423">
        <w:rPr>
          <w:rFonts w:asciiTheme="minorHAnsi" w:hAnsiTheme="minorHAnsi" w:cstheme="minorHAnsi"/>
          <w:b/>
        </w:rPr>
        <w:t xml:space="preserve">  </w:t>
      </w:r>
    </w:p>
    <w:tbl>
      <w:tblPr>
        <w:tblW w:w="5000" w:type="pct"/>
        <w:tblLook w:val="04A0"/>
      </w:tblPr>
      <w:tblGrid>
        <w:gridCol w:w="2470"/>
        <w:gridCol w:w="475"/>
        <w:gridCol w:w="475"/>
        <w:gridCol w:w="389"/>
        <w:gridCol w:w="118"/>
        <w:gridCol w:w="354"/>
        <w:gridCol w:w="121"/>
        <w:gridCol w:w="385"/>
        <w:gridCol w:w="90"/>
        <w:gridCol w:w="419"/>
        <w:gridCol w:w="56"/>
        <w:gridCol w:w="509"/>
        <w:gridCol w:w="475"/>
        <w:gridCol w:w="475"/>
        <w:gridCol w:w="475"/>
        <w:gridCol w:w="475"/>
        <w:gridCol w:w="475"/>
        <w:gridCol w:w="475"/>
        <w:gridCol w:w="475"/>
        <w:gridCol w:w="476"/>
        <w:gridCol w:w="644"/>
        <w:gridCol w:w="644"/>
        <w:gridCol w:w="644"/>
        <w:gridCol w:w="644"/>
        <w:gridCol w:w="644"/>
        <w:gridCol w:w="644"/>
        <w:gridCol w:w="644"/>
      </w:tblGrid>
      <w:tr w:rsidR="004C74C2" w:rsidRPr="00B53423" w:rsidTr="009268E4">
        <w:trPr>
          <w:trHeight w:val="300"/>
        </w:trPr>
        <w:tc>
          <w:tcPr>
            <w:tcW w:w="872" w:type="pc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Month</w:t>
            </w:r>
          </w:p>
        </w:tc>
        <w:tc>
          <w:tcPr>
            <w:tcW w:w="1197" w:type="pct"/>
            <w:gridSpan w:val="11"/>
            <w:tcBorders>
              <w:top w:val="single" w:sz="4" w:space="0" w:color="auto"/>
              <w:left w:val="single" w:sz="4" w:space="0" w:color="auto"/>
              <w:bottom w:val="single" w:sz="4" w:space="0" w:color="auto"/>
              <w:right w:val="single" w:sz="4" w:space="0" w:color="000000"/>
            </w:tcBorders>
            <w:shd w:val="clear" w:color="000000" w:fill="DBE5F1"/>
            <w:vAlign w:val="center"/>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Wholesale Price Index</w:t>
            </w:r>
          </w:p>
        </w:tc>
        <w:tc>
          <w:tcPr>
            <w:tcW w:w="1173" w:type="pct"/>
            <w:gridSpan w:val="7"/>
            <w:tcBorders>
              <w:top w:val="single" w:sz="4" w:space="0" w:color="auto"/>
              <w:left w:val="nil"/>
              <w:bottom w:val="single" w:sz="4" w:space="0" w:color="auto"/>
              <w:right w:val="single" w:sz="4" w:space="0" w:color="000000"/>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Consumer Price Index</w:t>
            </w:r>
          </w:p>
        </w:tc>
        <w:tc>
          <w:tcPr>
            <w:tcW w:w="1759" w:type="pct"/>
            <w:gridSpan w:val="8"/>
            <w:tcBorders>
              <w:top w:val="single" w:sz="4" w:space="0" w:color="auto"/>
              <w:left w:val="nil"/>
              <w:bottom w:val="single" w:sz="4" w:space="0" w:color="auto"/>
              <w:right w:val="single" w:sz="4" w:space="0" w:color="000000"/>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Consolidated Index</w:t>
            </w:r>
          </w:p>
        </w:tc>
      </w:tr>
      <w:tr w:rsidR="004C74C2" w:rsidRPr="00B53423" w:rsidTr="009268E4">
        <w:trPr>
          <w:trHeight w:val="600"/>
        </w:trPr>
        <w:tc>
          <w:tcPr>
            <w:tcW w:w="872" w:type="pct"/>
            <w:tcBorders>
              <w:top w:val="single" w:sz="4" w:space="0" w:color="auto"/>
              <w:left w:val="single" w:sz="4" w:space="0" w:color="auto"/>
              <w:bottom w:val="single" w:sz="4" w:space="0" w:color="auto"/>
              <w:right w:val="single" w:sz="4" w:space="0" w:color="auto"/>
            </w:tcBorders>
            <w:vAlign w:val="center"/>
            <w:hideMark/>
          </w:tcPr>
          <w:p w:rsidR="004C74C2" w:rsidRPr="00B53423" w:rsidRDefault="004C74C2" w:rsidP="0015232B">
            <w:pPr>
              <w:spacing w:line="240" w:lineRule="auto"/>
              <w:rPr>
                <w:rFonts w:cstheme="minorHAnsi"/>
                <w:b/>
                <w:bCs/>
                <w:color w:val="000000"/>
                <w:sz w:val="17"/>
                <w:szCs w:val="17"/>
              </w:rPr>
            </w:pPr>
          </w:p>
        </w:tc>
        <w:tc>
          <w:tcPr>
            <w:tcW w:w="168"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08</w:t>
            </w:r>
          </w:p>
        </w:tc>
        <w:tc>
          <w:tcPr>
            <w:tcW w:w="168"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09</w:t>
            </w:r>
          </w:p>
        </w:tc>
        <w:tc>
          <w:tcPr>
            <w:tcW w:w="137"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10</w:t>
            </w:r>
          </w:p>
        </w:tc>
        <w:tc>
          <w:tcPr>
            <w:tcW w:w="167" w:type="pct"/>
            <w:gridSpan w:val="2"/>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11</w:t>
            </w:r>
          </w:p>
        </w:tc>
        <w:tc>
          <w:tcPr>
            <w:tcW w:w="179" w:type="pct"/>
            <w:gridSpan w:val="2"/>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12</w:t>
            </w:r>
          </w:p>
        </w:tc>
        <w:tc>
          <w:tcPr>
            <w:tcW w:w="180" w:type="pct"/>
            <w:gridSpan w:val="2"/>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13</w:t>
            </w:r>
          </w:p>
        </w:tc>
        <w:tc>
          <w:tcPr>
            <w:tcW w:w="199" w:type="pct"/>
            <w:gridSpan w:val="2"/>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14</w:t>
            </w:r>
          </w:p>
        </w:tc>
        <w:tc>
          <w:tcPr>
            <w:tcW w:w="168"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08</w:t>
            </w:r>
          </w:p>
        </w:tc>
        <w:tc>
          <w:tcPr>
            <w:tcW w:w="168"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09</w:t>
            </w:r>
          </w:p>
        </w:tc>
        <w:tc>
          <w:tcPr>
            <w:tcW w:w="168"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10</w:t>
            </w:r>
          </w:p>
        </w:tc>
        <w:tc>
          <w:tcPr>
            <w:tcW w:w="168"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11</w:t>
            </w:r>
          </w:p>
        </w:tc>
        <w:tc>
          <w:tcPr>
            <w:tcW w:w="168"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12</w:t>
            </w:r>
          </w:p>
        </w:tc>
        <w:tc>
          <w:tcPr>
            <w:tcW w:w="168"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13</w:t>
            </w:r>
          </w:p>
        </w:tc>
        <w:tc>
          <w:tcPr>
            <w:tcW w:w="168"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14</w:t>
            </w:r>
          </w:p>
        </w:tc>
        <w:tc>
          <w:tcPr>
            <w:tcW w:w="168"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08</w:t>
            </w:r>
          </w:p>
        </w:tc>
        <w:tc>
          <w:tcPr>
            <w:tcW w:w="227"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09</w:t>
            </w:r>
          </w:p>
        </w:tc>
        <w:tc>
          <w:tcPr>
            <w:tcW w:w="227"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10</w:t>
            </w:r>
          </w:p>
        </w:tc>
        <w:tc>
          <w:tcPr>
            <w:tcW w:w="227"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11</w:t>
            </w:r>
          </w:p>
        </w:tc>
        <w:tc>
          <w:tcPr>
            <w:tcW w:w="227"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12</w:t>
            </w:r>
          </w:p>
        </w:tc>
        <w:tc>
          <w:tcPr>
            <w:tcW w:w="227"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 xml:space="preserve">FY </w:t>
            </w:r>
            <w:r w:rsidRPr="00B53423">
              <w:rPr>
                <w:rFonts w:cstheme="minorHAnsi"/>
                <w:b/>
                <w:bCs/>
                <w:color w:val="000000"/>
                <w:sz w:val="17"/>
                <w:szCs w:val="17"/>
              </w:rPr>
              <w:br/>
              <w:t>13</w:t>
            </w:r>
          </w:p>
        </w:tc>
        <w:tc>
          <w:tcPr>
            <w:tcW w:w="227"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FY 14</w:t>
            </w:r>
          </w:p>
        </w:tc>
        <w:tc>
          <w:tcPr>
            <w:tcW w:w="227" w:type="pct"/>
            <w:tcBorders>
              <w:top w:val="nil"/>
              <w:left w:val="nil"/>
              <w:bottom w:val="single" w:sz="4" w:space="0" w:color="auto"/>
              <w:right w:val="single" w:sz="4" w:space="0" w:color="auto"/>
            </w:tcBorders>
            <w:shd w:val="clear" w:color="000000" w:fill="DBE5F1"/>
            <w:vAlign w:val="center"/>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FY 15</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April</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115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124</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125</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139</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152</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164</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171</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150</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170</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186</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205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226</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120</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129</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135</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151</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166</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180</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193</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jc w:val="center"/>
              <w:rPr>
                <w:rFonts w:cstheme="minorHAnsi"/>
                <w:color w:val="000000"/>
                <w:sz w:val="17"/>
                <w:szCs w:val="17"/>
              </w:rPr>
            </w:pPr>
            <w:r w:rsidRPr="00B53423">
              <w:rPr>
                <w:rFonts w:cstheme="minorHAnsi"/>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May</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115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124</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126</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139</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152</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164</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171</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151</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172</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187</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206</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228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120</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130</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136</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152</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166</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181</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194</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jc w:val="center"/>
              <w:rPr>
                <w:rFonts w:cstheme="minorHAnsi"/>
                <w:color w:val="000000"/>
                <w:sz w:val="17"/>
                <w:szCs w:val="17"/>
              </w:rPr>
            </w:pPr>
            <w:r w:rsidRPr="00B53423">
              <w:rPr>
                <w:rFonts w:cstheme="minorHAnsi"/>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June</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115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127</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127</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140</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153</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165</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173</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130</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140</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153</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174</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208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231</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121</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132</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137</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167</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182</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196</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jc w:val="center"/>
              <w:rPr>
                <w:rFonts w:cstheme="minorHAnsi"/>
                <w:color w:val="000000"/>
                <w:sz w:val="17"/>
                <w:szCs w:val="17"/>
              </w:rPr>
            </w:pPr>
            <w:r w:rsidRPr="00B53423">
              <w:rPr>
                <w:rFonts w:cstheme="minorHAnsi"/>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July</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116</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129</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128</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141</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154</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166</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176</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132</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143</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160</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193</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212</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235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122</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141</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156</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170</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199</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jc w:val="center"/>
              <w:rPr>
                <w:rFonts w:cstheme="minorHAnsi"/>
                <w:color w:val="000000"/>
                <w:sz w:val="17"/>
                <w:szCs w:val="17"/>
              </w:rPr>
            </w:pPr>
            <w:r w:rsidRPr="00B53423">
              <w:rPr>
                <w:rFonts w:cstheme="minorHAnsi"/>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August</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116</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129</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130</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141</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155</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167</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133</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162</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194</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214</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237</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135</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156</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171</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186</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202</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jc w:val="center"/>
              <w:rPr>
                <w:rFonts w:cstheme="minorHAnsi"/>
                <w:color w:val="000000"/>
                <w:sz w:val="17"/>
                <w:szCs w:val="17"/>
              </w:rPr>
            </w:pPr>
            <w:r w:rsidRPr="00B53423">
              <w:rPr>
                <w:rFonts w:cstheme="minorHAnsi"/>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September</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116</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129</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130</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142</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156</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169</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181</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133</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146</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163</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197</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215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238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136</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157</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187</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204</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jc w:val="center"/>
              <w:rPr>
                <w:rFonts w:cstheme="minorHAnsi"/>
                <w:color w:val="000000"/>
                <w:sz w:val="17"/>
                <w:szCs w:val="17"/>
              </w:rPr>
            </w:pPr>
            <w:r w:rsidRPr="00B53423">
              <w:rPr>
                <w:rFonts w:cstheme="minorHAnsi"/>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October</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116</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129</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131</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143</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157</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169</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181</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134</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181</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217</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241</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136</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145</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158</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188</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205</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jc w:val="center"/>
              <w:rPr>
                <w:rFonts w:cstheme="minorHAnsi"/>
                <w:color w:val="000000"/>
                <w:sz w:val="17"/>
                <w:szCs w:val="17"/>
              </w:rPr>
            </w:pPr>
            <w:r w:rsidRPr="00B53423">
              <w:rPr>
                <w:rFonts w:cstheme="minorHAnsi"/>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November</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117</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127</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133</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144</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157</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169</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182</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134</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182</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218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243</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135</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147</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159</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188</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206</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jc w:val="center"/>
              <w:rPr>
                <w:rFonts w:cstheme="minorHAnsi"/>
                <w:color w:val="000000"/>
                <w:sz w:val="17"/>
                <w:szCs w:val="17"/>
              </w:rPr>
            </w:pPr>
            <w:r w:rsidRPr="00B53423">
              <w:rPr>
                <w:rFonts w:cstheme="minorHAnsi"/>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December</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117</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125</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133</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146</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157</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169</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180</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134</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147</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197</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219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239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148</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162</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189</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203</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jc w:val="center"/>
              <w:rPr>
                <w:rFonts w:cstheme="minorHAnsi"/>
                <w:color w:val="000000"/>
                <w:sz w:val="17"/>
                <w:szCs w:val="17"/>
              </w:rPr>
            </w:pPr>
            <w:r w:rsidRPr="00B53423">
              <w:rPr>
                <w:rFonts w:cstheme="minorHAnsi"/>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January</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118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124</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135</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148</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159</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170</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134</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172</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221</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237</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150</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191</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202</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jc w:val="center"/>
              <w:rPr>
                <w:rFonts w:cstheme="minorHAnsi"/>
                <w:color w:val="000000"/>
                <w:sz w:val="17"/>
                <w:szCs w:val="17"/>
              </w:rPr>
            </w:pPr>
            <w:r w:rsidRPr="00B53423">
              <w:rPr>
                <w:rFonts w:cstheme="minorHAnsi"/>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February</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119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123</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135</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148</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159</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171</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180</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170</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223</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238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125</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149</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175</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192</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203</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jc w:val="center"/>
              <w:rPr>
                <w:rFonts w:cstheme="minorHAnsi"/>
                <w:color w:val="000000"/>
                <w:sz w:val="17"/>
                <w:szCs w:val="17"/>
              </w:rPr>
            </w:pPr>
            <w:r w:rsidRPr="00B53423">
              <w:rPr>
                <w:rFonts w:cstheme="minorHAnsi"/>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March</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122</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124</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136</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150</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161</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170</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180</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137</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148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170</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185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201</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224</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239</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128</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133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150</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164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177</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192</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color w:val="000000"/>
                <w:sz w:val="17"/>
                <w:szCs w:val="17"/>
              </w:rPr>
            </w:pPr>
            <w:r w:rsidRPr="00B53423">
              <w:rPr>
                <w:rFonts w:cstheme="minorHAnsi"/>
                <w:color w:val="000000"/>
                <w:sz w:val="17"/>
                <w:szCs w:val="17"/>
              </w:rPr>
              <w:t>204</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jc w:val="center"/>
              <w:rPr>
                <w:rFonts w:cstheme="minorHAnsi"/>
                <w:color w:val="000000"/>
                <w:sz w:val="17"/>
                <w:szCs w:val="17"/>
              </w:rPr>
            </w:pPr>
            <w:r w:rsidRPr="00B53423">
              <w:rPr>
                <w:rFonts w:cstheme="minorHAnsi"/>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8"/>
                <w:szCs w:val="17"/>
              </w:rPr>
            </w:pPr>
            <w:r w:rsidRPr="00B53423">
              <w:rPr>
                <w:rFonts w:cstheme="minorHAnsi"/>
                <w:b/>
                <w:bCs/>
                <w:color w:val="000000"/>
                <w:sz w:val="18"/>
                <w:szCs w:val="17"/>
              </w:rPr>
              <w:t>Average</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117</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126</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131</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143</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156</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168</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178</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133</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145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163</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180</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195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215</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236</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123</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134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144</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158</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172</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187</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201</w:t>
            </w:r>
          </w:p>
        </w:tc>
        <w:tc>
          <w:tcPr>
            <w:tcW w:w="227" w:type="pct"/>
            <w:tcBorders>
              <w:top w:val="nil"/>
              <w:left w:val="nil"/>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8"/>
                <w:szCs w:val="17"/>
              </w:rPr>
            </w:pPr>
            <w:r w:rsidRPr="00B53423">
              <w:rPr>
                <w:rFonts w:cstheme="minorHAnsi"/>
                <w:color w:val="000000"/>
                <w:sz w:val="18"/>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color w:val="000000"/>
                <w:sz w:val="17"/>
                <w:szCs w:val="17"/>
              </w:rPr>
            </w:pPr>
            <w:r w:rsidRPr="00B53423">
              <w:rPr>
                <w:rFonts w:cstheme="minorHAnsi"/>
                <w:color w:val="000000"/>
                <w:sz w:val="17"/>
                <w:szCs w:val="17"/>
              </w:rPr>
              <w:t> </w:t>
            </w:r>
          </w:p>
        </w:tc>
        <w:tc>
          <w:tcPr>
            <w:tcW w:w="1759" w:type="pct"/>
            <w:gridSpan w:val="8"/>
            <w:tcBorders>
              <w:top w:val="single" w:sz="4" w:space="0" w:color="auto"/>
              <w:left w:val="nil"/>
              <w:bottom w:val="single" w:sz="4" w:space="0" w:color="auto"/>
              <w:right w:val="single" w:sz="4" w:space="0" w:color="000000"/>
            </w:tcBorders>
            <w:shd w:val="clear" w:color="auto" w:fill="auto"/>
            <w:vAlign w:val="bottom"/>
            <w:hideMark/>
          </w:tcPr>
          <w:p w:rsidR="004C74C2" w:rsidRPr="00B53423" w:rsidRDefault="004C74C2" w:rsidP="0015232B">
            <w:pPr>
              <w:spacing w:line="240" w:lineRule="auto"/>
              <w:jc w:val="center"/>
              <w:rPr>
                <w:rFonts w:cstheme="minorHAnsi"/>
                <w:b/>
                <w:bCs/>
                <w:color w:val="000000"/>
                <w:sz w:val="17"/>
                <w:szCs w:val="17"/>
              </w:rPr>
            </w:pPr>
            <w:r w:rsidRPr="00B53423">
              <w:rPr>
                <w:rFonts w:cstheme="minorHAnsi"/>
                <w:b/>
                <w:bCs/>
                <w:color w:val="000000"/>
                <w:sz w:val="17"/>
                <w:szCs w:val="17"/>
              </w:rPr>
              <w:t>Calculation of Inflation Index (CPI-40%, WPI-60%)</w:t>
            </w:r>
          </w:p>
        </w:tc>
      </w:tr>
      <w:tr w:rsidR="004C74C2" w:rsidRPr="00B53423" w:rsidTr="009268E4">
        <w:trPr>
          <w:trHeight w:val="300"/>
        </w:trPr>
        <w:tc>
          <w:tcPr>
            <w:tcW w:w="872" w:type="pct"/>
            <w:tcBorders>
              <w:top w:val="nil"/>
              <w:left w:val="single" w:sz="4" w:space="0" w:color="auto"/>
              <w:bottom w:val="single" w:sz="4" w:space="0" w:color="auto"/>
              <w:right w:val="single" w:sz="4" w:space="0" w:color="auto"/>
            </w:tcBorders>
            <w:shd w:val="clear" w:color="auto" w:fill="auto"/>
            <w:noWrap/>
            <w:vAlign w:val="bottom"/>
            <w:hideMark/>
          </w:tcPr>
          <w:p w:rsidR="004C74C2" w:rsidRPr="00B53423" w:rsidRDefault="004C74C2" w:rsidP="0015232B">
            <w:pPr>
              <w:spacing w:line="240" w:lineRule="auto"/>
              <w:rPr>
                <w:rFonts w:cstheme="minorHAnsi"/>
                <w:b/>
                <w:bCs/>
                <w:color w:val="000000"/>
                <w:sz w:val="18"/>
                <w:szCs w:val="17"/>
              </w:rPr>
            </w:pPr>
            <w:r w:rsidRPr="00B53423">
              <w:rPr>
                <w:rFonts w:cstheme="minorHAnsi"/>
                <w:b/>
                <w:bCs/>
                <w:color w:val="000000"/>
                <w:sz w:val="18"/>
                <w:szCs w:val="17"/>
              </w:rPr>
              <w:t>Weighted Average of Inflation</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79"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68" w:type="pct"/>
            <w:gridSpan w:val="2"/>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80"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168"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rPr>
                <w:rFonts w:cstheme="minorHAnsi"/>
                <w:b/>
                <w:bCs/>
                <w:color w:val="000000"/>
                <w:sz w:val="17"/>
                <w:szCs w:val="17"/>
              </w:rPr>
            </w:pPr>
            <w:r w:rsidRPr="00B53423">
              <w:rPr>
                <w:rFonts w:cstheme="minorHAnsi"/>
                <w:b/>
                <w:bCs/>
                <w:color w:val="000000"/>
                <w:sz w:val="17"/>
                <w:szCs w:val="17"/>
              </w:rPr>
              <w:t> </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8.51%</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7.52%</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9.96%</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8.69%</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8.75%</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7.69%</w:t>
            </w:r>
          </w:p>
        </w:tc>
        <w:tc>
          <w:tcPr>
            <w:tcW w:w="227" w:type="pct"/>
            <w:tcBorders>
              <w:top w:val="nil"/>
              <w:left w:val="nil"/>
              <w:bottom w:val="single" w:sz="4" w:space="0" w:color="auto"/>
              <w:right w:val="single" w:sz="4" w:space="0" w:color="auto"/>
            </w:tcBorders>
            <w:shd w:val="clear" w:color="auto" w:fill="auto"/>
            <w:vAlign w:val="bottom"/>
            <w:hideMark/>
          </w:tcPr>
          <w:p w:rsidR="004C74C2" w:rsidRPr="00B53423" w:rsidRDefault="004C74C2" w:rsidP="0015232B">
            <w:pPr>
              <w:spacing w:line="240" w:lineRule="auto"/>
              <w:jc w:val="right"/>
              <w:rPr>
                <w:rFonts w:cstheme="minorHAnsi"/>
                <w:b/>
                <w:bCs/>
                <w:color w:val="000000"/>
                <w:sz w:val="17"/>
                <w:szCs w:val="17"/>
              </w:rPr>
            </w:pPr>
            <w:r w:rsidRPr="00B53423">
              <w:rPr>
                <w:rFonts w:cstheme="minorHAnsi"/>
                <w:b/>
                <w:bCs/>
                <w:color w:val="000000"/>
                <w:sz w:val="17"/>
                <w:szCs w:val="17"/>
              </w:rPr>
              <w:t>7.69%</w:t>
            </w:r>
          </w:p>
        </w:tc>
      </w:tr>
    </w:tbl>
    <w:p w:rsidR="004C74C2" w:rsidRPr="00B53423" w:rsidRDefault="004C74C2" w:rsidP="0015232B">
      <w:pPr>
        <w:spacing w:before="0" w:after="200"/>
        <w:jc w:val="left"/>
        <w:rPr>
          <w:rFonts w:cs="Arial"/>
          <w:b/>
          <w:bCs/>
          <w:szCs w:val="26"/>
        </w:rPr>
      </w:pPr>
    </w:p>
    <w:p w:rsidR="004C74C2" w:rsidRPr="00B53423" w:rsidRDefault="004C74C2" w:rsidP="0015232B">
      <w:pPr>
        <w:spacing w:before="0" w:after="200"/>
        <w:jc w:val="left"/>
        <w:rPr>
          <w:rFonts w:cs="Arial"/>
          <w:b/>
          <w:bCs/>
          <w:szCs w:val="26"/>
        </w:rPr>
        <w:sectPr w:rsidR="004C74C2" w:rsidRPr="00B53423" w:rsidSect="00AD5B73">
          <w:pgSz w:w="16834" w:h="11909" w:orient="landscape"/>
          <w:pgMar w:top="1800" w:right="1440" w:bottom="1440" w:left="1440" w:header="720" w:footer="720" w:gutter="0"/>
          <w:pgNumType w:chapSep="colon"/>
          <w:cols w:space="720"/>
          <w:docGrid w:linePitch="326"/>
        </w:sectPr>
      </w:pPr>
    </w:p>
    <w:p w:rsidR="004C74C2" w:rsidRPr="00B53423" w:rsidRDefault="004C74C2" w:rsidP="0015232B">
      <w:pPr>
        <w:pStyle w:val="Heading3"/>
        <w:keepNext w:val="0"/>
        <w:ind w:hanging="1080"/>
      </w:pPr>
      <w:bookmarkStart w:id="397" w:name="_Ref396853489"/>
      <w:r w:rsidRPr="00B53423">
        <w:t>The Petitioner had adopted 6</w:t>
      </w:r>
      <w:r w:rsidRPr="00B53423">
        <w:rPr>
          <w:vertAlign w:val="superscript"/>
        </w:rPr>
        <w:t>th</w:t>
      </w:r>
      <w:r w:rsidRPr="00B53423">
        <w:t xml:space="preserve"> Pay Revision Committee Recommendations in the month of February 2009. In the True-up Petition / Audited Accounts for FY 2008-09 the Petitioner has submitted that the employee cost of FY 2008-09 includes pay revision provision of Rs. 17.74 Crore pertaining to the period from 1</w:t>
      </w:r>
      <w:r w:rsidRPr="00B53423">
        <w:rPr>
          <w:vertAlign w:val="superscript"/>
        </w:rPr>
        <w:t>st</w:t>
      </w:r>
      <w:r w:rsidRPr="00B53423">
        <w:t xml:space="preserve"> April, 2008 to 31</w:t>
      </w:r>
      <w:r w:rsidRPr="00B53423">
        <w:rPr>
          <w:vertAlign w:val="superscript"/>
        </w:rPr>
        <w:t>st</w:t>
      </w:r>
      <w:r w:rsidRPr="00B53423">
        <w:t xml:space="preserve"> March, 2009 and also includes a provision of Rs. 26.73 Crore towards change in accounting policy of earned leave encashment.</w:t>
      </w:r>
      <w:bookmarkEnd w:id="397"/>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has determined the Trued-up O&amp;M expenses of the base year i.e., FY 2007-08, in the Order dated 21</w:t>
      </w:r>
      <w:r w:rsidRPr="00B53423">
        <w:rPr>
          <w:vertAlign w:val="superscript"/>
        </w:rPr>
        <w:t>st</w:t>
      </w:r>
      <w:r w:rsidRPr="00B53423">
        <w:t xml:space="preserve"> May, 2013 in Petition No. 813 of 2012. The approved O&amp;M expenses for FY 2007-08 have been escalated using the inflation index of 8.51% computed for FY 2008-09 to derive the normative O&amp;M Expenses for FY 2008-09. The Commission in its suo-motu Tariff Order dated 31</w:t>
      </w:r>
      <w:r w:rsidRPr="00B53423">
        <w:rPr>
          <w:vertAlign w:val="superscript"/>
        </w:rPr>
        <w:t>st</w:t>
      </w:r>
      <w:r w:rsidRPr="00B53423">
        <w:t xml:space="preserve"> May, 2013 has inadvertently considered the escalation factor of previous year while computing the O&amp;M expenses. The same has been revised in this Order as shown in </w:t>
      </w:r>
      <w:fldSimple w:instr=" REF _Ref395785845 \h  \* MERGEFORMAT ">
        <w:r w:rsidR="00847C1B" w:rsidRPr="00847C1B">
          <w:t xml:space="preserve">Table </w:t>
        </w:r>
        <w:r w:rsidR="00847C1B" w:rsidRPr="00847C1B">
          <w:rPr>
            <w:noProof/>
          </w:rPr>
          <w:t>4</w:t>
        </w:r>
        <w:r w:rsidR="00847C1B" w:rsidRPr="00847C1B">
          <w:rPr>
            <w:noProof/>
          </w:rPr>
          <w:noBreakHyphen/>
          <w:t>3</w:t>
        </w:r>
      </w:fldSimple>
      <w:r w:rsidRPr="00B53423">
        <w:t xml:space="preserve"> above.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Further, in addition to the normative O&amp;M cost based on inflationary indices based escalation, the Distribution Tariff Regulations, 2006 provide for incremental O&amp;M expenses on addition of assets during the previous year. Regulation 4.3 (3) of the Distribution Tariff Regulations 2006 specifies as follows:</w:t>
      </w:r>
    </w:p>
    <w:p w:rsidR="004C74C2" w:rsidRPr="00B53423" w:rsidRDefault="004C74C2" w:rsidP="0015232B">
      <w:pPr>
        <w:spacing w:before="240"/>
        <w:ind w:left="1440"/>
        <w:rPr>
          <w:rFonts w:asciiTheme="minorHAnsi" w:hAnsiTheme="minorHAnsi" w:cstheme="minorHAnsi"/>
          <w:i/>
        </w:rPr>
      </w:pPr>
      <w:r w:rsidRPr="00B53423">
        <w:rPr>
          <w:rFonts w:asciiTheme="minorHAnsi" w:hAnsiTheme="minorHAnsi" w:cstheme="minorHAnsi"/>
          <w:i/>
        </w:rPr>
        <w:t>“Incremental O&amp;M expenses for the ensuing financial year shall be 2.5% of capital addition during the current year. O&amp;M charges for the ensuing financial year shall be sum of incremental O&amp;M expenses so worked out and O&amp;M charges of current year escalated on the basis of predetermined indices as indicated in regulation 4.3(1).”</w:t>
      </w:r>
    </w:p>
    <w:p w:rsidR="004C74C2" w:rsidRPr="00B53423" w:rsidRDefault="004C74C2" w:rsidP="0015232B">
      <w:pPr>
        <w:spacing w:before="240"/>
        <w:ind w:left="720"/>
        <w:rPr>
          <w:rFonts w:asciiTheme="minorHAnsi" w:hAnsiTheme="minorHAnsi" w:cstheme="minorHAnsi"/>
          <w:i/>
        </w:rPr>
      </w:pPr>
    </w:p>
    <w:p w:rsidR="004C74C2" w:rsidRPr="00B53423" w:rsidRDefault="004C74C2" w:rsidP="0015232B">
      <w:pPr>
        <w:pStyle w:val="Heading3"/>
        <w:keepNext w:val="0"/>
        <w:ind w:hanging="1080"/>
      </w:pPr>
      <w:bookmarkStart w:id="398" w:name="_Ref396853544"/>
      <w:r w:rsidRPr="00B53423">
        <w:t>It is observed that the normative O&amp;M expenses computed based on the above Regulations is working out higher than the actual audited O&amp;M expenses for FY 2008-09. Since, the expenses in FY 2008-09 has already been incurred, hence, there is no point in allowing excess cost in the ARR of FY 2008-09 and increase the revenue gap which will result in an unnecessary increase in Tariff. The Commission has therefore approved the actual audited O&amp;M expenses as claimed by the Petitioner for FY 2008-09.</w:t>
      </w:r>
      <w:bookmarkEnd w:id="398"/>
    </w:p>
    <w:p w:rsidR="004C74C2" w:rsidRPr="00B53423" w:rsidRDefault="004C74C2" w:rsidP="0015232B">
      <w:pPr>
        <w:spacing w:before="240"/>
        <w:ind w:left="450"/>
        <w:rPr>
          <w:rFonts w:asciiTheme="minorHAnsi" w:hAnsiTheme="minorHAnsi" w:cstheme="minorHAnsi"/>
        </w:rPr>
      </w:pPr>
    </w:p>
    <w:p w:rsidR="004C74C2" w:rsidRPr="00B53423" w:rsidRDefault="004C74C2" w:rsidP="0015232B">
      <w:pPr>
        <w:pStyle w:val="Heading3"/>
        <w:keepNext w:val="0"/>
        <w:ind w:hanging="1080"/>
      </w:pPr>
      <w:bookmarkStart w:id="399" w:name="_Ref396853574"/>
      <w:r w:rsidRPr="00B53423">
        <w:t>In reply to the Commission’s query whether CGRF expenses have been included in O&amp;M expenses or not the Petitioner submitted that the CGRF expenses are part of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CGRF framework approved by the Commission. As detailed in the para above, the Commission has approved actual O&amp;M expenses which already include CGRF expenses; hence the Commission opines that there is no requirement to allow an additional allowance towards the CGRF expenses. Thus, in view of the above, the Commission disallows the Petitioner’s request to allow an adhoc allowance towards CGRF while doing the Truing-up of FY 2008-09.</w:t>
      </w:r>
      <w:bookmarkEnd w:id="399"/>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In reply to the Commission’s query regarding the details of expenses incurred towards allocation of Interest Charges and O&amp;M Expenses of UPPCL, the Petitioner submitted the chart depicting the allocation of O&amp;M Expenses of UPPCL as shown below:</w:t>
      </w:r>
    </w:p>
    <w:p w:rsidR="004C74C2" w:rsidRPr="00B53423" w:rsidRDefault="004C74C2" w:rsidP="0015232B">
      <w:pPr>
        <w:jc w:val="center"/>
        <w:rPr>
          <w:rFonts w:asciiTheme="minorHAnsi" w:hAnsiTheme="minorHAnsi" w:cstheme="minorHAnsi"/>
          <w:b/>
        </w:rPr>
      </w:pPr>
    </w:p>
    <w:p w:rsidR="004C74C2" w:rsidRPr="00B53423" w:rsidRDefault="004C74C2" w:rsidP="0015232B">
      <w:pPr>
        <w:jc w:val="center"/>
        <w:rPr>
          <w:rFonts w:asciiTheme="minorHAnsi" w:hAnsiTheme="minorHAnsi" w:cstheme="minorHAnsi"/>
          <w:b/>
        </w:rPr>
      </w:pPr>
      <w:bookmarkStart w:id="400" w:name="_Toc399626315"/>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t>: ALLOCATION OF O&amp;M EXPENSES IN FY 2008-09 (Rs. Crore)</w:t>
      </w:r>
      <w:bookmarkEnd w:id="400"/>
    </w:p>
    <w:tbl>
      <w:tblPr>
        <w:tblW w:w="7128" w:type="dxa"/>
        <w:tblInd w:w="7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34"/>
        <w:gridCol w:w="1894"/>
      </w:tblGrid>
      <w:tr w:rsidR="004C74C2" w:rsidRPr="00B53423" w:rsidTr="009268E4">
        <w:trPr>
          <w:trHeight w:val="600"/>
          <w:tblHeader/>
        </w:trPr>
        <w:tc>
          <w:tcPr>
            <w:tcW w:w="5234"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lang w:val="en-US"/>
              </w:rPr>
            </w:pPr>
            <w:r w:rsidRPr="00B53423">
              <w:rPr>
                <w:b/>
                <w:bCs/>
                <w:color w:val="000000"/>
                <w:lang w:val="en-US"/>
              </w:rPr>
              <w:t>Particulars</w:t>
            </w:r>
          </w:p>
        </w:tc>
        <w:tc>
          <w:tcPr>
            <w:tcW w:w="1894"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lang w:val="en-US"/>
              </w:rPr>
            </w:pPr>
            <w:r w:rsidRPr="00B53423">
              <w:rPr>
                <w:b/>
                <w:bCs/>
                <w:color w:val="000000"/>
                <w:lang w:val="en-US"/>
              </w:rPr>
              <w:t>Amount</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color w:val="000000"/>
                <w:lang w:val="en-US"/>
              </w:rPr>
            </w:pPr>
            <w:r w:rsidRPr="00B53423">
              <w:rPr>
                <w:color w:val="000000"/>
                <w:lang w:val="en-US"/>
              </w:rPr>
              <w:t>Employees Expenses</w:t>
            </w:r>
          </w:p>
        </w:tc>
        <w:tc>
          <w:tcPr>
            <w:tcW w:w="1894" w:type="dxa"/>
            <w:shd w:val="clear" w:color="auto" w:fill="auto"/>
            <w:vAlign w:val="center"/>
            <w:hideMark/>
          </w:tcPr>
          <w:p w:rsidR="004C74C2" w:rsidRPr="00B53423" w:rsidRDefault="004C74C2" w:rsidP="0015232B">
            <w:pPr>
              <w:spacing w:before="0" w:line="240" w:lineRule="auto"/>
              <w:ind w:right="522"/>
              <w:jc w:val="right"/>
              <w:rPr>
                <w:color w:val="000000"/>
                <w:lang w:val="en-US"/>
              </w:rPr>
            </w:pPr>
            <w:r w:rsidRPr="00B53423">
              <w:rPr>
                <w:color w:val="000000"/>
                <w:lang w:val="en-US"/>
              </w:rPr>
              <w:t>4.91</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color w:val="000000"/>
                <w:lang w:val="en-US"/>
              </w:rPr>
            </w:pPr>
            <w:r w:rsidRPr="00B53423">
              <w:rPr>
                <w:color w:val="000000"/>
                <w:lang w:val="en-US"/>
              </w:rPr>
              <w:t>Administrative, General &amp; Other Expenses</w:t>
            </w:r>
          </w:p>
        </w:tc>
        <w:tc>
          <w:tcPr>
            <w:tcW w:w="1894" w:type="dxa"/>
            <w:shd w:val="clear" w:color="auto" w:fill="auto"/>
            <w:vAlign w:val="center"/>
            <w:hideMark/>
          </w:tcPr>
          <w:p w:rsidR="004C74C2" w:rsidRPr="00B53423" w:rsidRDefault="004C74C2" w:rsidP="0015232B">
            <w:pPr>
              <w:spacing w:before="0" w:line="240" w:lineRule="auto"/>
              <w:ind w:right="522"/>
              <w:jc w:val="right"/>
              <w:rPr>
                <w:color w:val="000000"/>
                <w:lang w:val="en-US"/>
              </w:rPr>
            </w:pPr>
            <w:r w:rsidRPr="00B53423">
              <w:rPr>
                <w:color w:val="000000"/>
                <w:lang w:val="en-US"/>
              </w:rPr>
              <w:t>12.20</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color w:val="000000"/>
                <w:lang w:val="en-US"/>
              </w:rPr>
            </w:pPr>
            <w:r w:rsidRPr="00B53423">
              <w:rPr>
                <w:color w:val="000000"/>
                <w:lang w:val="en-US"/>
              </w:rPr>
              <w:t>Repairs and Maintenance Expenses</w:t>
            </w:r>
          </w:p>
        </w:tc>
        <w:tc>
          <w:tcPr>
            <w:tcW w:w="1894" w:type="dxa"/>
            <w:shd w:val="clear" w:color="auto" w:fill="auto"/>
            <w:vAlign w:val="center"/>
            <w:hideMark/>
          </w:tcPr>
          <w:p w:rsidR="004C74C2" w:rsidRPr="00B53423" w:rsidRDefault="004C74C2" w:rsidP="0015232B">
            <w:pPr>
              <w:spacing w:before="0" w:line="240" w:lineRule="auto"/>
              <w:ind w:right="522"/>
              <w:jc w:val="right"/>
              <w:rPr>
                <w:color w:val="000000"/>
                <w:lang w:val="en-US"/>
              </w:rPr>
            </w:pPr>
            <w:r w:rsidRPr="00B53423">
              <w:rPr>
                <w:color w:val="000000"/>
                <w:lang w:val="en-US"/>
              </w:rPr>
              <w:t>80.58</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b/>
                <w:bCs/>
                <w:color w:val="000000"/>
                <w:lang w:val="en-US"/>
              </w:rPr>
            </w:pPr>
            <w:r w:rsidRPr="00B53423">
              <w:rPr>
                <w:b/>
                <w:bCs/>
                <w:color w:val="000000"/>
                <w:lang w:val="en-US"/>
              </w:rPr>
              <w:t>Total</w:t>
            </w:r>
          </w:p>
        </w:tc>
        <w:tc>
          <w:tcPr>
            <w:tcW w:w="1894" w:type="dxa"/>
            <w:shd w:val="clear" w:color="auto" w:fill="auto"/>
            <w:vAlign w:val="center"/>
            <w:hideMark/>
          </w:tcPr>
          <w:p w:rsidR="004C74C2" w:rsidRPr="00B53423" w:rsidRDefault="004C74C2" w:rsidP="0015232B">
            <w:pPr>
              <w:spacing w:before="0" w:line="240" w:lineRule="auto"/>
              <w:ind w:right="522"/>
              <w:jc w:val="right"/>
              <w:rPr>
                <w:b/>
                <w:bCs/>
                <w:color w:val="000000"/>
                <w:lang w:val="en-US"/>
              </w:rPr>
            </w:pPr>
            <w:r w:rsidRPr="00B53423">
              <w:rPr>
                <w:b/>
                <w:bCs/>
                <w:color w:val="000000"/>
                <w:lang w:val="en-US"/>
              </w:rPr>
              <w:t>97.69</w:t>
            </w:r>
          </w:p>
        </w:tc>
      </w:tr>
    </w:tbl>
    <w:p w:rsidR="004C74C2" w:rsidRPr="00B53423" w:rsidRDefault="004C74C2" w:rsidP="0015232B">
      <w:pPr>
        <w:spacing w:before="0" w:line="312" w:lineRule="auto"/>
        <w:rPr>
          <w:rFonts w:asciiTheme="minorHAnsi" w:hAnsiTheme="minorHAnsi"/>
          <w:sz w:val="22"/>
          <w:szCs w:val="22"/>
        </w:rPr>
      </w:pPr>
    </w:p>
    <w:p w:rsidR="004C74C2" w:rsidRPr="00B53423" w:rsidRDefault="004C74C2" w:rsidP="0015232B">
      <w:pPr>
        <w:spacing w:line="312" w:lineRule="auto"/>
        <w:jc w:val="center"/>
        <w:rPr>
          <w:rFonts w:asciiTheme="minorHAnsi" w:hAnsiTheme="minorHAnsi"/>
          <w:b/>
          <w:sz w:val="22"/>
          <w:szCs w:val="22"/>
        </w:rPr>
      </w:pPr>
      <w:bookmarkStart w:id="401" w:name="_Ref395948771"/>
      <w:bookmarkStart w:id="402" w:name="_Toc399626316"/>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bookmarkEnd w:id="401"/>
      <w:r w:rsidRPr="00B53423">
        <w:rPr>
          <w:rFonts w:asciiTheme="minorHAnsi" w:hAnsiTheme="minorHAnsi" w:cstheme="minorHAnsi"/>
          <w:b/>
        </w:rPr>
        <w:t>: ALLOCATION OF O&amp;M EXPENSES AMONG DISTRIBUTION LICENSEES IN FY 2008-09</w:t>
      </w:r>
      <w:bookmarkEnd w:id="402"/>
      <w:r w:rsidRPr="00B53423">
        <w:rPr>
          <w:rFonts w:asciiTheme="minorHAnsi" w:hAnsiTheme="minorHAnsi" w:cstheme="minorHAnsi"/>
          <w:b/>
        </w:rPr>
        <w:t xml:space="preserve"> </w:t>
      </w:r>
    </w:p>
    <w:tbl>
      <w:tblPr>
        <w:tblW w:w="8450" w:type="dxa"/>
        <w:jc w:val="center"/>
        <w:tblInd w:w="-24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tblPr>
      <w:tblGrid>
        <w:gridCol w:w="2411"/>
        <w:gridCol w:w="2340"/>
        <w:gridCol w:w="3699"/>
      </w:tblGrid>
      <w:tr w:rsidR="004C74C2" w:rsidRPr="00B53423" w:rsidTr="009268E4">
        <w:trPr>
          <w:trHeight w:val="558"/>
          <w:tblHeader/>
          <w:jc w:val="center"/>
        </w:trPr>
        <w:tc>
          <w:tcPr>
            <w:tcW w:w="2411"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rPr>
            </w:pPr>
            <w:r w:rsidRPr="00B53423">
              <w:rPr>
                <w:b/>
                <w:bCs/>
                <w:color w:val="000000"/>
              </w:rPr>
              <w:t>Name of Distribution Licenseess</w:t>
            </w:r>
          </w:p>
        </w:tc>
        <w:tc>
          <w:tcPr>
            <w:tcW w:w="2340" w:type="dxa"/>
            <w:shd w:val="clear" w:color="auto" w:fill="DBE5F1" w:themeFill="accent1" w:themeFillTint="33"/>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Sales Input (MU)</w:t>
            </w:r>
          </w:p>
        </w:tc>
        <w:tc>
          <w:tcPr>
            <w:tcW w:w="3699" w:type="dxa"/>
            <w:shd w:val="clear" w:color="auto" w:fill="DBE5F1" w:themeFill="accent1" w:themeFillTint="33"/>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O&amp;M Expenses Allocated (Rs. Crore)</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DVVNL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883"/>
              <w:jc w:val="right"/>
              <w:rPr>
                <w:color w:val="000000"/>
              </w:rPr>
            </w:pPr>
            <w:r w:rsidRPr="00B53423">
              <w:rPr>
                <w:color w:val="000000"/>
              </w:rPr>
              <w:t>11,798</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432"/>
              <w:jc w:val="right"/>
              <w:rPr>
                <w:color w:val="000000"/>
              </w:rPr>
            </w:pPr>
            <w:r w:rsidRPr="00B53423">
              <w:rPr>
                <w:color w:val="000000"/>
              </w:rPr>
              <w:t>21.86</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left="343" w:hanging="343"/>
              <w:jc w:val="center"/>
              <w:rPr>
                <w:color w:val="000000"/>
              </w:rPr>
            </w:pPr>
            <w:r w:rsidRPr="00B53423">
              <w:rPr>
                <w:color w:val="000000"/>
              </w:rPr>
              <w:t>MVVNL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883"/>
              <w:jc w:val="right"/>
              <w:rPr>
                <w:color w:val="000000"/>
              </w:rPr>
            </w:pPr>
            <w:r w:rsidRPr="00B53423">
              <w:rPr>
                <w:color w:val="000000"/>
              </w:rPr>
              <w:t>8,872</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432"/>
              <w:jc w:val="right"/>
              <w:rPr>
                <w:color w:val="000000"/>
              </w:rPr>
            </w:pPr>
            <w:r w:rsidRPr="00B53423">
              <w:rPr>
                <w:color w:val="000000"/>
              </w:rPr>
              <w:t>16.44</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PVVNL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883"/>
              <w:jc w:val="right"/>
              <w:rPr>
                <w:color w:val="000000"/>
              </w:rPr>
            </w:pPr>
            <w:r w:rsidRPr="00B53423">
              <w:rPr>
                <w:color w:val="000000"/>
              </w:rPr>
              <w:t>17,078</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432"/>
              <w:jc w:val="right"/>
              <w:rPr>
                <w:color w:val="000000"/>
              </w:rPr>
            </w:pPr>
            <w:r w:rsidRPr="00B53423">
              <w:rPr>
                <w:color w:val="000000"/>
              </w:rPr>
              <w:t>31.64</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PuVVNL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883"/>
              <w:jc w:val="right"/>
              <w:rPr>
                <w:color w:val="000000"/>
              </w:rPr>
            </w:pPr>
            <w:r w:rsidRPr="00B53423">
              <w:rPr>
                <w:color w:val="000000"/>
              </w:rPr>
              <w:t>11,971</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432"/>
              <w:jc w:val="right"/>
              <w:rPr>
                <w:rFonts w:cs="Tahoma"/>
                <w:color w:val="000000"/>
              </w:rPr>
            </w:pPr>
            <w:r w:rsidRPr="00B53423">
              <w:rPr>
                <w:color w:val="000000"/>
              </w:rPr>
              <w:t>22.18</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KESCO</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883"/>
              <w:jc w:val="right"/>
              <w:rPr>
                <w:color w:val="000000"/>
              </w:rPr>
            </w:pPr>
            <w:r w:rsidRPr="00B53423">
              <w:rPr>
                <w:color w:val="000000"/>
              </w:rPr>
              <w:t>2,650</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432"/>
              <w:jc w:val="right"/>
              <w:rPr>
                <w:color w:val="000000"/>
              </w:rPr>
            </w:pPr>
            <w:r w:rsidRPr="00B53423">
              <w:rPr>
                <w:color w:val="000000"/>
              </w:rPr>
              <w:t>4.91</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NPCL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350</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0.65</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Total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52,719</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97.69</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bookmarkStart w:id="403" w:name="_Ref396853616"/>
      <w:r w:rsidRPr="00B53423">
        <w:t xml:space="preserve">As regards allocation of O&amp;M expenses of UPPCL, the Petitioner has not claimed the same in its True-up Petition however has submitted the details of allocation of O&amp;M expenses among Distribution Licensees in reply to the deficiency note, according to which the Petitioner’s share for FY 2008-09 works out to Rs. 4.91 Crore as shown in the </w:t>
      </w:r>
      <w:fldSimple w:instr=" REF _Ref395948771 \h  \* MERGEFORMAT ">
        <w:r w:rsidR="00847C1B" w:rsidRPr="00847C1B">
          <w:t xml:space="preserve">Table </w:t>
        </w:r>
        <w:r w:rsidR="00847C1B" w:rsidRPr="00847C1B">
          <w:rPr>
            <w:noProof/>
          </w:rPr>
          <w:t>4</w:t>
        </w:r>
        <w:r w:rsidR="00847C1B" w:rsidRPr="00847C1B">
          <w:rPr>
            <w:noProof/>
          </w:rPr>
          <w:noBreakHyphen/>
          <w:t>5</w:t>
        </w:r>
      </w:fldSimple>
      <w:r w:rsidRPr="00B53423">
        <w:t>. The Commission has considered the allocation of O&amp;M expenses while computing the BST as detailed in its</w:t>
      </w:r>
      <w:r w:rsidR="00F126DD" w:rsidRPr="00B53423">
        <w:t xml:space="preserve"> Tariff </w:t>
      </w:r>
      <w:proofErr w:type="gramStart"/>
      <w:r w:rsidRPr="00B53423">
        <w:t xml:space="preserve">Order </w:t>
      </w:r>
      <w:r w:rsidR="00F126DD" w:rsidRPr="00B53423">
        <w:t xml:space="preserve"> of</w:t>
      </w:r>
      <w:proofErr w:type="gramEnd"/>
      <w:r w:rsidR="00F126DD" w:rsidRPr="00B53423">
        <w:t xml:space="preserve"> DVVNL for FY 2014-15</w:t>
      </w:r>
      <w:r w:rsidRPr="00B53423">
        <w:t>. Hence, no separate allocation for O&amp;M expenses for UPPCL has been allowed in the True-up of FY 2008-09.</w:t>
      </w:r>
      <w:bookmarkEnd w:id="403"/>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Further, it may be noted that for Truing-up of FY 2008-09 the Commission has allowed the additional O&amp;M expenses pertaining to UPPCL as the same has been actually incurred by the Petitioner. However, the treatment of such expenses in future years has been explained in detail in Chapter </w:t>
      </w:r>
      <w:fldSimple w:instr=" REF _Ref395948907 \r \h  \* MERGEFORMAT ">
        <w:r w:rsidR="00847C1B">
          <w:t>9</w:t>
        </w:r>
      </w:fldSimple>
      <w:r w:rsidRPr="00B53423">
        <w:t xml:space="preserve"> of this Order while approving the ARR of FY 2014-15.</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has also claimed efficiency gain on account of A&amp;G expenses of Rs. 0.54 Crore in addition to A&amp;G expenses of Rs. 7.83 Crore. Regulation 2.4 and Regulation 4.11 of the Distribution Tariff Regulations, 2006 specifies as follows:</w:t>
      </w:r>
    </w:p>
    <w:p w:rsidR="004C74C2" w:rsidRPr="00B53423" w:rsidRDefault="004C74C2" w:rsidP="0015232B">
      <w:pPr>
        <w:pStyle w:val="Heading3"/>
        <w:keepNext w:val="0"/>
        <w:numPr>
          <w:ilvl w:val="0"/>
          <w:numId w:val="0"/>
        </w:numPr>
        <w:ind w:left="720"/>
        <w:rPr>
          <w:i/>
        </w:rPr>
      </w:pPr>
    </w:p>
    <w:p w:rsidR="004C74C2" w:rsidRPr="00B53423" w:rsidRDefault="004C74C2" w:rsidP="0015232B">
      <w:pPr>
        <w:pStyle w:val="Heading3"/>
        <w:keepNext w:val="0"/>
        <w:numPr>
          <w:ilvl w:val="0"/>
          <w:numId w:val="0"/>
        </w:numPr>
        <w:ind w:left="1440"/>
        <w:rPr>
          <w:i/>
        </w:rPr>
      </w:pPr>
      <w:r w:rsidRPr="00B53423">
        <w:rPr>
          <w:i/>
        </w:rPr>
        <w:t>“</w:t>
      </w:r>
      <w:r w:rsidRPr="00B53423">
        <w:rPr>
          <w:b/>
          <w:i/>
        </w:rPr>
        <w:t>2.4 Amendment of Tariffs</w:t>
      </w:r>
    </w:p>
    <w:p w:rsidR="004C74C2" w:rsidRPr="00B53423" w:rsidRDefault="004C74C2" w:rsidP="0015232B">
      <w:pPr>
        <w:pStyle w:val="Heading3"/>
        <w:keepNext w:val="0"/>
        <w:numPr>
          <w:ilvl w:val="0"/>
          <w:numId w:val="0"/>
        </w:numPr>
        <w:ind w:left="1440"/>
        <w:rPr>
          <w:i/>
        </w:rPr>
      </w:pPr>
      <w:r w:rsidRPr="00B53423">
        <w:rPr>
          <w:i/>
        </w:rPr>
        <w:t>...3. Subject to other provisions of these regulations, the ARR determined by the commission for any financial year shall be trued up on the basis of actual financial and operational results. Any deficit or surplus arising out of such true up shall be adjusted while determining the tariff for the subsequent years.</w:t>
      </w:r>
    </w:p>
    <w:p w:rsidR="004C74C2" w:rsidRPr="00B53423" w:rsidRDefault="004C74C2" w:rsidP="0015232B">
      <w:pPr>
        <w:pStyle w:val="Heading3"/>
        <w:keepNext w:val="0"/>
        <w:numPr>
          <w:ilvl w:val="0"/>
          <w:numId w:val="0"/>
        </w:numPr>
        <w:ind w:left="1440"/>
        <w:rPr>
          <w:i/>
        </w:rPr>
      </w:pPr>
    </w:p>
    <w:p w:rsidR="004C74C2" w:rsidRPr="00B53423" w:rsidRDefault="004C74C2" w:rsidP="0015232B">
      <w:pPr>
        <w:pStyle w:val="Heading3"/>
        <w:keepNext w:val="0"/>
        <w:numPr>
          <w:ilvl w:val="0"/>
          <w:numId w:val="0"/>
        </w:numPr>
        <w:ind w:left="1440"/>
        <w:rPr>
          <w:b/>
          <w:i/>
        </w:rPr>
      </w:pPr>
      <w:r w:rsidRPr="00B53423">
        <w:rPr>
          <w:i/>
        </w:rPr>
        <w:t>...Provided further that the profit arising out of improvement in operational efficiency such as over achievement of loss reduction target, better collection efficiency, saving in O&amp;M Expenditure etc. shall be shared between the distribution licensee and the consumers as specified in Para 4.11 of these regulations.</w:t>
      </w:r>
    </w:p>
    <w:p w:rsidR="004C74C2" w:rsidRPr="00B53423" w:rsidRDefault="004C74C2" w:rsidP="0015232B">
      <w:pPr>
        <w:pStyle w:val="Heading3"/>
        <w:keepNext w:val="0"/>
        <w:numPr>
          <w:ilvl w:val="0"/>
          <w:numId w:val="0"/>
        </w:numPr>
        <w:ind w:left="1440"/>
        <w:rPr>
          <w:i/>
        </w:rPr>
      </w:pPr>
    </w:p>
    <w:p w:rsidR="004C74C2" w:rsidRPr="00B53423" w:rsidRDefault="004C74C2" w:rsidP="0015232B">
      <w:pPr>
        <w:pStyle w:val="Heading3"/>
        <w:keepNext w:val="0"/>
        <w:numPr>
          <w:ilvl w:val="0"/>
          <w:numId w:val="0"/>
        </w:numPr>
        <w:ind w:left="1440"/>
        <w:rPr>
          <w:b/>
          <w:i/>
        </w:rPr>
      </w:pPr>
      <w:r w:rsidRPr="00B53423">
        <w:rPr>
          <w:b/>
          <w:i/>
        </w:rPr>
        <w:t>4.11 Profit Sharing</w:t>
      </w:r>
    </w:p>
    <w:p w:rsidR="004C74C2" w:rsidRPr="00B53423" w:rsidRDefault="004C74C2" w:rsidP="0015232B">
      <w:pPr>
        <w:pStyle w:val="Heading3"/>
        <w:keepNext w:val="0"/>
        <w:numPr>
          <w:ilvl w:val="0"/>
          <w:numId w:val="0"/>
        </w:numPr>
        <w:ind w:left="1440"/>
        <w:rPr>
          <w:i/>
        </w:rPr>
      </w:pPr>
      <w:r w:rsidRPr="00B53423">
        <w:rPr>
          <w:i/>
        </w:rPr>
        <w:t>...2. However, if the licensee makes more profit than the approved return on account of improved performance by way of reduction of Distribution Losses, better collection efficiency etc., the Commission may treat the profit beyond the approved return in the following manner:</w:t>
      </w:r>
    </w:p>
    <w:p w:rsidR="004C74C2" w:rsidRPr="00B53423" w:rsidRDefault="004C74C2" w:rsidP="0015232B">
      <w:pPr>
        <w:pStyle w:val="Heading3"/>
        <w:keepNext w:val="0"/>
        <w:numPr>
          <w:ilvl w:val="0"/>
          <w:numId w:val="0"/>
        </w:numPr>
        <w:ind w:left="1440"/>
        <w:rPr>
          <w:i/>
        </w:rPr>
      </w:pPr>
      <w:r w:rsidRPr="00B53423">
        <w:rPr>
          <w:i/>
        </w:rPr>
        <w:t xml:space="preserve">(i) Licensee shall be entitled to retain 50% of the additional profit earned on account of operational efficiencies </w:t>
      </w:r>
    </w:p>
    <w:p w:rsidR="004C74C2" w:rsidRPr="00B53423" w:rsidRDefault="004C74C2" w:rsidP="0015232B">
      <w:pPr>
        <w:pStyle w:val="Heading3"/>
        <w:keepNext w:val="0"/>
        <w:numPr>
          <w:ilvl w:val="0"/>
          <w:numId w:val="0"/>
        </w:numPr>
        <w:ind w:left="1440"/>
        <w:rPr>
          <w:i/>
        </w:rPr>
      </w:pPr>
      <w:r w:rsidRPr="00B53423">
        <w:rPr>
          <w:i/>
        </w:rPr>
        <w:t>(ii) 25% shall be credited to the licensee's contingency reserve.</w:t>
      </w:r>
    </w:p>
    <w:p w:rsidR="004C74C2" w:rsidRPr="00B53423" w:rsidRDefault="004C74C2" w:rsidP="0015232B">
      <w:pPr>
        <w:pStyle w:val="Heading3"/>
        <w:keepNext w:val="0"/>
        <w:numPr>
          <w:ilvl w:val="0"/>
          <w:numId w:val="0"/>
        </w:numPr>
        <w:ind w:left="1440"/>
        <w:rPr>
          <w:i/>
        </w:rPr>
      </w:pPr>
      <w:r w:rsidRPr="00B53423">
        <w:rPr>
          <w:i/>
        </w:rPr>
        <w:t>(iii) The remaining 25% shall be passed on to the consumers by way of reduction in ARR.”</w:t>
      </w:r>
    </w:p>
    <w:p w:rsidR="004C74C2" w:rsidRPr="00B53423" w:rsidRDefault="004C74C2" w:rsidP="0015232B">
      <w:pPr>
        <w:pStyle w:val="Heading3"/>
        <w:keepNext w:val="0"/>
        <w:numPr>
          <w:ilvl w:val="0"/>
          <w:numId w:val="0"/>
        </w:numPr>
        <w:ind w:left="720"/>
        <w:rPr>
          <w:i/>
        </w:rPr>
      </w:pPr>
    </w:p>
    <w:p w:rsidR="004C74C2" w:rsidRPr="00B53423" w:rsidRDefault="004C74C2" w:rsidP="0015232B">
      <w:pPr>
        <w:pStyle w:val="Heading3"/>
        <w:keepNext w:val="0"/>
        <w:ind w:hanging="1080"/>
      </w:pPr>
      <w:bookmarkStart w:id="404" w:name="_Ref396853647"/>
      <w:r w:rsidRPr="00B53423">
        <w:t>The above Regulations allows sharing of efficiency gains on account of total O&amp;M expenses and not on the basis of individual heads of O&amp;M expenses as claimed by the Petitioner. Since, the actual O&amp;M expenses for FY 2008-09 are lower than the normative O&amp;M expenses sharing of actual O&amp;M expenses with the normative O&amp;M expenses have been done in accordance with the above Regulations.  The sharing of O&amp;M expense for FY 2008-09 works out to Rs. 8.42 Crore as against Rs. 0.54 Crore claimed by the Petitioner. However, the Commission has allowed sharing of efficiency gain separately in the ARR for FY 2008-09 and has not considered the same as part of O&amp;M expenses as claimed by the Petitioner.</w:t>
      </w:r>
      <w:bookmarkEnd w:id="404"/>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Accordingly, the summary of O&amp;M expenses approved in the Tariff Order, claimed by the Petitioner and that approved by the Commission in this Order for Truing-up of FY 2008-09, is shown in the Table below:</w:t>
      </w:r>
    </w:p>
    <w:p w:rsidR="004C74C2" w:rsidRPr="00B53423" w:rsidRDefault="004C74C2" w:rsidP="0015232B">
      <w:pPr>
        <w:jc w:val="center"/>
        <w:rPr>
          <w:rFonts w:asciiTheme="minorHAnsi" w:hAnsiTheme="minorHAnsi" w:cstheme="minorHAnsi"/>
          <w:b/>
        </w:rPr>
      </w:pPr>
    </w:p>
    <w:p w:rsidR="004C74C2" w:rsidRPr="00B53423" w:rsidRDefault="004C74C2" w:rsidP="0015232B">
      <w:pPr>
        <w:jc w:val="center"/>
        <w:rPr>
          <w:rFonts w:asciiTheme="minorHAnsi" w:hAnsiTheme="minorHAnsi" w:cstheme="minorHAnsi"/>
          <w:b/>
        </w:rPr>
      </w:pPr>
      <w:bookmarkStart w:id="405" w:name="_Toc399626317"/>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t>: O&amp;M EXPENSES APPROVED BY THE COMMISSION (Rs. Crore)</w:t>
      </w:r>
      <w:bookmarkEnd w:id="405"/>
    </w:p>
    <w:tbl>
      <w:tblPr>
        <w:tblW w:w="5774" w:type="pct"/>
        <w:tblInd w:w="-9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925"/>
        <w:gridCol w:w="1071"/>
        <w:gridCol w:w="1215"/>
        <w:gridCol w:w="1172"/>
        <w:gridCol w:w="1619"/>
        <w:gridCol w:w="1258"/>
      </w:tblGrid>
      <w:tr w:rsidR="00856959" w:rsidRPr="00B53423" w:rsidTr="007F03AB">
        <w:trPr>
          <w:trHeight w:val="1200"/>
          <w:tblHeader/>
        </w:trPr>
        <w:tc>
          <w:tcPr>
            <w:tcW w:w="1913" w:type="pct"/>
            <w:shd w:val="clear" w:color="auto" w:fill="DBE5F1" w:themeFill="accent1" w:themeFillTint="33"/>
            <w:noWrap/>
            <w:vAlign w:val="center"/>
            <w:hideMark/>
          </w:tcPr>
          <w:p w:rsidR="00564993" w:rsidRPr="00B53423" w:rsidRDefault="003A6B3B" w:rsidP="0015232B">
            <w:pPr>
              <w:pStyle w:val="NoSpacing"/>
              <w:jc w:val="center"/>
              <w:rPr>
                <w:b/>
              </w:rPr>
            </w:pPr>
            <w:r w:rsidRPr="00B53423">
              <w:rPr>
                <w:b/>
              </w:rPr>
              <w:t>Particulars</w:t>
            </w:r>
          </w:p>
        </w:tc>
        <w:tc>
          <w:tcPr>
            <w:tcW w:w="522" w:type="pct"/>
            <w:shd w:val="clear" w:color="auto" w:fill="DBE5F1" w:themeFill="accent1" w:themeFillTint="33"/>
            <w:vAlign w:val="center"/>
            <w:hideMark/>
          </w:tcPr>
          <w:p w:rsidR="00564993" w:rsidRPr="00B53423" w:rsidRDefault="003A6B3B" w:rsidP="0015232B">
            <w:pPr>
              <w:pStyle w:val="NoSpacing"/>
              <w:jc w:val="center"/>
              <w:rPr>
                <w:b/>
              </w:rPr>
            </w:pPr>
            <w:r w:rsidRPr="00B53423">
              <w:rPr>
                <w:b/>
              </w:rPr>
              <w:t>Tariff Order</w:t>
            </w:r>
          </w:p>
        </w:tc>
        <w:tc>
          <w:tcPr>
            <w:tcW w:w="592" w:type="pct"/>
            <w:shd w:val="clear" w:color="auto" w:fill="DBE5F1" w:themeFill="accent1" w:themeFillTint="33"/>
            <w:vAlign w:val="center"/>
            <w:hideMark/>
          </w:tcPr>
          <w:p w:rsidR="00564993" w:rsidRPr="00B53423" w:rsidRDefault="003A6B3B" w:rsidP="0015232B">
            <w:pPr>
              <w:pStyle w:val="NoSpacing"/>
              <w:jc w:val="center"/>
              <w:rPr>
                <w:b/>
              </w:rPr>
            </w:pPr>
            <w:r w:rsidRPr="00B53423">
              <w:rPr>
                <w:b/>
              </w:rPr>
              <w:t>Actuals as per Audited Accounts</w:t>
            </w:r>
          </w:p>
        </w:tc>
        <w:tc>
          <w:tcPr>
            <w:tcW w:w="571" w:type="pct"/>
            <w:shd w:val="clear" w:color="auto" w:fill="DBE5F1" w:themeFill="accent1" w:themeFillTint="33"/>
            <w:vAlign w:val="center"/>
            <w:hideMark/>
          </w:tcPr>
          <w:p w:rsidR="00564993" w:rsidRPr="00B53423" w:rsidRDefault="003A6B3B" w:rsidP="0015232B">
            <w:pPr>
              <w:pStyle w:val="NoSpacing"/>
              <w:jc w:val="center"/>
              <w:rPr>
                <w:b/>
              </w:rPr>
            </w:pPr>
            <w:r w:rsidRPr="00B53423">
              <w:rPr>
                <w:b/>
              </w:rPr>
              <w:t>True-up Petition</w:t>
            </w:r>
          </w:p>
        </w:tc>
        <w:tc>
          <w:tcPr>
            <w:tcW w:w="789" w:type="pct"/>
            <w:shd w:val="clear" w:color="auto" w:fill="DBE5F1" w:themeFill="accent1" w:themeFillTint="33"/>
            <w:vAlign w:val="center"/>
            <w:hideMark/>
          </w:tcPr>
          <w:p w:rsidR="00564993" w:rsidRPr="00B53423" w:rsidRDefault="003A6B3B" w:rsidP="0015232B">
            <w:pPr>
              <w:pStyle w:val="NoSpacing"/>
              <w:jc w:val="center"/>
              <w:rPr>
                <w:b/>
              </w:rPr>
            </w:pPr>
            <w:r w:rsidRPr="00B53423">
              <w:rPr>
                <w:b/>
              </w:rPr>
              <w:t>Normative Computed in this Order</w:t>
            </w:r>
          </w:p>
        </w:tc>
        <w:tc>
          <w:tcPr>
            <w:tcW w:w="614" w:type="pct"/>
            <w:shd w:val="clear" w:color="auto" w:fill="DBE5F1" w:themeFill="accent1" w:themeFillTint="33"/>
            <w:vAlign w:val="center"/>
            <w:hideMark/>
          </w:tcPr>
          <w:p w:rsidR="00564993" w:rsidRPr="00B53423" w:rsidRDefault="003A6B3B" w:rsidP="0015232B">
            <w:pPr>
              <w:pStyle w:val="NoSpacing"/>
              <w:jc w:val="center"/>
              <w:rPr>
                <w:b/>
              </w:rPr>
            </w:pPr>
            <w:r w:rsidRPr="00B53423">
              <w:rPr>
                <w:b/>
              </w:rPr>
              <w:t>Allowable</w:t>
            </w:r>
          </w:p>
        </w:tc>
      </w:tr>
      <w:tr w:rsidR="00856959" w:rsidRPr="00B53423" w:rsidTr="007F03AB">
        <w:trPr>
          <w:trHeight w:val="300"/>
        </w:trPr>
        <w:tc>
          <w:tcPr>
            <w:tcW w:w="1913" w:type="pct"/>
            <w:shd w:val="clear" w:color="auto" w:fill="auto"/>
            <w:noWrap/>
            <w:vAlign w:val="bottom"/>
            <w:hideMark/>
          </w:tcPr>
          <w:p w:rsidR="00564993" w:rsidRPr="00B53423" w:rsidRDefault="008E5045" w:rsidP="0015232B">
            <w:pPr>
              <w:pStyle w:val="NoSpacing"/>
            </w:pPr>
            <w:r w:rsidRPr="00B53423">
              <w:t>Employee Expenses#</w:t>
            </w:r>
          </w:p>
        </w:tc>
        <w:tc>
          <w:tcPr>
            <w:tcW w:w="522" w:type="pct"/>
            <w:shd w:val="clear" w:color="auto" w:fill="auto"/>
            <w:vAlign w:val="bottom"/>
            <w:hideMark/>
          </w:tcPr>
          <w:p w:rsidR="00564993" w:rsidRPr="00B53423" w:rsidRDefault="008E5045" w:rsidP="0015232B">
            <w:pPr>
              <w:pStyle w:val="NoSpacing"/>
              <w:jc w:val="right"/>
            </w:pPr>
            <w:r w:rsidRPr="00B53423">
              <w:t>63.40</w:t>
            </w:r>
          </w:p>
        </w:tc>
        <w:tc>
          <w:tcPr>
            <w:tcW w:w="592" w:type="pct"/>
            <w:shd w:val="clear" w:color="auto" w:fill="auto"/>
            <w:vAlign w:val="bottom"/>
            <w:hideMark/>
          </w:tcPr>
          <w:p w:rsidR="00564993" w:rsidRPr="00B53423" w:rsidRDefault="008E5045" w:rsidP="0015232B">
            <w:pPr>
              <w:pStyle w:val="NoSpacing"/>
              <w:jc w:val="right"/>
            </w:pPr>
            <w:r w:rsidRPr="00B53423">
              <w:t>103.25</w:t>
            </w:r>
          </w:p>
        </w:tc>
        <w:tc>
          <w:tcPr>
            <w:tcW w:w="571" w:type="pct"/>
            <w:shd w:val="clear" w:color="auto" w:fill="auto"/>
            <w:vAlign w:val="bottom"/>
            <w:hideMark/>
          </w:tcPr>
          <w:p w:rsidR="00564993" w:rsidRPr="00B53423" w:rsidRDefault="008E5045" w:rsidP="0015232B">
            <w:pPr>
              <w:pStyle w:val="NoSpacing"/>
              <w:jc w:val="right"/>
            </w:pPr>
            <w:r w:rsidRPr="00B53423">
              <w:t>103.25</w:t>
            </w:r>
          </w:p>
        </w:tc>
        <w:tc>
          <w:tcPr>
            <w:tcW w:w="789" w:type="pct"/>
            <w:shd w:val="clear" w:color="auto" w:fill="auto"/>
            <w:noWrap/>
            <w:vAlign w:val="bottom"/>
            <w:hideMark/>
          </w:tcPr>
          <w:p w:rsidR="00564993" w:rsidRPr="00B53423" w:rsidRDefault="008E5045" w:rsidP="0015232B">
            <w:pPr>
              <w:pStyle w:val="NoSpacing"/>
              <w:jc w:val="right"/>
            </w:pPr>
            <w:r w:rsidRPr="00B53423">
              <w:t xml:space="preserve">     103.67</w:t>
            </w:r>
          </w:p>
        </w:tc>
        <w:tc>
          <w:tcPr>
            <w:tcW w:w="614" w:type="pct"/>
            <w:shd w:val="clear" w:color="auto" w:fill="auto"/>
            <w:vAlign w:val="bottom"/>
            <w:hideMark/>
          </w:tcPr>
          <w:p w:rsidR="00564993" w:rsidRPr="00B53423" w:rsidRDefault="008E5045" w:rsidP="0015232B">
            <w:pPr>
              <w:pStyle w:val="NoSpacing"/>
              <w:jc w:val="right"/>
            </w:pPr>
            <w:r w:rsidRPr="00B53423">
              <w:t>103.25</w:t>
            </w:r>
          </w:p>
        </w:tc>
      </w:tr>
      <w:tr w:rsidR="00856959" w:rsidRPr="00B53423" w:rsidTr="007F03AB">
        <w:trPr>
          <w:trHeight w:val="300"/>
        </w:trPr>
        <w:tc>
          <w:tcPr>
            <w:tcW w:w="1913" w:type="pct"/>
            <w:shd w:val="clear" w:color="auto" w:fill="auto"/>
            <w:noWrap/>
            <w:vAlign w:val="bottom"/>
            <w:hideMark/>
          </w:tcPr>
          <w:p w:rsidR="00564993" w:rsidRPr="00B53423" w:rsidRDefault="008E5045" w:rsidP="0015232B">
            <w:pPr>
              <w:pStyle w:val="NoSpacing"/>
            </w:pPr>
            <w:r w:rsidRPr="00B53423">
              <w:t>Repair &amp; Maintenance Expenses</w:t>
            </w:r>
          </w:p>
        </w:tc>
        <w:tc>
          <w:tcPr>
            <w:tcW w:w="522" w:type="pct"/>
            <w:shd w:val="clear" w:color="auto" w:fill="auto"/>
            <w:vAlign w:val="bottom"/>
            <w:hideMark/>
          </w:tcPr>
          <w:p w:rsidR="00564993" w:rsidRPr="00B53423" w:rsidRDefault="008E5045" w:rsidP="0015232B">
            <w:pPr>
              <w:pStyle w:val="NoSpacing"/>
              <w:jc w:val="right"/>
            </w:pPr>
            <w:r w:rsidRPr="00B53423">
              <w:t>11.50</w:t>
            </w:r>
          </w:p>
        </w:tc>
        <w:tc>
          <w:tcPr>
            <w:tcW w:w="592" w:type="pct"/>
            <w:shd w:val="clear" w:color="auto" w:fill="auto"/>
            <w:vAlign w:val="bottom"/>
            <w:hideMark/>
          </w:tcPr>
          <w:p w:rsidR="00564993" w:rsidRPr="00B53423" w:rsidRDefault="008E5045" w:rsidP="0015232B">
            <w:pPr>
              <w:pStyle w:val="NoSpacing"/>
              <w:jc w:val="right"/>
            </w:pPr>
            <w:r w:rsidRPr="00B53423">
              <w:t>14.01</w:t>
            </w:r>
          </w:p>
        </w:tc>
        <w:tc>
          <w:tcPr>
            <w:tcW w:w="571" w:type="pct"/>
            <w:shd w:val="clear" w:color="auto" w:fill="auto"/>
            <w:vAlign w:val="bottom"/>
            <w:hideMark/>
          </w:tcPr>
          <w:p w:rsidR="00564993" w:rsidRPr="00B53423" w:rsidRDefault="008E5045" w:rsidP="0015232B">
            <w:pPr>
              <w:pStyle w:val="NoSpacing"/>
              <w:jc w:val="right"/>
            </w:pPr>
            <w:r w:rsidRPr="00B53423">
              <w:t>14.01</w:t>
            </w:r>
          </w:p>
        </w:tc>
        <w:tc>
          <w:tcPr>
            <w:tcW w:w="789" w:type="pct"/>
            <w:shd w:val="clear" w:color="auto" w:fill="auto"/>
            <w:noWrap/>
            <w:vAlign w:val="bottom"/>
            <w:hideMark/>
          </w:tcPr>
          <w:p w:rsidR="00564993" w:rsidRPr="00B53423" w:rsidRDefault="008E5045" w:rsidP="0015232B">
            <w:pPr>
              <w:pStyle w:val="NoSpacing"/>
              <w:jc w:val="right"/>
            </w:pPr>
            <w:r w:rsidRPr="00B53423">
              <w:t>34.07</w:t>
            </w:r>
          </w:p>
        </w:tc>
        <w:tc>
          <w:tcPr>
            <w:tcW w:w="614" w:type="pct"/>
            <w:shd w:val="clear" w:color="auto" w:fill="auto"/>
            <w:vAlign w:val="bottom"/>
            <w:hideMark/>
          </w:tcPr>
          <w:p w:rsidR="00564993" w:rsidRPr="00B53423" w:rsidRDefault="008E5045" w:rsidP="0015232B">
            <w:pPr>
              <w:pStyle w:val="NoSpacing"/>
              <w:jc w:val="right"/>
            </w:pPr>
            <w:r w:rsidRPr="00B53423">
              <w:t>14.01</w:t>
            </w:r>
          </w:p>
        </w:tc>
      </w:tr>
      <w:tr w:rsidR="00856959" w:rsidRPr="00B53423" w:rsidTr="007F03AB">
        <w:trPr>
          <w:trHeight w:val="300"/>
        </w:trPr>
        <w:tc>
          <w:tcPr>
            <w:tcW w:w="1913" w:type="pct"/>
            <w:shd w:val="clear" w:color="auto" w:fill="auto"/>
            <w:noWrap/>
            <w:vAlign w:val="bottom"/>
            <w:hideMark/>
          </w:tcPr>
          <w:p w:rsidR="00564993" w:rsidRPr="00B53423" w:rsidRDefault="008E5045" w:rsidP="0015232B">
            <w:pPr>
              <w:pStyle w:val="NoSpacing"/>
            </w:pPr>
            <w:r w:rsidRPr="00B53423">
              <w:t>Administrative and General Expenses</w:t>
            </w:r>
          </w:p>
        </w:tc>
        <w:tc>
          <w:tcPr>
            <w:tcW w:w="522" w:type="pct"/>
            <w:shd w:val="clear" w:color="auto" w:fill="auto"/>
            <w:vAlign w:val="bottom"/>
            <w:hideMark/>
          </w:tcPr>
          <w:p w:rsidR="00564993" w:rsidRPr="00B53423" w:rsidRDefault="008E5045" w:rsidP="0015232B">
            <w:pPr>
              <w:pStyle w:val="NoSpacing"/>
              <w:jc w:val="right"/>
            </w:pPr>
            <w:r w:rsidRPr="00B53423">
              <w:t>10.49</w:t>
            </w:r>
          </w:p>
        </w:tc>
        <w:tc>
          <w:tcPr>
            <w:tcW w:w="592" w:type="pct"/>
            <w:shd w:val="clear" w:color="auto" w:fill="auto"/>
            <w:vAlign w:val="bottom"/>
            <w:hideMark/>
          </w:tcPr>
          <w:p w:rsidR="00564993" w:rsidRPr="00B53423" w:rsidRDefault="008E5045" w:rsidP="0015232B">
            <w:pPr>
              <w:pStyle w:val="NoSpacing"/>
              <w:jc w:val="right"/>
            </w:pPr>
            <w:r w:rsidRPr="00B53423">
              <w:t>7.84</w:t>
            </w:r>
          </w:p>
        </w:tc>
        <w:tc>
          <w:tcPr>
            <w:tcW w:w="571" w:type="pct"/>
            <w:shd w:val="clear" w:color="auto" w:fill="auto"/>
            <w:vAlign w:val="bottom"/>
            <w:hideMark/>
          </w:tcPr>
          <w:p w:rsidR="00564993" w:rsidRPr="00B53423" w:rsidRDefault="008E5045" w:rsidP="0015232B">
            <w:pPr>
              <w:pStyle w:val="NoSpacing"/>
              <w:jc w:val="right"/>
            </w:pPr>
            <w:r w:rsidRPr="00B53423">
              <w:t>7.84</w:t>
            </w:r>
          </w:p>
        </w:tc>
        <w:tc>
          <w:tcPr>
            <w:tcW w:w="789" w:type="pct"/>
            <w:shd w:val="clear" w:color="auto" w:fill="auto"/>
            <w:noWrap/>
            <w:vAlign w:val="bottom"/>
            <w:hideMark/>
          </w:tcPr>
          <w:p w:rsidR="00564993" w:rsidRPr="00B53423" w:rsidRDefault="008E5045" w:rsidP="0015232B">
            <w:pPr>
              <w:pStyle w:val="NoSpacing"/>
              <w:jc w:val="right"/>
              <w:rPr>
                <w:sz w:val="24"/>
                <w:szCs w:val="24"/>
              </w:rPr>
            </w:pPr>
            <w:r w:rsidRPr="00B53423">
              <w:t>4.19</w:t>
            </w:r>
          </w:p>
        </w:tc>
        <w:tc>
          <w:tcPr>
            <w:tcW w:w="614" w:type="pct"/>
            <w:shd w:val="clear" w:color="auto" w:fill="auto"/>
            <w:vAlign w:val="bottom"/>
            <w:hideMark/>
          </w:tcPr>
          <w:p w:rsidR="00564993" w:rsidRPr="00B53423" w:rsidRDefault="008E5045" w:rsidP="0015232B">
            <w:pPr>
              <w:pStyle w:val="NoSpacing"/>
              <w:jc w:val="right"/>
              <w:rPr>
                <w:sz w:val="24"/>
                <w:szCs w:val="24"/>
              </w:rPr>
            </w:pPr>
            <w:r w:rsidRPr="00B53423">
              <w:t>7.84</w:t>
            </w:r>
          </w:p>
        </w:tc>
      </w:tr>
      <w:tr w:rsidR="00856959" w:rsidRPr="00B53423" w:rsidTr="007F03AB">
        <w:trPr>
          <w:trHeight w:val="300"/>
        </w:trPr>
        <w:tc>
          <w:tcPr>
            <w:tcW w:w="1913" w:type="pct"/>
            <w:shd w:val="clear" w:color="auto" w:fill="auto"/>
            <w:noWrap/>
            <w:vAlign w:val="bottom"/>
            <w:hideMark/>
          </w:tcPr>
          <w:p w:rsidR="00564993" w:rsidRPr="00B53423" w:rsidRDefault="008E5045" w:rsidP="0015232B">
            <w:pPr>
              <w:pStyle w:val="NoSpacing"/>
              <w:rPr>
                <w:sz w:val="24"/>
                <w:szCs w:val="24"/>
              </w:rPr>
            </w:pPr>
            <w:r w:rsidRPr="00B53423">
              <w:t>Gross Operation and Maintenance Expenses</w:t>
            </w:r>
          </w:p>
        </w:tc>
        <w:tc>
          <w:tcPr>
            <w:tcW w:w="522" w:type="pct"/>
            <w:shd w:val="clear" w:color="auto" w:fill="auto"/>
            <w:vAlign w:val="bottom"/>
            <w:hideMark/>
          </w:tcPr>
          <w:p w:rsidR="00564993" w:rsidRPr="00B53423" w:rsidRDefault="003A6B3B" w:rsidP="0015232B">
            <w:pPr>
              <w:pStyle w:val="NoSpacing"/>
              <w:jc w:val="right"/>
              <w:rPr>
                <w:b/>
              </w:rPr>
            </w:pPr>
            <w:r w:rsidRPr="00B53423">
              <w:rPr>
                <w:b/>
              </w:rPr>
              <w:t>85.39</w:t>
            </w:r>
          </w:p>
        </w:tc>
        <w:tc>
          <w:tcPr>
            <w:tcW w:w="592" w:type="pct"/>
            <w:shd w:val="clear" w:color="auto" w:fill="auto"/>
            <w:vAlign w:val="bottom"/>
            <w:hideMark/>
          </w:tcPr>
          <w:p w:rsidR="00564993" w:rsidRPr="00B53423" w:rsidRDefault="003A6B3B" w:rsidP="0015232B">
            <w:pPr>
              <w:pStyle w:val="NoSpacing"/>
              <w:jc w:val="right"/>
              <w:rPr>
                <w:b/>
              </w:rPr>
            </w:pPr>
            <w:r w:rsidRPr="00B53423">
              <w:rPr>
                <w:b/>
              </w:rPr>
              <w:t>125.10</w:t>
            </w:r>
          </w:p>
        </w:tc>
        <w:tc>
          <w:tcPr>
            <w:tcW w:w="571" w:type="pct"/>
            <w:shd w:val="clear" w:color="auto" w:fill="auto"/>
            <w:vAlign w:val="bottom"/>
            <w:hideMark/>
          </w:tcPr>
          <w:p w:rsidR="00564993" w:rsidRPr="00B53423" w:rsidRDefault="003A6B3B" w:rsidP="0015232B">
            <w:pPr>
              <w:pStyle w:val="NoSpacing"/>
              <w:jc w:val="right"/>
              <w:rPr>
                <w:b/>
              </w:rPr>
            </w:pPr>
            <w:r w:rsidRPr="00B53423">
              <w:rPr>
                <w:b/>
              </w:rPr>
              <w:t>125.10</w:t>
            </w:r>
          </w:p>
        </w:tc>
        <w:tc>
          <w:tcPr>
            <w:tcW w:w="789" w:type="pct"/>
            <w:shd w:val="clear" w:color="auto" w:fill="auto"/>
            <w:vAlign w:val="bottom"/>
            <w:hideMark/>
          </w:tcPr>
          <w:p w:rsidR="00564993" w:rsidRPr="00B53423" w:rsidRDefault="003A6B3B" w:rsidP="0015232B">
            <w:pPr>
              <w:pStyle w:val="NoSpacing"/>
              <w:jc w:val="right"/>
              <w:rPr>
                <w:b/>
              </w:rPr>
            </w:pPr>
            <w:r w:rsidRPr="00B53423">
              <w:rPr>
                <w:b/>
              </w:rPr>
              <w:t>141.93</w:t>
            </w:r>
          </w:p>
        </w:tc>
        <w:tc>
          <w:tcPr>
            <w:tcW w:w="614" w:type="pct"/>
            <w:shd w:val="clear" w:color="auto" w:fill="auto"/>
            <w:vAlign w:val="bottom"/>
            <w:hideMark/>
          </w:tcPr>
          <w:p w:rsidR="00564993" w:rsidRPr="00B53423" w:rsidRDefault="003A6B3B" w:rsidP="0015232B">
            <w:pPr>
              <w:pStyle w:val="NoSpacing"/>
              <w:jc w:val="right"/>
              <w:rPr>
                <w:b/>
              </w:rPr>
            </w:pPr>
            <w:r w:rsidRPr="00B53423">
              <w:rPr>
                <w:b/>
              </w:rPr>
              <w:t>125.10</w:t>
            </w:r>
          </w:p>
        </w:tc>
      </w:tr>
      <w:tr w:rsidR="00856959" w:rsidRPr="00B53423" w:rsidTr="007F03AB">
        <w:trPr>
          <w:trHeight w:val="300"/>
        </w:trPr>
        <w:tc>
          <w:tcPr>
            <w:tcW w:w="1913" w:type="pct"/>
            <w:shd w:val="clear" w:color="auto" w:fill="auto"/>
            <w:noWrap/>
            <w:vAlign w:val="bottom"/>
            <w:hideMark/>
          </w:tcPr>
          <w:p w:rsidR="00564993" w:rsidRPr="00B53423" w:rsidRDefault="008E5045" w:rsidP="0015232B">
            <w:pPr>
              <w:pStyle w:val="NoSpacing"/>
              <w:rPr>
                <w:sz w:val="24"/>
                <w:szCs w:val="24"/>
              </w:rPr>
            </w:pPr>
            <w:r w:rsidRPr="00B53423">
              <w:t>Less: Capitalisation</w:t>
            </w:r>
          </w:p>
        </w:tc>
        <w:tc>
          <w:tcPr>
            <w:tcW w:w="522" w:type="pct"/>
            <w:shd w:val="clear" w:color="auto" w:fill="auto"/>
            <w:vAlign w:val="bottom"/>
            <w:hideMark/>
          </w:tcPr>
          <w:p w:rsidR="00564993" w:rsidRPr="00B53423" w:rsidRDefault="00564993" w:rsidP="0015232B">
            <w:pPr>
              <w:pStyle w:val="NoSpacing"/>
              <w:jc w:val="right"/>
              <w:rPr>
                <w:sz w:val="24"/>
                <w:szCs w:val="24"/>
              </w:rPr>
            </w:pPr>
          </w:p>
        </w:tc>
        <w:tc>
          <w:tcPr>
            <w:tcW w:w="592" w:type="pct"/>
            <w:shd w:val="clear" w:color="auto" w:fill="auto"/>
            <w:vAlign w:val="bottom"/>
            <w:hideMark/>
          </w:tcPr>
          <w:p w:rsidR="00564993" w:rsidRPr="00B53423" w:rsidRDefault="00564993" w:rsidP="0015232B">
            <w:pPr>
              <w:pStyle w:val="NoSpacing"/>
              <w:jc w:val="right"/>
              <w:rPr>
                <w:sz w:val="24"/>
                <w:szCs w:val="24"/>
              </w:rPr>
            </w:pPr>
          </w:p>
        </w:tc>
        <w:tc>
          <w:tcPr>
            <w:tcW w:w="571" w:type="pct"/>
            <w:shd w:val="clear" w:color="auto" w:fill="auto"/>
            <w:vAlign w:val="bottom"/>
            <w:hideMark/>
          </w:tcPr>
          <w:p w:rsidR="00564993" w:rsidRPr="00B53423" w:rsidRDefault="00564993" w:rsidP="0015232B">
            <w:pPr>
              <w:pStyle w:val="NoSpacing"/>
              <w:jc w:val="right"/>
              <w:rPr>
                <w:sz w:val="24"/>
                <w:szCs w:val="24"/>
              </w:rPr>
            </w:pPr>
          </w:p>
        </w:tc>
        <w:tc>
          <w:tcPr>
            <w:tcW w:w="789" w:type="pct"/>
            <w:shd w:val="clear" w:color="auto" w:fill="auto"/>
            <w:noWrap/>
            <w:vAlign w:val="bottom"/>
            <w:hideMark/>
          </w:tcPr>
          <w:p w:rsidR="00564993" w:rsidRPr="00B53423" w:rsidRDefault="00564993" w:rsidP="0015232B">
            <w:pPr>
              <w:pStyle w:val="NoSpacing"/>
              <w:jc w:val="right"/>
              <w:rPr>
                <w:sz w:val="24"/>
                <w:szCs w:val="24"/>
              </w:rPr>
            </w:pPr>
          </w:p>
        </w:tc>
        <w:tc>
          <w:tcPr>
            <w:tcW w:w="614" w:type="pct"/>
            <w:shd w:val="clear" w:color="auto" w:fill="auto"/>
            <w:vAlign w:val="bottom"/>
            <w:hideMark/>
          </w:tcPr>
          <w:p w:rsidR="00564993" w:rsidRPr="00B53423" w:rsidRDefault="00564993" w:rsidP="0015232B">
            <w:pPr>
              <w:pStyle w:val="NoSpacing"/>
              <w:jc w:val="right"/>
              <w:rPr>
                <w:sz w:val="24"/>
                <w:szCs w:val="24"/>
              </w:rPr>
            </w:pPr>
          </w:p>
        </w:tc>
      </w:tr>
      <w:tr w:rsidR="00856959" w:rsidRPr="00B53423" w:rsidTr="007F03AB">
        <w:trPr>
          <w:trHeight w:val="300"/>
        </w:trPr>
        <w:tc>
          <w:tcPr>
            <w:tcW w:w="1913" w:type="pct"/>
            <w:shd w:val="clear" w:color="auto" w:fill="auto"/>
            <w:noWrap/>
            <w:vAlign w:val="bottom"/>
            <w:hideMark/>
          </w:tcPr>
          <w:p w:rsidR="00564993" w:rsidRPr="00B53423" w:rsidRDefault="008E5045" w:rsidP="0015232B">
            <w:pPr>
              <w:pStyle w:val="NoSpacing"/>
              <w:rPr>
                <w:sz w:val="24"/>
                <w:szCs w:val="24"/>
              </w:rPr>
            </w:pPr>
            <w:r w:rsidRPr="00B53423">
              <w:t>Employee Cost Capitalized</w:t>
            </w:r>
          </w:p>
        </w:tc>
        <w:tc>
          <w:tcPr>
            <w:tcW w:w="522" w:type="pct"/>
            <w:shd w:val="clear" w:color="auto" w:fill="auto"/>
            <w:vAlign w:val="bottom"/>
            <w:hideMark/>
          </w:tcPr>
          <w:p w:rsidR="00564993" w:rsidRPr="00B53423" w:rsidRDefault="008E5045" w:rsidP="0015232B">
            <w:pPr>
              <w:pStyle w:val="NoSpacing"/>
              <w:jc w:val="right"/>
              <w:rPr>
                <w:sz w:val="24"/>
                <w:szCs w:val="24"/>
              </w:rPr>
            </w:pPr>
            <w:r w:rsidRPr="00B53423">
              <w:t>9.51</w:t>
            </w:r>
          </w:p>
        </w:tc>
        <w:tc>
          <w:tcPr>
            <w:tcW w:w="592" w:type="pct"/>
            <w:shd w:val="clear" w:color="auto" w:fill="auto"/>
            <w:vAlign w:val="bottom"/>
            <w:hideMark/>
          </w:tcPr>
          <w:p w:rsidR="00564993" w:rsidRPr="00B53423" w:rsidRDefault="008E5045" w:rsidP="0015232B">
            <w:pPr>
              <w:pStyle w:val="NoSpacing"/>
              <w:jc w:val="right"/>
              <w:rPr>
                <w:sz w:val="24"/>
                <w:szCs w:val="24"/>
              </w:rPr>
            </w:pPr>
            <w:r w:rsidRPr="00B53423">
              <w:t>2.66</w:t>
            </w:r>
          </w:p>
        </w:tc>
        <w:tc>
          <w:tcPr>
            <w:tcW w:w="571" w:type="pct"/>
            <w:shd w:val="clear" w:color="auto" w:fill="auto"/>
            <w:vAlign w:val="bottom"/>
            <w:hideMark/>
          </w:tcPr>
          <w:p w:rsidR="00564993" w:rsidRPr="00B53423" w:rsidRDefault="008E5045" w:rsidP="0015232B">
            <w:pPr>
              <w:pStyle w:val="NoSpacing"/>
              <w:jc w:val="right"/>
              <w:rPr>
                <w:sz w:val="24"/>
                <w:szCs w:val="24"/>
              </w:rPr>
            </w:pPr>
            <w:r w:rsidRPr="00B53423">
              <w:t>2.66</w:t>
            </w:r>
          </w:p>
        </w:tc>
        <w:tc>
          <w:tcPr>
            <w:tcW w:w="789" w:type="pct"/>
            <w:shd w:val="clear" w:color="auto" w:fill="auto"/>
            <w:noWrap/>
            <w:vAlign w:val="bottom"/>
            <w:hideMark/>
          </w:tcPr>
          <w:p w:rsidR="00564993" w:rsidRPr="00B53423" w:rsidRDefault="008E5045" w:rsidP="0015232B">
            <w:pPr>
              <w:pStyle w:val="NoSpacing"/>
              <w:jc w:val="right"/>
              <w:rPr>
                <w:sz w:val="24"/>
                <w:szCs w:val="24"/>
              </w:rPr>
            </w:pPr>
            <w:r w:rsidRPr="00B53423">
              <w:t>2.66</w:t>
            </w:r>
          </w:p>
        </w:tc>
        <w:tc>
          <w:tcPr>
            <w:tcW w:w="614" w:type="pct"/>
            <w:shd w:val="clear" w:color="auto" w:fill="auto"/>
            <w:vAlign w:val="bottom"/>
            <w:hideMark/>
          </w:tcPr>
          <w:p w:rsidR="00564993" w:rsidRPr="00B53423" w:rsidRDefault="008E5045" w:rsidP="0015232B">
            <w:pPr>
              <w:pStyle w:val="NoSpacing"/>
              <w:jc w:val="right"/>
              <w:rPr>
                <w:sz w:val="24"/>
                <w:szCs w:val="24"/>
              </w:rPr>
            </w:pPr>
            <w:r w:rsidRPr="00B53423">
              <w:t>2.66</w:t>
            </w:r>
          </w:p>
        </w:tc>
      </w:tr>
      <w:tr w:rsidR="00856959" w:rsidRPr="00B53423" w:rsidTr="007F03AB">
        <w:trPr>
          <w:trHeight w:val="300"/>
        </w:trPr>
        <w:tc>
          <w:tcPr>
            <w:tcW w:w="1913" w:type="pct"/>
            <w:shd w:val="clear" w:color="auto" w:fill="auto"/>
            <w:noWrap/>
            <w:vAlign w:val="bottom"/>
            <w:hideMark/>
          </w:tcPr>
          <w:p w:rsidR="00564993" w:rsidRPr="00B53423" w:rsidRDefault="008E5045" w:rsidP="0015232B">
            <w:pPr>
              <w:pStyle w:val="NoSpacing"/>
              <w:rPr>
                <w:sz w:val="24"/>
                <w:szCs w:val="24"/>
              </w:rPr>
            </w:pPr>
            <w:r w:rsidRPr="00B53423">
              <w:t>A&amp;G Expenses Capitalized</w:t>
            </w:r>
          </w:p>
        </w:tc>
        <w:tc>
          <w:tcPr>
            <w:tcW w:w="522" w:type="pct"/>
            <w:shd w:val="clear" w:color="auto" w:fill="auto"/>
            <w:vAlign w:val="bottom"/>
            <w:hideMark/>
          </w:tcPr>
          <w:p w:rsidR="00564993" w:rsidRPr="00B53423" w:rsidRDefault="008E5045" w:rsidP="0015232B">
            <w:pPr>
              <w:pStyle w:val="NoSpacing"/>
              <w:jc w:val="right"/>
              <w:rPr>
                <w:sz w:val="24"/>
                <w:szCs w:val="24"/>
              </w:rPr>
            </w:pPr>
            <w:r w:rsidRPr="00B53423">
              <w:t>1.57</w:t>
            </w:r>
          </w:p>
        </w:tc>
        <w:tc>
          <w:tcPr>
            <w:tcW w:w="592" w:type="pct"/>
            <w:shd w:val="clear" w:color="auto" w:fill="auto"/>
            <w:vAlign w:val="bottom"/>
            <w:hideMark/>
          </w:tcPr>
          <w:p w:rsidR="00564993" w:rsidRPr="00B53423" w:rsidRDefault="008E5045" w:rsidP="0015232B">
            <w:pPr>
              <w:pStyle w:val="NoSpacing"/>
              <w:jc w:val="right"/>
              <w:rPr>
                <w:sz w:val="24"/>
                <w:szCs w:val="24"/>
              </w:rPr>
            </w:pPr>
            <w:r w:rsidRPr="00B53423">
              <w:t>0.00</w:t>
            </w:r>
          </w:p>
        </w:tc>
        <w:tc>
          <w:tcPr>
            <w:tcW w:w="571" w:type="pct"/>
            <w:shd w:val="clear" w:color="auto" w:fill="auto"/>
            <w:vAlign w:val="bottom"/>
            <w:hideMark/>
          </w:tcPr>
          <w:p w:rsidR="00564993" w:rsidRPr="00B53423" w:rsidRDefault="008E5045" w:rsidP="0015232B">
            <w:pPr>
              <w:pStyle w:val="NoSpacing"/>
              <w:jc w:val="right"/>
              <w:rPr>
                <w:sz w:val="24"/>
                <w:szCs w:val="24"/>
              </w:rPr>
            </w:pPr>
            <w:r w:rsidRPr="00B53423">
              <w:t>0.00</w:t>
            </w:r>
          </w:p>
        </w:tc>
        <w:tc>
          <w:tcPr>
            <w:tcW w:w="789" w:type="pct"/>
            <w:shd w:val="clear" w:color="auto" w:fill="auto"/>
            <w:noWrap/>
            <w:vAlign w:val="bottom"/>
            <w:hideMark/>
          </w:tcPr>
          <w:p w:rsidR="00564993" w:rsidRPr="00B53423" w:rsidRDefault="008E5045" w:rsidP="0015232B">
            <w:pPr>
              <w:pStyle w:val="NoSpacing"/>
              <w:jc w:val="right"/>
              <w:rPr>
                <w:sz w:val="24"/>
                <w:szCs w:val="24"/>
              </w:rPr>
            </w:pPr>
            <w:r w:rsidRPr="00B53423">
              <w:t>0.00</w:t>
            </w:r>
          </w:p>
        </w:tc>
        <w:tc>
          <w:tcPr>
            <w:tcW w:w="614" w:type="pct"/>
            <w:shd w:val="clear" w:color="auto" w:fill="auto"/>
            <w:vAlign w:val="bottom"/>
            <w:hideMark/>
          </w:tcPr>
          <w:p w:rsidR="00564993" w:rsidRPr="00B53423" w:rsidRDefault="008E5045" w:rsidP="0015232B">
            <w:pPr>
              <w:pStyle w:val="NoSpacing"/>
              <w:jc w:val="right"/>
              <w:rPr>
                <w:sz w:val="24"/>
                <w:szCs w:val="24"/>
              </w:rPr>
            </w:pPr>
            <w:r w:rsidRPr="00B53423">
              <w:t>0.00</w:t>
            </w:r>
          </w:p>
        </w:tc>
      </w:tr>
      <w:tr w:rsidR="00856959" w:rsidRPr="00B53423" w:rsidTr="007F03AB">
        <w:trPr>
          <w:trHeight w:val="300"/>
        </w:trPr>
        <w:tc>
          <w:tcPr>
            <w:tcW w:w="1913" w:type="pct"/>
            <w:shd w:val="clear" w:color="auto" w:fill="auto"/>
            <w:noWrap/>
            <w:vAlign w:val="bottom"/>
            <w:hideMark/>
          </w:tcPr>
          <w:p w:rsidR="00564993" w:rsidRPr="00B53423" w:rsidRDefault="008E5045" w:rsidP="0015232B">
            <w:pPr>
              <w:pStyle w:val="NoSpacing"/>
              <w:rPr>
                <w:sz w:val="24"/>
                <w:szCs w:val="24"/>
              </w:rPr>
            </w:pPr>
            <w:r w:rsidRPr="00B53423">
              <w:t> </w:t>
            </w:r>
          </w:p>
        </w:tc>
        <w:tc>
          <w:tcPr>
            <w:tcW w:w="522" w:type="pct"/>
            <w:shd w:val="clear" w:color="auto" w:fill="auto"/>
            <w:vAlign w:val="bottom"/>
            <w:hideMark/>
          </w:tcPr>
          <w:p w:rsidR="00564993" w:rsidRPr="00B53423" w:rsidRDefault="008E5045" w:rsidP="0015232B">
            <w:pPr>
              <w:pStyle w:val="NoSpacing"/>
              <w:jc w:val="right"/>
              <w:rPr>
                <w:sz w:val="24"/>
                <w:szCs w:val="24"/>
              </w:rPr>
            </w:pPr>
            <w:r w:rsidRPr="00B53423">
              <w:t> </w:t>
            </w:r>
          </w:p>
        </w:tc>
        <w:tc>
          <w:tcPr>
            <w:tcW w:w="592" w:type="pct"/>
            <w:shd w:val="clear" w:color="auto" w:fill="auto"/>
            <w:vAlign w:val="bottom"/>
            <w:hideMark/>
          </w:tcPr>
          <w:p w:rsidR="00564993" w:rsidRPr="00B53423" w:rsidRDefault="008E5045" w:rsidP="0015232B">
            <w:pPr>
              <w:pStyle w:val="NoSpacing"/>
              <w:jc w:val="right"/>
              <w:rPr>
                <w:sz w:val="24"/>
                <w:szCs w:val="24"/>
              </w:rPr>
            </w:pPr>
            <w:r w:rsidRPr="00B53423">
              <w:t> </w:t>
            </w:r>
          </w:p>
        </w:tc>
        <w:tc>
          <w:tcPr>
            <w:tcW w:w="571" w:type="pct"/>
            <w:shd w:val="clear" w:color="auto" w:fill="auto"/>
            <w:vAlign w:val="bottom"/>
            <w:hideMark/>
          </w:tcPr>
          <w:p w:rsidR="00564993" w:rsidRPr="00B53423" w:rsidRDefault="008E5045" w:rsidP="0015232B">
            <w:pPr>
              <w:pStyle w:val="NoSpacing"/>
              <w:jc w:val="right"/>
              <w:rPr>
                <w:sz w:val="24"/>
                <w:szCs w:val="24"/>
              </w:rPr>
            </w:pPr>
            <w:r w:rsidRPr="00B53423">
              <w:t> </w:t>
            </w:r>
          </w:p>
        </w:tc>
        <w:tc>
          <w:tcPr>
            <w:tcW w:w="789" w:type="pct"/>
            <w:shd w:val="clear" w:color="auto" w:fill="auto"/>
            <w:noWrap/>
            <w:vAlign w:val="bottom"/>
            <w:hideMark/>
          </w:tcPr>
          <w:p w:rsidR="00564993" w:rsidRPr="00B53423" w:rsidRDefault="008E5045" w:rsidP="0015232B">
            <w:pPr>
              <w:pStyle w:val="NoSpacing"/>
              <w:jc w:val="right"/>
              <w:rPr>
                <w:sz w:val="24"/>
                <w:szCs w:val="24"/>
              </w:rPr>
            </w:pPr>
            <w:r w:rsidRPr="00B53423">
              <w:t> </w:t>
            </w:r>
          </w:p>
        </w:tc>
        <w:tc>
          <w:tcPr>
            <w:tcW w:w="614" w:type="pct"/>
            <w:shd w:val="clear" w:color="auto" w:fill="auto"/>
            <w:vAlign w:val="bottom"/>
            <w:hideMark/>
          </w:tcPr>
          <w:p w:rsidR="00564993" w:rsidRPr="00B53423" w:rsidRDefault="008E5045" w:rsidP="0015232B">
            <w:pPr>
              <w:pStyle w:val="NoSpacing"/>
              <w:jc w:val="right"/>
              <w:rPr>
                <w:sz w:val="24"/>
                <w:szCs w:val="24"/>
              </w:rPr>
            </w:pPr>
            <w:r w:rsidRPr="00B53423">
              <w:t> </w:t>
            </w:r>
          </w:p>
        </w:tc>
      </w:tr>
      <w:tr w:rsidR="00856959" w:rsidRPr="00B53423" w:rsidTr="007F03AB">
        <w:trPr>
          <w:trHeight w:val="300"/>
        </w:trPr>
        <w:tc>
          <w:tcPr>
            <w:tcW w:w="1913" w:type="pct"/>
            <w:shd w:val="clear" w:color="auto" w:fill="auto"/>
            <w:noWrap/>
            <w:vAlign w:val="bottom"/>
            <w:hideMark/>
          </w:tcPr>
          <w:p w:rsidR="00564993" w:rsidRPr="00B53423" w:rsidRDefault="008E5045" w:rsidP="0015232B">
            <w:pPr>
              <w:pStyle w:val="NoSpacing"/>
              <w:rPr>
                <w:sz w:val="24"/>
                <w:szCs w:val="24"/>
              </w:rPr>
            </w:pPr>
            <w:r w:rsidRPr="00B53423">
              <w:t>Total Capitalization</w:t>
            </w:r>
          </w:p>
        </w:tc>
        <w:tc>
          <w:tcPr>
            <w:tcW w:w="522" w:type="pct"/>
            <w:shd w:val="clear" w:color="auto" w:fill="auto"/>
            <w:vAlign w:val="bottom"/>
            <w:hideMark/>
          </w:tcPr>
          <w:p w:rsidR="00564993" w:rsidRPr="00B53423" w:rsidRDefault="003A6B3B" w:rsidP="0015232B">
            <w:pPr>
              <w:pStyle w:val="NoSpacing"/>
              <w:jc w:val="right"/>
              <w:rPr>
                <w:b/>
              </w:rPr>
            </w:pPr>
            <w:r w:rsidRPr="00B53423">
              <w:rPr>
                <w:b/>
              </w:rPr>
              <w:t>11.08</w:t>
            </w:r>
          </w:p>
        </w:tc>
        <w:tc>
          <w:tcPr>
            <w:tcW w:w="592" w:type="pct"/>
            <w:shd w:val="clear" w:color="auto" w:fill="auto"/>
            <w:vAlign w:val="bottom"/>
            <w:hideMark/>
          </w:tcPr>
          <w:p w:rsidR="00564993" w:rsidRPr="00B53423" w:rsidRDefault="003A6B3B" w:rsidP="0015232B">
            <w:pPr>
              <w:pStyle w:val="NoSpacing"/>
              <w:jc w:val="right"/>
              <w:rPr>
                <w:b/>
              </w:rPr>
            </w:pPr>
            <w:r w:rsidRPr="00B53423">
              <w:rPr>
                <w:b/>
              </w:rPr>
              <w:t>2.66</w:t>
            </w:r>
          </w:p>
        </w:tc>
        <w:tc>
          <w:tcPr>
            <w:tcW w:w="571" w:type="pct"/>
            <w:shd w:val="clear" w:color="auto" w:fill="auto"/>
            <w:vAlign w:val="bottom"/>
            <w:hideMark/>
          </w:tcPr>
          <w:p w:rsidR="00564993" w:rsidRPr="00B53423" w:rsidRDefault="003A6B3B" w:rsidP="0015232B">
            <w:pPr>
              <w:pStyle w:val="NoSpacing"/>
              <w:jc w:val="right"/>
              <w:rPr>
                <w:b/>
              </w:rPr>
            </w:pPr>
            <w:r w:rsidRPr="00B53423">
              <w:rPr>
                <w:b/>
              </w:rPr>
              <w:t>2.66</w:t>
            </w:r>
          </w:p>
        </w:tc>
        <w:tc>
          <w:tcPr>
            <w:tcW w:w="789" w:type="pct"/>
            <w:shd w:val="clear" w:color="auto" w:fill="auto"/>
            <w:noWrap/>
            <w:vAlign w:val="bottom"/>
            <w:hideMark/>
          </w:tcPr>
          <w:p w:rsidR="00564993" w:rsidRPr="00B53423" w:rsidRDefault="003A6B3B" w:rsidP="0015232B">
            <w:pPr>
              <w:pStyle w:val="NoSpacing"/>
              <w:jc w:val="right"/>
              <w:rPr>
                <w:b/>
              </w:rPr>
            </w:pPr>
            <w:r w:rsidRPr="00B53423">
              <w:rPr>
                <w:b/>
              </w:rPr>
              <w:t>2.66</w:t>
            </w:r>
          </w:p>
        </w:tc>
        <w:tc>
          <w:tcPr>
            <w:tcW w:w="614" w:type="pct"/>
            <w:shd w:val="clear" w:color="auto" w:fill="auto"/>
            <w:vAlign w:val="bottom"/>
            <w:hideMark/>
          </w:tcPr>
          <w:p w:rsidR="00564993" w:rsidRPr="00B53423" w:rsidRDefault="003A6B3B" w:rsidP="0015232B">
            <w:pPr>
              <w:pStyle w:val="NoSpacing"/>
              <w:jc w:val="right"/>
              <w:rPr>
                <w:b/>
              </w:rPr>
            </w:pPr>
            <w:r w:rsidRPr="00B53423">
              <w:rPr>
                <w:b/>
              </w:rPr>
              <w:t>2.66</w:t>
            </w:r>
          </w:p>
        </w:tc>
      </w:tr>
      <w:tr w:rsidR="00856959" w:rsidRPr="00B53423" w:rsidTr="007F03AB">
        <w:trPr>
          <w:trHeight w:val="300"/>
        </w:trPr>
        <w:tc>
          <w:tcPr>
            <w:tcW w:w="1913" w:type="pct"/>
            <w:shd w:val="clear" w:color="auto" w:fill="auto"/>
            <w:noWrap/>
            <w:vAlign w:val="bottom"/>
            <w:hideMark/>
          </w:tcPr>
          <w:p w:rsidR="00564993" w:rsidRPr="00B53423" w:rsidRDefault="008E5045" w:rsidP="0015232B">
            <w:pPr>
              <w:pStyle w:val="NoSpacing"/>
              <w:rPr>
                <w:sz w:val="24"/>
                <w:szCs w:val="24"/>
              </w:rPr>
            </w:pPr>
            <w:r w:rsidRPr="00B53423">
              <w:t>Net Operation and Maintenance Expenses</w:t>
            </w:r>
          </w:p>
        </w:tc>
        <w:tc>
          <w:tcPr>
            <w:tcW w:w="522" w:type="pct"/>
            <w:shd w:val="clear" w:color="auto" w:fill="auto"/>
            <w:vAlign w:val="bottom"/>
            <w:hideMark/>
          </w:tcPr>
          <w:p w:rsidR="00564993" w:rsidRPr="00B53423" w:rsidRDefault="003A6B3B" w:rsidP="0015232B">
            <w:pPr>
              <w:pStyle w:val="NoSpacing"/>
              <w:jc w:val="right"/>
              <w:rPr>
                <w:b/>
              </w:rPr>
            </w:pPr>
            <w:r w:rsidRPr="00B53423">
              <w:rPr>
                <w:b/>
              </w:rPr>
              <w:t>74.31</w:t>
            </w:r>
          </w:p>
        </w:tc>
        <w:tc>
          <w:tcPr>
            <w:tcW w:w="592" w:type="pct"/>
            <w:shd w:val="clear" w:color="auto" w:fill="auto"/>
            <w:vAlign w:val="bottom"/>
            <w:hideMark/>
          </w:tcPr>
          <w:p w:rsidR="00564993" w:rsidRPr="00B53423" w:rsidRDefault="003A6B3B" w:rsidP="0015232B">
            <w:pPr>
              <w:pStyle w:val="NoSpacing"/>
              <w:jc w:val="right"/>
              <w:rPr>
                <w:b/>
              </w:rPr>
            </w:pPr>
            <w:r w:rsidRPr="00B53423">
              <w:rPr>
                <w:b/>
              </w:rPr>
              <w:t>122.43</w:t>
            </w:r>
          </w:p>
        </w:tc>
        <w:tc>
          <w:tcPr>
            <w:tcW w:w="571" w:type="pct"/>
            <w:shd w:val="clear" w:color="auto" w:fill="auto"/>
            <w:vAlign w:val="bottom"/>
            <w:hideMark/>
          </w:tcPr>
          <w:p w:rsidR="00564993" w:rsidRPr="00B53423" w:rsidRDefault="003A6B3B" w:rsidP="0015232B">
            <w:pPr>
              <w:pStyle w:val="NoSpacing"/>
              <w:jc w:val="right"/>
              <w:rPr>
                <w:b/>
              </w:rPr>
            </w:pPr>
            <w:r w:rsidRPr="00B53423">
              <w:rPr>
                <w:b/>
              </w:rPr>
              <w:t>122.43</w:t>
            </w:r>
          </w:p>
        </w:tc>
        <w:tc>
          <w:tcPr>
            <w:tcW w:w="789" w:type="pct"/>
            <w:shd w:val="clear" w:color="auto" w:fill="auto"/>
            <w:noWrap/>
            <w:vAlign w:val="bottom"/>
            <w:hideMark/>
          </w:tcPr>
          <w:p w:rsidR="00564993" w:rsidRPr="00B53423" w:rsidRDefault="003A6B3B" w:rsidP="0015232B">
            <w:pPr>
              <w:pStyle w:val="NoSpacing"/>
              <w:jc w:val="right"/>
              <w:rPr>
                <w:b/>
              </w:rPr>
            </w:pPr>
            <w:r w:rsidRPr="00B53423">
              <w:rPr>
                <w:b/>
              </w:rPr>
              <w:t>139.26</w:t>
            </w:r>
          </w:p>
        </w:tc>
        <w:tc>
          <w:tcPr>
            <w:tcW w:w="614" w:type="pct"/>
            <w:shd w:val="clear" w:color="auto" w:fill="auto"/>
            <w:vAlign w:val="bottom"/>
            <w:hideMark/>
          </w:tcPr>
          <w:p w:rsidR="00564993" w:rsidRPr="00B53423" w:rsidRDefault="003A6B3B" w:rsidP="0015232B">
            <w:pPr>
              <w:pStyle w:val="NoSpacing"/>
              <w:jc w:val="right"/>
              <w:rPr>
                <w:b/>
              </w:rPr>
            </w:pPr>
            <w:r w:rsidRPr="00B53423">
              <w:rPr>
                <w:b/>
              </w:rPr>
              <w:t>122.43</w:t>
            </w:r>
          </w:p>
        </w:tc>
      </w:tr>
      <w:tr w:rsidR="00856959" w:rsidRPr="00B53423" w:rsidTr="007F03AB">
        <w:trPr>
          <w:trHeight w:val="300"/>
        </w:trPr>
        <w:tc>
          <w:tcPr>
            <w:tcW w:w="1913" w:type="pct"/>
            <w:shd w:val="clear" w:color="auto" w:fill="auto"/>
            <w:noWrap/>
            <w:vAlign w:val="bottom"/>
            <w:hideMark/>
          </w:tcPr>
          <w:p w:rsidR="00564993" w:rsidRPr="00B53423" w:rsidRDefault="008E5045" w:rsidP="0015232B">
            <w:pPr>
              <w:pStyle w:val="NoSpacing"/>
              <w:rPr>
                <w:sz w:val="24"/>
                <w:szCs w:val="24"/>
              </w:rPr>
            </w:pPr>
            <w:r w:rsidRPr="00B53423">
              <w:t>Efficiency Gain</w:t>
            </w:r>
          </w:p>
        </w:tc>
        <w:tc>
          <w:tcPr>
            <w:tcW w:w="522" w:type="pct"/>
            <w:shd w:val="clear" w:color="auto" w:fill="auto"/>
            <w:vAlign w:val="bottom"/>
            <w:hideMark/>
          </w:tcPr>
          <w:p w:rsidR="00564993" w:rsidRPr="00B53423" w:rsidRDefault="00564993" w:rsidP="0015232B">
            <w:pPr>
              <w:pStyle w:val="NoSpacing"/>
              <w:jc w:val="right"/>
              <w:rPr>
                <w:b/>
              </w:rPr>
            </w:pPr>
          </w:p>
        </w:tc>
        <w:tc>
          <w:tcPr>
            <w:tcW w:w="592" w:type="pct"/>
            <w:shd w:val="clear" w:color="auto" w:fill="auto"/>
            <w:vAlign w:val="bottom"/>
            <w:hideMark/>
          </w:tcPr>
          <w:p w:rsidR="00564993" w:rsidRPr="00B53423" w:rsidRDefault="00564993" w:rsidP="0015232B">
            <w:pPr>
              <w:pStyle w:val="NoSpacing"/>
              <w:jc w:val="right"/>
              <w:rPr>
                <w:b/>
              </w:rPr>
            </w:pPr>
          </w:p>
        </w:tc>
        <w:tc>
          <w:tcPr>
            <w:tcW w:w="571" w:type="pct"/>
            <w:shd w:val="clear" w:color="auto" w:fill="auto"/>
            <w:vAlign w:val="bottom"/>
            <w:hideMark/>
          </w:tcPr>
          <w:p w:rsidR="00564993" w:rsidRPr="00B53423" w:rsidRDefault="003A6B3B" w:rsidP="0015232B">
            <w:pPr>
              <w:pStyle w:val="NoSpacing"/>
              <w:jc w:val="right"/>
              <w:rPr>
                <w:b/>
              </w:rPr>
            </w:pPr>
            <w:r w:rsidRPr="00B53423">
              <w:rPr>
                <w:b/>
              </w:rPr>
              <w:t>0.54</w:t>
            </w:r>
          </w:p>
        </w:tc>
        <w:tc>
          <w:tcPr>
            <w:tcW w:w="789" w:type="pct"/>
            <w:shd w:val="clear" w:color="auto" w:fill="auto"/>
            <w:noWrap/>
            <w:vAlign w:val="bottom"/>
            <w:hideMark/>
          </w:tcPr>
          <w:p w:rsidR="00564993" w:rsidRPr="00B53423" w:rsidRDefault="00564993" w:rsidP="0015232B">
            <w:pPr>
              <w:pStyle w:val="NoSpacing"/>
              <w:jc w:val="right"/>
              <w:rPr>
                <w:b/>
              </w:rPr>
            </w:pPr>
          </w:p>
        </w:tc>
        <w:tc>
          <w:tcPr>
            <w:tcW w:w="614" w:type="pct"/>
            <w:shd w:val="clear" w:color="auto" w:fill="auto"/>
            <w:vAlign w:val="bottom"/>
            <w:hideMark/>
          </w:tcPr>
          <w:p w:rsidR="00564993" w:rsidRPr="00B53423" w:rsidRDefault="003A6B3B" w:rsidP="0015232B">
            <w:pPr>
              <w:pStyle w:val="NoSpacing"/>
              <w:jc w:val="right"/>
              <w:rPr>
                <w:b/>
              </w:rPr>
            </w:pPr>
            <w:r w:rsidRPr="00B53423">
              <w:rPr>
                <w:b/>
              </w:rPr>
              <w:t>8.42</w:t>
            </w:r>
          </w:p>
        </w:tc>
      </w:tr>
    </w:tbl>
    <w:p w:rsidR="005D7AFD" w:rsidRPr="00B53423" w:rsidRDefault="004D0378" w:rsidP="0015232B">
      <w:pPr>
        <w:spacing w:before="0" w:line="240" w:lineRule="auto"/>
        <w:rPr>
          <w:rFonts w:asciiTheme="minorHAnsi" w:hAnsiTheme="minorHAnsi" w:cstheme="minorHAnsi"/>
          <w:i/>
          <w:sz w:val="20"/>
          <w:szCs w:val="20"/>
        </w:rPr>
      </w:pPr>
      <w:r w:rsidRPr="00B53423">
        <w:rPr>
          <w:rFonts w:asciiTheme="minorHAnsi" w:hAnsiTheme="minorHAnsi" w:cstheme="minorHAnsi"/>
          <w:i/>
          <w:sz w:val="20"/>
          <w:szCs w:val="20"/>
        </w:rPr>
        <w:t># Employee expenses include Rs. 44.47 Crore towards Change in policy for accounting of earned leave encashment liability and Provision for Arrear of Pay Commission/Time Scale</w:t>
      </w:r>
    </w:p>
    <w:p w:rsidR="005D7AFD" w:rsidRPr="00B53423" w:rsidRDefault="005D7AFD" w:rsidP="0015232B">
      <w:pPr>
        <w:spacing w:before="0" w:line="240" w:lineRule="auto"/>
        <w:rPr>
          <w:rFonts w:asciiTheme="minorHAnsi" w:hAnsiTheme="minorHAnsi" w:cstheme="minorHAnsi"/>
          <w:i/>
          <w:sz w:val="20"/>
          <w:szCs w:val="20"/>
        </w:rPr>
      </w:pPr>
    </w:p>
    <w:p w:rsidR="005D7AFD" w:rsidRPr="00B53423" w:rsidRDefault="005D7AFD" w:rsidP="0015232B">
      <w:pPr>
        <w:pStyle w:val="Heading2"/>
        <w:keepNext w:val="0"/>
        <w:numPr>
          <w:ilvl w:val="0"/>
          <w:numId w:val="0"/>
        </w:numPr>
        <w:ind w:left="720"/>
      </w:pPr>
      <w:bookmarkStart w:id="406" w:name="_Toc352568751"/>
      <w:bookmarkStart w:id="407" w:name="_Toc356913000"/>
    </w:p>
    <w:p w:rsidR="004C74C2" w:rsidRPr="00B53423" w:rsidRDefault="004C74C2" w:rsidP="0015232B">
      <w:pPr>
        <w:pStyle w:val="Heading2"/>
        <w:keepNext w:val="0"/>
        <w:ind w:left="720" w:hanging="1080"/>
      </w:pPr>
      <w:bookmarkStart w:id="408" w:name="_Ref396853853"/>
      <w:bookmarkStart w:id="409" w:name="_Toc399626168"/>
      <w:r w:rsidRPr="00B53423">
        <w:t>INTEREST AND FINANCE CHARGES</w:t>
      </w:r>
      <w:bookmarkEnd w:id="406"/>
      <w:bookmarkEnd w:id="407"/>
      <w:bookmarkEnd w:id="408"/>
      <w:bookmarkEnd w:id="409"/>
      <w:r w:rsidRPr="00B53423">
        <w:t xml:space="preserve"> </w:t>
      </w:r>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numPr>
          <w:ilvl w:val="0"/>
          <w:numId w:val="0"/>
        </w:numPr>
        <w:ind w:left="450" w:firstLine="270"/>
        <w:rPr>
          <w:b/>
        </w:rPr>
      </w:pPr>
      <w:r w:rsidRPr="00B53423">
        <w:rPr>
          <w:b/>
        </w:rPr>
        <w:t>Interest on Long Term Loans:</w:t>
      </w:r>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ind w:hanging="1080"/>
      </w:pPr>
      <w:r w:rsidRPr="00B53423">
        <w:t>The Petitioner has claimed net interest on long term loan of Rs. 8.73 Crores as against Rs. 11.45 Crores approved in the Tariff Order dated 9</w:t>
      </w:r>
      <w:r w:rsidRPr="00B53423">
        <w:rPr>
          <w:vertAlign w:val="superscript"/>
        </w:rPr>
        <w:t>th</w:t>
      </w:r>
      <w:r w:rsidRPr="00B53423">
        <w:t xml:space="preserve"> July, 2008 in Petition No. 487 and 510 of 2007 for FY 2008-09. The Petitioner submitted that the interest capitalised for FY 2008-09 was to the tune of Rs. 8.73 Crore as against Rs. 2.63 Crore approved by the Commission in the Tariff Order. Thus, the net interest on loan for FY 2008-09 as submitted by the Petitioner works to nil as against Rs. 8.82 Crore approved by the Commission in the Tariff Order dated 9</w:t>
      </w:r>
      <w:r w:rsidRPr="00B53423">
        <w:rPr>
          <w:vertAlign w:val="superscript"/>
        </w:rPr>
        <w:t>th</w:t>
      </w:r>
      <w:r w:rsidRPr="00B53423">
        <w:t xml:space="preserve"> July, 2008 in Petition No. 487 and 510 of 2007 for FY 2008-09.</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vide its preliminary deficiency note has asked the Petitioner to submit the details of actual loans alongwith computation of Interest on Loan as claimed by the Petitioner for FY 2008-09 in its True up Petition. In reply to the Commission’s query the Petitioner submitted that subsequent to the filing of the True-up Petition for FY 2008-09 to 2011-12, the Commission had issued the True- up Order for FY 2000-01 to 2007-08 on 21</w:t>
      </w:r>
      <w:r w:rsidRPr="00B53423">
        <w:rPr>
          <w:vertAlign w:val="superscript"/>
        </w:rPr>
        <w:t>st</w:t>
      </w:r>
      <w:r w:rsidRPr="00B53423">
        <w:t xml:space="preserve"> May, 2013 in which the Commission had adopted a normative approach to tariff with a gearing of 70:30. The Petitioner submitted that the same was reaffirmed by the Commission in the suo-motu Tariff Order dated 31</w:t>
      </w:r>
      <w:r w:rsidRPr="00B53423">
        <w:rPr>
          <w:vertAlign w:val="superscript"/>
        </w:rPr>
        <w:t>st</w:t>
      </w:r>
      <w:r w:rsidRPr="00B53423">
        <w:t xml:space="preserve"> May, 2013 for FY 2013-14.</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further submitted that it is agreeable to the approach followed by the Commission in this regard. Accordingly, based on the normative approach, the Petitioner submitted the re-worked the loan balances, additions based on normative capital expenditure, normative repayment linked with allowable depreciation of the respective year and the average interest rate as per the weighted average interest rate of the licensee as per Audited Accounts. The revised interest on long term loan claimed by the Petitioner based on the normative approach works out to nil after reducing an amount of Rs. 1.73 Crore towards interest capitalized.</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bookmarkStart w:id="410" w:name="_Ref396853748"/>
      <w:r w:rsidRPr="00B53423">
        <w:t>However, it was observed that the Petitioner had considered only PFC loan while computing the loan balances. Also the interest accrued and due added in the loan balances was not deducted to arrive at the weighted average rate of interest. Thus, the Commission vide its additional deficiency note sought clarifications in this regards from the Petitioner. In its reply to the Commission’s query the Petitioner reaffirmed that the loan balances and interest amount to be considered includes only the loan amount borrowed from PFC and the interest payable to PFC respectively as disclosed in the books of Accounts. Accordingly the Petitioner re-submitted the revised head wise detailed computations of opening and closing loan balances and the weighted average rate of interest after reconciling the same with the Audited Accounts as shown in the Table below:</w:t>
      </w:r>
      <w:bookmarkEnd w:id="410"/>
    </w:p>
    <w:p w:rsidR="004C74C2" w:rsidRPr="00B53423" w:rsidRDefault="004C74C2" w:rsidP="0015232B">
      <w:pPr>
        <w:pStyle w:val="Heading3"/>
        <w:keepNext w:val="0"/>
        <w:numPr>
          <w:ilvl w:val="0"/>
          <w:numId w:val="0"/>
        </w:numPr>
        <w:ind w:left="720"/>
      </w:pPr>
    </w:p>
    <w:p w:rsidR="004C74C2" w:rsidRPr="00B53423" w:rsidRDefault="004C74C2" w:rsidP="0015232B">
      <w:pPr>
        <w:ind w:left="810"/>
        <w:jc w:val="center"/>
        <w:rPr>
          <w:rFonts w:asciiTheme="minorHAnsi" w:hAnsiTheme="minorHAnsi" w:cstheme="minorHAnsi"/>
          <w:b/>
        </w:rPr>
      </w:pPr>
      <w:bookmarkStart w:id="411" w:name="_Toc399626318"/>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t>: REVISED COMPUTATION OF WEIGHTED AVERAGE RATE OF INTEREST SUBMITTED BY THE PETITIONER (Rs. Crore)</w:t>
      </w:r>
      <w:bookmarkEnd w:id="411"/>
    </w:p>
    <w:tbl>
      <w:tblPr>
        <w:tblW w:w="7380" w:type="dxa"/>
        <w:tblInd w:w="91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490"/>
        <w:gridCol w:w="1890"/>
      </w:tblGrid>
      <w:tr w:rsidR="004C74C2" w:rsidRPr="00B53423" w:rsidTr="009268E4">
        <w:trPr>
          <w:trHeight w:val="300"/>
        </w:trPr>
        <w:tc>
          <w:tcPr>
            <w:tcW w:w="5490"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rPr>
            </w:pPr>
            <w:r w:rsidRPr="00B53423">
              <w:rPr>
                <w:b/>
                <w:bCs/>
                <w:color w:val="000000"/>
              </w:rPr>
              <w:t>Particulars</w:t>
            </w:r>
          </w:p>
        </w:tc>
        <w:tc>
          <w:tcPr>
            <w:tcW w:w="1890"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rPr>
            </w:pPr>
            <w:r w:rsidRPr="00B53423">
              <w:rPr>
                <w:b/>
                <w:bCs/>
                <w:color w:val="000000"/>
              </w:rPr>
              <w:t>FY 2008-09</w:t>
            </w:r>
          </w:p>
        </w:tc>
      </w:tr>
      <w:tr w:rsidR="004C74C2" w:rsidRPr="00B53423" w:rsidTr="009268E4">
        <w:trPr>
          <w:trHeight w:val="20"/>
        </w:trPr>
        <w:tc>
          <w:tcPr>
            <w:tcW w:w="5490" w:type="dxa"/>
            <w:shd w:val="clear" w:color="auto" w:fill="auto"/>
            <w:hideMark/>
          </w:tcPr>
          <w:p w:rsidR="004C74C2" w:rsidRPr="00B53423" w:rsidRDefault="004C74C2" w:rsidP="0015232B">
            <w:pPr>
              <w:spacing w:before="0" w:line="240" w:lineRule="auto"/>
              <w:jc w:val="left"/>
              <w:rPr>
                <w:color w:val="000000"/>
              </w:rPr>
            </w:pPr>
            <w:r w:rsidRPr="00B53423">
              <w:t>Opening Loan</w:t>
            </w:r>
          </w:p>
        </w:tc>
        <w:tc>
          <w:tcPr>
            <w:tcW w:w="1890" w:type="dxa"/>
            <w:shd w:val="clear" w:color="auto" w:fill="auto"/>
            <w:vAlign w:val="center"/>
            <w:hideMark/>
          </w:tcPr>
          <w:p w:rsidR="004C74C2" w:rsidRPr="00B53423" w:rsidRDefault="004C74C2" w:rsidP="0015232B">
            <w:pPr>
              <w:spacing w:before="0" w:line="240" w:lineRule="auto"/>
              <w:ind w:right="432"/>
              <w:jc w:val="right"/>
              <w:rPr>
                <w:color w:val="000000"/>
              </w:rPr>
            </w:pPr>
            <w:r w:rsidRPr="00B53423">
              <w:rPr>
                <w:lang w:val="en-IN" w:eastAsia="en-IN"/>
              </w:rPr>
              <w:t>57.32</w:t>
            </w:r>
          </w:p>
        </w:tc>
      </w:tr>
      <w:tr w:rsidR="004C74C2" w:rsidRPr="00B53423" w:rsidTr="009268E4">
        <w:trPr>
          <w:trHeight w:val="300"/>
        </w:trPr>
        <w:tc>
          <w:tcPr>
            <w:tcW w:w="5490" w:type="dxa"/>
            <w:shd w:val="clear" w:color="auto" w:fill="auto"/>
            <w:hideMark/>
          </w:tcPr>
          <w:p w:rsidR="004C74C2" w:rsidRPr="00B53423" w:rsidRDefault="004C74C2" w:rsidP="0015232B">
            <w:pPr>
              <w:spacing w:before="0" w:line="240" w:lineRule="auto"/>
              <w:jc w:val="left"/>
              <w:rPr>
                <w:rFonts w:cs="Tahoma"/>
                <w:color w:val="000000"/>
              </w:rPr>
            </w:pPr>
            <w:r w:rsidRPr="00B53423">
              <w:t>Closing Loan Balance</w:t>
            </w:r>
          </w:p>
        </w:tc>
        <w:tc>
          <w:tcPr>
            <w:tcW w:w="1890" w:type="dxa"/>
            <w:shd w:val="clear" w:color="auto" w:fill="auto"/>
            <w:vAlign w:val="center"/>
            <w:hideMark/>
          </w:tcPr>
          <w:p w:rsidR="004C74C2" w:rsidRPr="00B53423" w:rsidRDefault="004C74C2" w:rsidP="0015232B">
            <w:pPr>
              <w:spacing w:before="0" w:line="240" w:lineRule="auto"/>
              <w:ind w:right="432"/>
              <w:jc w:val="right"/>
              <w:rPr>
                <w:rFonts w:cs="Tahoma"/>
                <w:color w:val="000000"/>
              </w:rPr>
            </w:pPr>
            <w:r w:rsidRPr="00B53423">
              <w:rPr>
                <w:lang w:val="en-IN" w:eastAsia="en-IN"/>
              </w:rPr>
              <w:t>178.98</w:t>
            </w:r>
          </w:p>
        </w:tc>
      </w:tr>
      <w:tr w:rsidR="004C74C2" w:rsidRPr="00B53423" w:rsidTr="009268E4">
        <w:trPr>
          <w:trHeight w:val="300"/>
        </w:trPr>
        <w:tc>
          <w:tcPr>
            <w:tcW w:w="5490" w:type="dxa"/>
            <w:shd w:val="clear" w:color="auto" w:fill="auto"/>
            <w:hideMark/>
          </w:tcPr>
          <w:p w:rsidR="004C74C2" w:rsidRPr="00B53423" w:rsidRDefault="004C74C2" w:rsidP="0015232B">
            <w:pPr>
              <w:spacing w:before="0" w:line="240" w:lineRule="auto"/>
              <w:jc w:val="left"/>
              <w:rPr>
                <w:color w:val="000000"/>
              </w:rPr>
            </w:pPr>
            <w:r w:rsidRPr="00B53423">
              <w:t>Interest</w:t>
            </w:r>
          </w:p>
        </w:tc>
        <w:tc>
          <w:tcPr>
            <w:tcW w:w="1890" w:type="dxa"/>
            <w:shd w:val="clear" w:color="auto" w:fill="auto"/>
            <w:vAlign w:val="center"/>
            <w:hideMark/>
          </w:tcPr>
          <w:p w:rsidR="004C74C2" w:rsidRPr="00B53423" w:rsidRDefault="004C74C2" w:rsidP="0015232B">
            <w:pPr>
              <w:spacing w:before="0" w:line="240" w:lineRule="auto"/>
              <w:ind w:right="432"/>
              <w:jc w:val="right"/>
              <w:rPr>
                <w:color w:val="000000"/>
              </w:rPr>
            </w:pPr>
            <w:r w:rsidRPr="00B53423">
              <w:rPr>
                <w:lang w:val="en-IN" w:eastAsia="en-IN"/>
              </w:rPr>
              <w:t>8.11</w:t>
            </w:r>
          </w:p>
        </w:tc>
      </w:tr>
      <w:tr w:rsidR="004C74C2" w:rsidRPr="00B53423" w:rsidTr="009268E4">
        <w:trPr>
          <w:trHeight w:val="300"/>
        </w:trPr>
        <w:tc>
          <w:tcPr>
            <w:tcW w:w="5490" w:type="dxa"/>
            <w:shd w:val="clear" w:color="auto" w:fill="auto"/>
            <w:hideMark/>
          </w:tcPr>
          <w:p w:rsidR="004C74C2" w:rsidRPr="00B53423" w:rsidRDefault="004C74C2" w:rsidP="0015232B">
            <w:pPr>
              <w:spacing w:before="0" w:line="240" w:lineRule="auto"/>
              <w:jc w:val="left"/>
              <w:rPr>
                <w:b/>
                <w:bCs/>
                <w:color w:val="000000"/>
              </w:rPr>
            </w:pPr>
            <w:r w:rsidRPr="00B53423">
              <w:t>Rate of Interest</w:t>
            </w:r>
          </w:p>
        </w:tc>
        <w:tc>
          <w:tcPr>
            <w:tcW w:w="1890" w:type="dxa"/>
            <w:shd w:val="clear" w:color="auto" w:fill="auto"/>
            <w:vAlign w:val="center"/>
            <w:hideMark/>
          </w:tcPr>
          <w:p w:rsidR="004C74C2" w:rsidRPr="00B53423" w:rsidRDefault="004C74C2" w:rsidP="0015232B">
            <w:pPr>
              <w:spacing w:before="0" w:line="240" w:lineRule="auto"/>
              <w:ind w:right="432"/>
              <w:jc w:val="right"/>
              <w:rPr>
                <w:b/>
                <w:bCs/>
                <w:color w:val="000000"/>
              </w:rPr>
            </w:pPr>
            <w:r w:rsidRPr="00B53423">
              <w:rPr>
                <w:lang w:val="en-IN" w:eastAsia="en-IN"/>
              </w:rPr>
              <w:t>6.87%</w:t>
            </w:r>
          </w:p>
        </w:tc>
      </w:tr>
    </w:tbl>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Accordingly, based on the above, the revised interest on long term loan claimed by the Petitioner works out to Rs. 1.61 Crore. Further, considering the interest capitalization equivalent to Rs. 1.61 Crore, the net interest on long term loan, claimed by the Petitioner works out to Nil for FY 2008-09.</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further submitted that subsequent to the approval of the True-up Order for FY 2000-01 to 2007-08 on 21</w:t>
      </w:r>
      <w:r w:rsidRPr="00B53423">
        <w:rPr>
          <w:vertAlign w:val="superscript"/>
        </w:rPr>
        <w:t>st</w:t>
      </w:r>
      <w:r w:rsidRPr="00B53423">
        <w:t xml:space="preserve"> May, 2013 and the suo-motu Tariff Order for FY 2013-14, the Commission has itself prescribed that the actual loan balances and interest expenses would not be considered; instead a normative approach with a gearing of 70:30 would be applicable.</w:t>
      </w:r>
    </w:p>
    <w:p w:rsidR="004C74C2" w:rsidRPr="00B53423" w:rsidRDefault="004C74C2" w:rsidP="0015232B">
      <w:pPr>
        <w:pStyle w:val="Heading3"/>
        <w:keepNext w:val="0"/>
        <w:numPr>
          <w:ilvl w:val="0"/>
          <w:numId w:val="0"/>
        </w:numPr>
        <w:ind w:left="450"/>
      </w:pPr>
      <w:r w:rsidRPr="00B53423">
        <w:t xml:space="preserve"> </w:t>
      </w:r>
    </w:p>
    <w:p w:rsidR="004C74C2" w:rsidRPr="00B53423" w:rsidRDefault="004C74C2" w:rsidP="0015232B">
      <w:pPr>
        <w:pStyle w:val="Heading3"/>
        <w:keepNext w:val="0"/>
        <w:ind w:hanging="1080"/>
      </w:pPr>
      <w:r w:rsidRPr="00B53423">
        <w:t xml:space="preserve">The Petitioner added that although the submissions made by it in the True-up Petitions are strictly in line with the Audited Accounts which have been furnished to the Commission, however the capitalisation and ARR components such as depreciation, interest and other expenses may be allowed by the Commission based on the normative approach. </w:t>
      </w:r>
    </w:p>
    <w:p w:rsidR="004C74C2" w:rsidRPr="00B53423" w:rsidRDefault="004C74C2" w:rsidP="0015232B">
      <w:pPr>
        <w:pStyle w:val="ListParagraph"/>
        <w:ind w:left="180"/>
      </w:pPr>
    </w:p>
    <w:p w:rsidR="004C74C2" w:rsidRPr="00B53423" w:rsidRDefault="004C74C2" w:rsidP="0015232B">
      <w:pPr>
        <w:pStyle w:val="Heading3"/>
        <w:keepNext w:val="0"/>
        <w:ind w:hanging="1080"/>
      </w:pPr>
      <w:bookmarkStart w:id="412" w:name="_Ref396853799"/>
      <w:r w:rsidRPr="00B53423">
        <w:t>In line with the approach adopted in previous Orders, interest cost has been considered as an uncontrollable cost as the interest rate regime is determined by various external factors and the actual loans taken are consequential to the capital expenditure undertaken by the Petitioner.</w:t>
      </w:r>
      <w:bookmarkEnd w:id="412"/>
    </w:p>
    <w:p w:rsidR="004C74C2" w:rsidRPr="00B53423" w:rsidRDefault="004C74C2" w:rsidP="0015232B">
      <w:pPr>
        <w:pStyle w:val="ListParagraph"/>
        <w:ind w:left="180"/>
      </w:pPr>
    </w:p>
    <w:p w:rsidR="004C74C2" w:rsidRPr="00B53423" w:rsidRDefault="004C74C2" w:rsidP="0015232B">
      <w:pPr>
        <w:pStyle w:val="Heading3"/>
        <w:keepNext w:val="0"/>
        <w:ind w:hanging="1080"/>
      </w:pPr>
      <w:bookmarkStart w:id="413" w:name="_Ref396854682"/>
      <w:r w:rsidRPr="00B53423">
        <w:t>For the above purpose, the Commission has derived actual capital investments undertaken by the Petitioner in FY 2008-09, based on the Audited Accounts. The details are provided in the Table below:</w:t>
      </w:r>
      <w:bookmarkEnd w:id="413"/>
    </w:p>
    <w:p w:rsidR="004C74C2" w:rsidRPr="00B53423" w:rsidRDefault="004C74C2" w:rsidP="0015232B">
      <w:pPr>
        <w:pStyle w:val="ListParagraph"/>
        <w:ind w:left="180"/>
      </w:pPr>
    </w:p>
    <w:p w:rsidR="004C74C2" w:rsidRPr="00B53423" w:rsidRDefault="004C74C2" w:rsidP="0015232B">
      <w:pPr>
        <w:jc w:val="center"/>
        <w:rPr>
          <w:rFonts w:asciiTheme="minorHAnsi" w:hAnsiTheme="minorHAnsi" w:cstheme="minorHAnsi"/>
          <w:b/>
        </w:rPr>
      </w:pPr>
      <w:bookmarkStart w:id="414" w:name="_Toc356913183"/>
      <w:bookmarkStart w:id="415" w:name="_Toc399626319"/>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8</w:t>
      </w:r>
      <w:r w:rsidR="005D68E7" w:rsidRPr="00B53423">
        <w:rPr>
          <w:rFonts w:asciiTheme="minorHAnsi" w:hAnsiTheme="minorHAnsi" w:cstheme="minorHAnsi"/>
          <w:b/>
        </w:rPr>
        <w:fldChar w:fldCharType="end"/>
      </w:r>
      <w:r w:rsidRPr="00B53423">
        <w:rPr>
          <w:rFonts w:asciiTheme="minorHAnsi" w:hAnsiTheme="minorHAnsi" w:cstheme="minorHAnsi"/>
          <w:b/>
        </w:rPr>
        <w:t>: CAPITAL INVESTMENTS IN FY 2008-09 (Rs. Crore)</w:t>
      </w:r>
      <w:bookmarkEnd w:id="414"/>
      <w:bookmarkEnd w:id="415"/>
    </w:p>
    <w:tbl>
      <w:tblPr>
        <w:tblW w:w="8285"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12"/>
        <w:gridCol w:w="1336"/>
        <w:gridCol w:w="1161"/>
        <w:gridCol w:w="1161"/>
        <w:gridCol w:w="1215"/>
      </w:tblGrid>
      <w:tr w:rsidR="004C74C2" w:rsidRPr="00B53423" w:rsidTr="009268E4">
        <w:trPr>
          <w:trHeight w:val="255"/>
          <w:tblHeader/>
        </w:trPr>
        <w:tc>
          <w:tcPr>
            <w:tcW w:w="3515" w:type="dxa"/>
            <w:vMerge w:val="restart"/>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Particulars</w:t>
            </w:r>
          </w:p>
        </w:tc>
        <w:tc>
          <w:tcPr>
            <w:tcW w:w="4770" w:type="dxa"/>
            <w:gridSpan w:val="4"/>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lang w:val="en-US"/>
              </w:rPr>
              <w:t>FY 2008-09</w:t>
            </w:r>
          </w:p>
        </w:tc>
      </w:tr>
      <w:tr w:rsidR="004C74C2" w:rsidRPr="00B53423" w:rsidTr="009268E4">
        <w:trPr>
          <w:trHeight w:val="300"/>
          <w:tblHeader/>
        </w:trPr>
        <w:tc>
          <w:tcPr>
            <w:tcW w:w="3515" w:type="dxa"/>
            <w:vMerge/>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p>
        </w:tc>
        <w:tc>
          <w:tcPr>
            <w:tcW w:w="135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Tariff Order</w:t>
            </w:r>
          </w:p>
        </w:tc>
        <w:tc>
          <w:tcPr>
            <w:tcW w:w="117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Audited</w:t>
            </w:r>
          </w:p>
        </w:tc>
        <w:tc>
          <w:tcPr>
            <w:tcW w:w="117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Petition</w:t>
            </w:r>
          </w:p>
        </w:tc>
        <w:tc>
          <w:tcPr>
            <w:tcW w:w="108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515"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Opening WIP  as on 1</w:t>
            </w:r>
            <w:r w:rsidRPr="00B53423">
              <w:rPr>
                <w:rFonts w:cs="Calibri"/>
                <w:vertAlign w:val="superscript"/>
                <w:lang w:val="en-US"/>
              </w:rPr>
              <w:t>st</w:t>
            </w:r>
            <w:r w:rsidRPr="00B53423">
              <w:rPr>
                <w:rFonts w:cs="Calibri"/>
                <w:lang w:val="en-US"/>
              </w:rPr>
              <w:t xml:space="preserve"> April</w:t>
            </w:r>
          </w:p>
        </w:tc>
        <w:tc>
          <w:tcPr>
            <w:tcW w:w="1350" w:type="dxa"/>
            <w:shd w:val="clear" w:color="auto" w:fill="auto"/>
            <w:vAlign w:val="bottom"/>
            <w:hideMark/>
          </w:tcPr>
          <w:p w:rsidR="004C74C2" w:rsidRPr="00B53423" w:rsidRDefault="004C74C2" w:rsidP="0015232B">
            <w:pPr>
              <w:spacing w:before="0" w:line="240" w:lineRule="auto"/>
              <w:ind w:right="162"/>
              <w:jc w:val="right"/>
              <w:rPr>
                <w:rFonts w:cs="Calibri"/>
                <w:color w:val="000000"/>
              </w:rPr>
            </w:pPr>
            <w:r w:rsidRPr="00B53423">
              <w:rPr>
                <w:rFonts w:cs="Calibri"/>
                <w:color w:val="000000"/>
              </w:rPr>
              <w:t xml:space="preserve"> 24.07 </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107.17</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107.17</w:t>
            </w:r>
          </w:p>
        </w:tc>
        <w:tc>
          <w:tcPr>
            <w:tcW w:w="108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107.17</w:t>
            </w:r>
          </w:p>
        </w:tc>
      </w:tr>
      <w:tr w:rsidR="004C74C2" w:rsidRPr="00B53423" w:rsidTr="009268E4">
        <w:trPr>
          <w:trHeight w:val="330"/>
        </w:trPr>
        <w:tc>
          <w:tcPr>
            <w:tcW w:w="3515"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Investments</w:t>
            </w:r>
          </w:p>
        </w:tc>
        <w:tc>
          <w:tcPr>
            <w:tcW w:w="1350" w:type="dxa"/>
            <w:shd w:val="clear" w:color="auto" w:fill="auto"/>
            <w:vAlign w:val="bottom"/>
            <w:hideMark/>
          </w:tcPr>
          <w:p w:rsidR="004C74C2" w:rsidRPr="00B53423" w:rsidRDefault="004C74C2" w:rsidP="0015232B">
            <w:pPr>
              <w:spacing w:before="0" w:line="240" w:lineRule="auto"/>
              <w:ind w:right="162"/>
              <w:jc w:val="right"/>
              <w:rPr>
                <w:rFonts w:cs="Calibri"/>
                <w:color w:val="000000"/>
              </w:rPr>
            </w:pPr>
            <w:r w:rsidRPr="00B53423">
              <w:rPr>
                <w:rFonts w:cs="Calibri"/>
                <w:color w:val="000000"/>
              </w:rPr>
              <w:t xml:space="preserve"> 111.27 </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60.29</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60.29</w:t>
            </w:r>
          </w:p>
        </w:tc>
        <w:tc>
          <w:tcPr>
            <w:tcW w:w="108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60.29</w:t>
            </w:r>
          </w:p>
        </w:tc>
      </w:tr>
      <w:tr w:rsidR="004C74C2" w:rsidRPr="00B53423" w:rsidTr="009268E4">
        <w:trPr>
          <w:trHeight w:val="300"/>
        </w:trPr>
        <w:tc>
          <w:tcPr>
            <w:tcW w:w="3515"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 xml:space="preserve">Employee Expenses Capitalisation </w:t>
            </w:r>
          </w:p>
        </w:tc>
        <w:tc>
          <w:tcPr>
            <w:tcW w:w="1350" w:type="dxa"/>
            <w:shd w:val="clear" w:color="auto" w:fill="auto"/>
            <w:vAlign w:val="bottom"/>
            <w:hideMark/>
          </w:tcPr>
          <w:p w:rsidR="004C74C2" w:rsidRPr="00B53423" w:rsidRDefault="004C74C2" w:rsidP="0015232B">
            <w:pPr>
              <w:spacing w:before="0" w:line="240" w:lineRule="auto"/>
              <w:ind w:right="162"/>
              <w:jc w:val="right"/>
              <w:rPr>
                <w:rFonts w:cs="Calibri"/>
                <w:color w:val="000000"/>
              </w:rPr>
            </w:pPr>
            <w:r w:rsidRPr="00B53423">
              <w:rPr>
                <w:rFonts w:cs="Calibri"/>
                <w:color w:val="000000"/>
              </w:rPr>
              <w:t xml:space="preserve"> 11.08 </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2.66</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2.66</w:t>
            </w:r>
          </w:p>
        </w:tc>
        <w:tc>
          <w:tcPr>
            <w:tcW w:w="108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2.66</w:t>
            </w:r>
          </w:p>
        </w:tc>
      </w:tr>
      <w:tr w:rsidR="004C74C2" w:rsidRPr="00B53423" w:rsidTr="009268E4">
        <w:trPr>
          <w:trHeight w:val="300"/>
        </w:trPr>
        <w:tc>
          <w:tcPr>
            <w:tcW w:w="3515"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A&amp;G Expenses Capitalisation</w:t>
            </w:r>
          </w:p>
        </w:tc>
        <w:tc>
          <w:tcPr>
            <w:tcW w:w="1350" w:type="dxa"/>
            <w:shd w:val="clear" w:color="auto" w:fill="auto"/>
            <w:vAlign w:val="bottom"/>
            <w:hideMark/>
          </w:tcPr>
          <w:p w:rsidR="004C74C2" w:rsidRPr="00B53423" w:rsidRDefault="004C74C2" w:rsidP="0015232B">
            <w:pPr>
              <w:spacing w:before="0" w:line="240" w:lineRule="auto"/>
              <w:ind w:right="162"/>
              <w:jc w:val="right"/>
              <w:rPr>
                <w:rFonts w:cs="Calibri"/>
                <w:color w:val="000000"/>
              </w:rPr>
            </w:pPr>
            <w:r w:rsidRPr="00B53423">
              <w:rPr>
                <w:rFonts w:cs="Calibri"/>
                <w:color w:val="000000"/>
              </w:rPr>
              <w:t xml:space="preserve">  </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08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r>
      <w:tr w:rsidR="004C74C2" w:rsidRPr="00B53423" w:rsidTr="009268E4">
        <w:trPr>
          <w:trHeight w:val="600"/>
        </w:trPr>
        <w:tc>
          <w:tcPr>
            <w:tcW w:w="3515"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Interest Capitalisation on Interest on long term loans</w:t>
            </w:r>
          </w:p>
        </w:tc>
        <w:tc>
          <w:tcPr>
            <w:tcW w:w="1350" w:type="dxa"/>
            <w:shd w:val="clear" w:color="auto" w:fill="auto"/>
            <w:vAlign w:val="bottom"/>
            <w:hideMark/>
          </w:tcPr>
          <w:p w:rsidR="004C74C2" w:rsidRPr="00B53423" w:rsidRDefault="004C74C2" w:rsidP="0015232B">
            <w:pPr>
              <w:spacing w:before="0" w:line="240" w:lineRule="auto"/>
              <w:ind w:right="162"/>
              <w:jc w:val="right"/>
              <w:rPr>
                <w:rFonts w:cs="Calibri"/>
                <w:color w:val="000000"/>
              </w:rPr>
            </w:pPr>
            <w:r w:rsidRPr="00B53423">
              <w:rPr>
                <w:rFonts w:cs="Calibri"/>
                <w:color w:val="000000"/>
              </w:rPr>
              <w:t xml:space="preserve"> 2.63 </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8.73</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8.73</w:t>
            </w:r>
          </w:p>
        </w:tc>
        <w:tc>
          <w:tcPr>
            <w:tcW w:w="108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8.73</w:t>
            </w:r>
          </w:p>
        </w:tc>
      </w:tr>
      <w:tr w:rsidR="004C74C2" w:rsidRPr="00B53423" w:rsidTr="009268E4">
        <w:trPr>
          <w:trHeight w:val="300"/>
        </w:trPr>
        <w:tc>
          <w:tcPr>
            <w:tcW w:w="3515"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Total Investments</w:t>
            </w:r>
          </w:p>
        </w:tc>
        <w:tc>
          <w:tcPr>
            <w:tcW w:w="1350" w:type="dxa"/>
            <w:shd w:val="clear" w:color="auto" w:fill="auto"/>
            <w:vAlign w:val="bottom"/>
            <w:hideMark/>
          </w:tcPr>
          <w:p w:rsidR="004C74C2" w:rsidRPr="00B53423" w:rsidRDefault="004C74C2" w:rsidP="0015232B">
            <w:pPr>
              <w:spacing w:before="0" w:line="240" w:lineRule="auto"/>
              <w:ind w:right="162"/>
              <w:jc w:val="right"/>
              <w:rPr>
                <w:rFonts w:cs="Calibri"/>
                <w:b/>
                <w:bCs/>
                <w:color w:val="000000"/>
              </w:rPr>
            </w:pPr>
            <w:r w:rsidRPr="00B53423">
              <w:rPr>
                <w:rFonts w:cs="Calibri"/>
                <w:b/>
                <w:bCs/>
                <w:color w:val="000000"/>
              </w:rPr>
              <w:t xml:space="preserve"> 149.06 </w:t>
            </w:r>
          </w:p>
        </w:tc>
        <w:tc>
          <w:tcPr>
            <w:tcW w:w="117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178.85</w:t>
            </w:r>
          </w:p>
        </w:tc>
        <w:tc>
          <w:tcPr>
            <w:tcW w:w="117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178.85</w:t>
            </w:r>
          </w:p>
        </w:tc>
        <w:tc>
          <w:tcPr>
            <w:tcW w:w="108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178.85</w:t>
            </w:r>
          </w:p>
        </w:tc>
      </w:tr>
      <w:tr w:rsidR="004C74C2" w:rsidRPr="00B53423" w:rsidTr="009268E4">
        <w:trPr>
          <w:trHeight w:val="300"/>
        </w:trPr>
        <w:tc>
          <w:tcPr>
            <w:tcW w:w="3515"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Transferred to GFA (Total Capitalisation)</w:t>
            </w:r>
          </w:p>
        </w:tc>
        <w:tc>
          <w:tcPr>
            <w:tcW w:w="1350" w:type="dxa"/>
            <w:shd w:val="clear" w:color="auto" w:fill="auto"/>
            <w:vAlign w:val="bottom"/>
            <w:hideMark/>
          </w:tcPr>
          <w:p w:rsidR="004C74C2" w:rsidRPr="00B53423" w:rsidRDefault="004C74C2" w:rsidP="0015232B">
            <w:pPr>
              <w:spacing w:before="0" w:line="240" w:lineRule="auto"/>
              <w:ind w:right="162"/>
              <w:jc w:val="right"/>
              <w:rPr>
                <w:rFonts w:cs="Calibri"/>
                <w:b/>
                <w:bCs/>
                <w:color w:val="000000"/>
              </w:rPr>
            </w:pPr>
            <w:r w:rsidRPr="00B53423">
              <w:rPr>
                <w:rFonts w:cs="Calibri"/>
                <w:b/>
                <w:bCs/>
                <w:color w:val="000000"/>
              </w:rPr>
              <w:t xml:space="preserve"> 111.57 </w:t>
            </w:r>
          </w:p>
        </w:tc>
        <w:tc>
          <w:tcPr>
            <w:tcW w:w="117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128.56</w:t>
            </w:r>
          </w:p>
        </w:tc>
        <w:tc>
          <w:tcPr>
            <w:tcW w:w="117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128.56</w:t>
            </w:r>
          </w:p>
        </w:tc>
        <w:tc>
          <w:tcPr>
            <w:tcW w:w="108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128.56</w:t>
            </w:r>
          </w:p>
        </w:tc>
      </w:tr>
      <w:tr w:rsidR="004C74C2" w:rsidRPr="00B53423" w:rsidTr="009268E4">
        <w:trPr>
          <w:trHeight w:val="300"/>
        </w:trPr>
        <w:tc>
          <w:tcPr>
            <w:tcW w:w="3515"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Closing WIP</w:t>
            </w:r>
          </w:p>
        </w:tc>
        <w:tc>
          <w:tcPr>
            <w:tcW w:w="1350" w:type="dxa"/>
            <w:shd w:val="clear" w:color="auto" w:fill="auto"/>
            <w:vAlign w:val="bottom"/>
            <w:hideMark/>
          </w:tcPr>
          <w:p w:rsidR="004C74C2" w:rsidRPr="00B53423" w:rsidRDefault="004C74C2" w:rsidP="0015232B">
            <w:pPr>
              <w:spacing w:before="0" w:line="240" w:lineRule="auto"/>
              <w:ind w:right="162"/>
              <w:jc w:val="right"/>
              <w:rPr>
                <w:rFonts w:cs="Calibri"/>
                <w:b/>
                <w:bCs/>
                <w:color w:val="000000"/>
              </w:rPr>
            </w:pPr>
            <w:r w:rsidRPr="00B53423">
              <w:rPr>
                <w:rFonts w:cs="Calibri"/>
                <w:b/>
                <w:bCs/>
                <w:color w:val="000000"/>
              </w:rPr>
              <w:t xml:space="preserve"> 37.50 </w:t>
            </w:r>
          </w:p>
        </w:tc>
        <w:tc>
          <w:tcPr>
            <w:tcW w:w="117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50.29</w:t>
            </w:r>
          </w:p>
        </w:tc>
        <w:tc>
          <w:tcPr>
            <w:tcW w:w="117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50.29</w:t>
            </w:r>
          </w:p>
        </w:tc>
        <w:tc>
          <w:tcPr>
            <w:tcW w:w="108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50.29</w:t>
            </w:r>
          </w:p>
        </w:tc>
      </w:tr>
    </w:tbl>
    <w:p w:rsidR="004C74C2" w:rsidRPr="00B53423" w:rsidRDefault="004C74C2" w:rsidP="0015232B">
      <w:pPr>
        <w:spacing w:before="0"/>
        <w:jc w:val="center"/>
        <w:rPr>
          <w:rFonts w:asciiTheme="minorHAnsi" w:hAnsiTheme="minorHAnsi" w:cstheme="minorHAnsi"/>
          <w:b/>
        </w:rPr>
      </w:pPr>
    </w:p>
    <w:p w:rsidR="004C74C2" w:rsidRPr="00B53423" w:rsidRDefault="004C74C2" w:rsidP="0015232B">
      <w:pPr>
        <w:pStyle w:val="Heading3"/>
        <w:keepNext w:val="0"/>
        <w:ind w:hanging="1080"/>
      </w:pPr>
      <w:r w:rsidRPr="00B53423">
        <w:t>The Commission has followed the same approach as in previous Orders and therefore, considering the normative 70:30 gearing approach, wherein 70% of the capital expenditure undertaken in any year has been considered to be financed through loan and balance 30% has been considered to be financed through equity contributions.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vide its deficiency note had asked the Petitioner to submit the details of the GFA addition on account of Consumer Contribution, Grants and subsidies for FY 2008-09. In reply to the Commission’s query the Petitioner submitted the details of GFA addition on account of Consumer Contribution, Grants and subsidies for FY 2008-09 as shown in the Table below:</w:t>
      </w:r>
    </w:p>
    <w:p w:rsidR="004C74C2" w:rsidRPr="00B53423" w:rsidRDefault="004C74C2" w:rsidP="0015232B">
      <w:pPr>
        <w:pStyle w:val="ListParagraph"/>
        <w:spacing w:line="312" w:lineRule="auto"/>
        <w:ind w:left="360"/>
        <w:rPr>
          <w:rFonts w:asciiTheme="minorHAnsi" w:hAnsiTheme="minorHAnsi" w:cstheme="minorHAnsi"/>
          <w:b/>
        </w:rPr>
      </w:pPr>
    </w:p>
    <w:p w:rsidR="005D7AFD" w:rsidRPr="00B53423" w:rsidRDefault="004C74C2" w:rsidP="0015232B">
      <w:pPr>
        <w:pStyle w:val="ListParagraph"/>
        <w:spacing w:line="312" w:lineRule="auto"/>
        <w:ind w:left="360" w:firstLine="360"/>
        <w:jc w:val="center"/>
        <w:rPr>
          <w:rFonts w:asciiTheme="minorHAnsi" w:hAnsiTheme="minorHAnsi"/>
          <w:sz w:val="22"/>
          <w:szCs w:val="22"/>
        </w:rPr>
      </w:pPr>
      <w:bookmarkStart w:id="416" w:name="_Toc399626320"/>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9</w:t>
      </w:r>
      <w:r w:rsidR="005D68E7" w:rsidRPr="00B53423">
        <w:rPr>
          <w:rFonts w:asciiTheme="minorHAnsi" w:hAnsiTheme="minorHAnsi" w:cstheme="minorHAnsi"/>
          <w:b/>
        </w:rPr>
        <w:fldChar w:fldCharType="end"/>
      </w:r>
      <w:r w:rsidRPr="00B53423">
        <w:rPr>
          <w:rFonts w:asciiTheme="minorHAnsi" w:hAnsiTheme="minorHAnsi" w:cstheme="minorHAnsi"/>
          <w:b/>
        </w:rPr>
        <w:t xml:space="preserve">: </w:t>
      </w:r>
      <w:r w:rsidRPr="00B53423">
        <w:rPr>
          <w:rFonts w:asciiTheme="minorHAnsi" w:hAnsiTheme="minorHAnsi"/>
          <w:sz w:val="22"/>
          <w:szCs w:val="22"/>
        </w:rPr>
        <w:t xml:space="preserve"> </w:t>
      </w:r>
      <w:r w:rsidRPr="00B53423">
        <w:rPr>
          <w:rFonts w:asciiTheme="minorHAnsi" w:hAnsiTheme="minorHAnsi"/>
          <w:b/>
          <w:sz w:val="22"/>
          <w:szCs w:val="22"/>
        </w:rPr>
        <w:t>CONSUMER CONTRIBUTION</w:t>
      </w:r>
      <w:r w:rsidRPr="00B53423">
        <w:rPr>
          <w:rFonts w:asciiTheme="minorHAnsi" w:hAnsiTheme="minorHAnsi" w:cstheme="minorHAnsi"/>
          <w:b/>
          <w:sz w:val="22"/>
          <w:szCs w:val="22"/>
        </w:rPr>
        <w:t>, GRANTS AND SUBSIDIES (Rs. Crore)</w:t>
      </w:r>
      <w:bookmarkEnd w:id="416"/>
    </w:p>
    <w:tbl>
      <w:tblPr>
        <w:tblW w:w="7369" w:type="dxa"/>
        <w:tblInd w:w="13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490"/>
        <w:gridCol w:w="1879"/>
      </w:tblGrid>
      <w:tr w:rsidR="004C74C2" w:rsidRPr="00B53423" w:rsidTr="00E271FD">
        <w:trPr>
          <w:trHeight w:val="300"/>
          <w:tblHeader/>
        </w:trPr>
        <w:tc>
          <w:tcPr>
            <w:tcW w:w="5490" w:type="dxa"/>
            <w:shd w:val="clear" w:color="auto" w:fill="DBE5F1" w:themeFill="accent1" w:themeFillTint="33"/>
            <w:noWrap/>
            <w:vAlign w:val="center"/>
            <w:hideMark/>
          </w:tcPr>
          <w:p w:rsidR="004C74C2" w:rsidRPr="00B53423" w:rsidRDefault="004C74C2" w:rsidP="0015232B">
            <w:pPr>
              <w:spacing w:before="0"/>
              <w:jc w:val="center"/>
              <w:rPr>
                <w:b/>
                <w:bCs/>
                <w:color w:val="000000"/>
              </w:rPr>
            </w:pPr>
            <w:r w:rsidRPr="00B53423">
              <w:rPr>
                <w:b/>
                <w:bCs/>
                <w:color w:val="000000"/>
              </w:rPr>
              <w:t>Particulars</w:t>
            </w:r>
          </w:p>
        </w:tc>
        <w:tc>
          <w:tcPr>
            <w:tcW w:w="1879" w:type="dxa"/>
            <w:shd w:val="clear" w:color="auto" w:fill="DBE5F1" w:themeFill="accent1" w:themeFillTint="33"/>
            <w:noWrap/>
            <w:vAlign w:val="center"/>
            <w:hideMark/>
          </w:tcPr>
          <w:p w:rsidR="004C74C2" w:rsidRPr="00B53423" w:rsidRDefault="004C74C2" w:rsidP="0015232B">
            <w:pPr>
              <w:spacing w:before="0"/>
              <w:jc w:val="center"/>
              <w:rPr>
                <w:b/>
                <w:bCs/>
                <w:color w:val="000000"/>
              </w:rPr>
            </w:pPr>
            <w:r w:rsidRPr="00B53423">
              <w:rPr>
                <w:b/>
                <w:bCs/>
                <w:color w:val="000000"/>
              </w:rPr>
              <w:t>FY 2008-09</w:t>
            </w:r>
          </w:p>
        </w:tc>
      </w:tr>
      <w:tr w:rsidR="004C74C2" w:rsidRPr="00B53423" w:rsidTr="00E271FD">
        <w:trPr>
          <w:trHeight w:val="300"/>
        </w:trPr>
        <w:tc>
          <w:tcPr>
            <w:tcW w:w="5490"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Opening Balance</w:t>
            </w:r>
          </w:p>
        </w:tc>
        <w:tc>
          <w:tcPr>
            <w:tcW w:w="1879" w:type="dxa"/>
            <w:shd w:val="clear" w:color="auto" w:fill="auto"/>
            <w:noWrap/>
            <w:vAlign w:val="center"/>
            <w:hideMark/>
          </w:tcPr>
          <w:p w:rsidR="004C74C2" w:rsidRPr="00B53423" w:rsidRDefault="004C74C2" w:rsidP="0015232B">
            <w:pPr>
              <w:spacing w:before="0" w:line="240" w:lineRule="auto"/>
              <w:ind w:right="320"/>
              <w:jc w:val="right"/>
              <w:rPr>
                <w:color w:val="000000"/>
              </w:rPr>
            </w:pPr>
            <w:r w:rsidRPr="00B53423">
              <w:rPr>
                <w:color w:val="000000"/>
              </w:rPr>
              <w:t>106.70</w:t>
            </w:r>
          </w:p>
        </w:tc>
      </w:tr>
      <w:tr w:rsidR="004C74C2" w:rsidRPr="00B53423" w:rsidTr="00E271FD">
        <w:trPr>
          <w:trHeight w:val="300"/>
        </w:trPr>
        <w:tc>
          <w:tcPr>
            <w:tcW w:w="5490"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Additions during the year</w:t>
            </w:r>
          </w:p>
        </w:tc>
        <w:tc>
          <w:tcPr>
            <w:tcW w:w="1879" w:type="dxa"/>
            <w:shd w:val="clear" w:color="auto" w:fill="auto"/>
            <w:noWrap/>
            <w:vAlign w:val="center"/>
            <w:hideMark/>
          </w:tcPr>
          <w:p w:rsidR="004C74C2" w:rsidRPr="00B53423" w:rsidRDefault="004C74C2" w:rsidP="0015232B">
            <w:pPr>
              <w:spacing w:before="0" w:line="240" w:lineRule="auto"/>
              <w:ind w:right="320"/>
              <w:jc w:val="right"/>
              <w:rPr>
                <w:color w:val="000000"/>
              </w:rPr>
            </w:pPr>
            <w:r w:rsidRPr="00B53423">
              <w:rPr>
                <w:color w:val="000000"/>
              </w:rPr>
              <w:t>15.11</w:t>
            </w:r>
          </w:p>
        </w:tc>
      </w:tr>
      <w:tr w:rsidR="004C74C2" w:rsidRPr="00B53423" w:rsidTr="00E271FD">
        <w:trPr>
          <w:trHeight w:val="300"/>
        </w:trPr>
        <w:tc>
          <w:tcPr>
            <w:tcW w:w="5490"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Amortization</w:t>
            </w:r>
          </w:p>
        </w:tc>
        <w:tc>
          <w:tcPr>
            <w:tcW w:w="1879" w:type="dxa"/>
            <w:shd w:val="clear" w:color="auto" w:fill="auto"/>
            <w:noWrap/>
            <w:vAlign w:val="center"/>
            <w:hideMark/>
          </w:tcPr>
          <w:p w:rsidR="004C74C2" w:rsidRPr="00B53423" w:rsidRDefault="004C74C2" w:rsidP="0015232B">
            <w:pPr>
              <w:spacing w:before="0" w:line="240" w:lineRule="auto"/>
              <w:ind w:right="320"/>
              <w:jc w:val="right"/>
              <w:rPr>
                <w:color w:val="000000"/>
              </w:rPr>
            </w:pPr>
            <w:r w:rsidRPr="00B53423">
              <w:rPr>
                <w:color w:val="000000"/>
              </w:rPr>
              <w:t>32.73</w:t>
            </w:r>
          </w:p>
        </w:tc>
      </w:tr>
      <w:tr w:rsidR="004C74C2" w:rsidRPr="00B53423" w:rsidTr="00E271FD">
        <w:trPr>
          <w:trHeight w:val="300"/>
        </w:trPr>
        <w:tc>
          <w:tcPr>
            <w:tcW w:w="5490"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Closing Balance</w:t>
            </w:r>
          </w:p>
        </w:tc>
        <w:tc>
          <w:tcPr>
            <w:tcW w:w="1879" w:type="dxa"/>
            <w:shd w:val="clear" w:color="auto" w:fill="auto"/>
            <w:noWrap/>
            <w:vAlign w:val="center"/>
            <w:hideMark/>
          </w:tcPr>
          <w:p w:rsidR="004C74C2" w:rsidRPr="00B53423" w:rsidRDefault="004C74C2" w:rsidP="0015232B">
            <w:pPr>
              <w:spacing w:before="0" w:line="240" w:lineRule="auto"/>
              <w:ind w:right="320"/>
              <w:jc w:val="right"/>
              <w:rPr>
                <w:b/>
                <w:bCs/>
                <w:color w:val="000000"/>
              </w:rPr>
            </w:pPr>
            <w:r w:rsidRPr="00B53423">
              <w:rPr>
                <w:b/>
                <w:bCs/>
                <w:color w:val="000000"/>
              </w:rPr>
              <w:t>89.08</w:t>
            </w:r>
          </w:p>
        </w:tc>
      </w:tr>
    </w:tbl>
    <w:p w:rsidR="004C74C2" w:rsidRPr="00B53423" w:rsidRDefault="004C74C2" w:rsidP="0015232B">
      <w:pPr>
        <w:spacing w:before="0"/>
      </w:pPr>
    </w:p>
    <w:p w:rsidR="004C74C2" w:rsidRPr="00B53423" w:rsidRDefault="004C74C2" w:rsidP="0015232B">
      <w:pPr>
        <w:pStyle w:val="Heading3"/>
        <w:keepNext w:val="0"/>
        <w:ind w:hanging="1080"/>
      </w:pPr>
      <w:r w:rsidRPr="00B53423">
        <w:t>The portion of capital expenditure financed through consumer contributions, capital subsidies and grants has been separated as the depreciation and interest thereon would not be charged to the consumers. The Commission has verified details of GFA addition on account of consumer contributions, capital subsidies and grants from the Audited Accounts of FY 2008-09.</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Thus, based on the above the approved financing of the capital investment is depicted in the Table below:</w:t>
      </w:r>
    </w:p>
    <w:p w:rsidR="004C74C2" w:rsidRPr="00B53423" w:rsidRDefault="004C74C2" w:rsidP="0015232B">
      <w:pPr>
        <w:jc w:val="center"/>
        <w:rPr>
          <w:rFonts w:asciiTheme="minorHAnsi" w:hAnsiTheme="minorHAnsi" w:cstheme="minorHAnsi"/>
          <w:b/>
        </w:rPr>
      </w:pPr>
      <w:bookmarkStart w:id="417" w:name="_Toc356913185"/>
    </w:p>
    <w:p w:rsidR="004C74C2" w:rsidRPr="00B53423" w:rsidRDefault="004C74C2" w:rsidP="0015232B">
      <w:pPr>
        <w:jc w:val="center"/>
        <w:rPr>
          <w:rFonts w:asciiTheme="minorHAnsi" w:hAnsiTheme="minorHAnsi" w:cstheme="minorHAnsi"/>
          <w:b/>
        </w:rPr>
      </w:pPr>
      <w:bookmarkStart w:id="418" w:name="_Toc399626321"/>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10</w:t>
      </w:r>
      <w:r w:rsidR="005D68E7" w:rsidRPr="00B53423">
        <w:rPr>
          <w:rFonts w:asciiTheme="minorHAnsi" w:hAnsiTheme="minorHAnsi" w:cstheme="minorHAnsi"/>
          <w:b/>
        </w:rPr>
        <w:fldChar w:fldCharType="end"/>
      </w:r>
      <w:r w:rsidRPr="00B53423">
        <w:rPr>
          <w:rFonts w:asciiTheme="minorHAnsi" w:hAnsiTheme="minorHAnsi" w:cstheme="minorHAnsi"/>
          <w:b/>
        </w:rPr>
        <w:t>: FINANCING OF THE CAPITAL INVESTMENTS IN FY 2008-09 (Rs. Crore)</w:t>
      </w:r>
      <w:bookmarkEnd w:id="417"/>
      <w:bookmarkEnd w:id="418"/>
    </w:p>
    <w:tbl>
      <w:tblPr>
        <w:tblW w:w="8617"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998"/>
        <w:gridCol w:w="1265"/>
        <w:gridCol w:w="1071"/>
        <w:gridCol w:w="1003"/>
        <w:gridCol w:w="1003"/>
        <w:gridCol w:w="1277"/>
      </w:tblGrid>
      <w:tr w:rsidR="004C74C2" w:rsidRPr="00B53423" w:rsidTr="00F56923">
        <w:trPr>
          <w:trHeight w:val="300"/>
        </w:trPr>
        <w:tc>
          <w:tcPr>
            <w:tcW w:w="2998" w:type="dxa"/>
            <w:shd w:val="clear" w:color="auto" w:fill="DBE5F1" w:themeFill="accent1" w:themeFillTint="33"/>
            <w:vAlign w:val="center"/>
            <w:hideMark/>
          </w:tcPr>
          <w:p w:rsidR="004C74C2" w:rsidRPr="00B53423" w:rsidRDefault="004C74C2" w:rsidP="0015232B">
            <w:pPr>
              <w:spacing w:before="0" w:line="240" w:lineRule="auto"/>
              <w:jc w:val="left"/>
              <w:rPr>
                <w:rFonts w:cs="Calibri"/>
                <w:b/>
                <w:bCs/>
                <w:lang w:val="en-US"/>
              </w:rPr>
            </w:pPr>
            <w:r w:rsidRPr="00B53423">
              <w:rPr>
                <w:rFonts w:cs="Calibri"/>
                <w:b/>
                <w:bCs/>
                <w:lang w:val="en-US"/>
              </w:rPr>
              <w:t>Particulars</w:t>
            </w:r>
          </w:p>
        </w:tc>
        <w:tc>
          <w:tcPr>
            <w:tcW w:w="1265" w:type="dxa"/>
            <w:shd w:val="clear" w:color="auto" w:fill="DBE5F1" w:themeFill="accent1" w:themeFillTint="33"/>
          </w:tcPr>
          <w:p w:rsidR="004C74C2" w:rsidRPr="00B53423" w:rsidRDefault="004C74C2" w:rsidP="0015232B">
            <w:pPr>
              <w:spacing w:before="0" w:line="240" w:lineRule="auto"/>
              <w:jc w:val="center"/>
              <w:rPr>
                <w:rFonts w:cs="Calibri"/>
                <w:b/>
                <w:bCs/>
                <w:lang w:val="en-US"/>
              </w:rPr>
            </w:pPr>
            <w:r w:rsidRPr="00B53423">
              <w:rPr>
                <w:rFonts w:cs="Calibri"/>
                <w:b/>
                <w:bCs/>
                <w:lang w:val="en-US"/>
              </w:rPr>
              <w:t>Derivation</w:t>
            </w:r>
          </w:p>
        </w:tc>
        <w:tc>
          <w:tcPr>
            <w:tcW w:w="1071"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Tariff Order</w:t>
            </w:r>
          </w:p>
        </w:tc>
        <w:tc>
          <w:tcPr>
            <w:tcW w:w="1003" w:type="dxa"/>
            <w:shd w:val="clear" w:color="auto" w:fill="DBE5F1" w:themeFill="accent1" w:themeFillTint="33"/>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Audited</w:t>
            </w:r>
          </w:p>
        </w:tc>
        <w:tc>
          <w:tcPr>
            <w:tcW w:w="1003" w:type="dxa"/>
            <w:shd w:val="clear" w:color="auto" w:fill="DBE5F1" w:themeFill="accent1" w:themeFillTint="33"/>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1277" w:type="dxa"/>
            <w:shd w:val="clear" w:color="auto" w:fill="DBE5F1" w:themeFill="accent1" w:themeFillTint="33"/>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F56923" w:rsidRPr="00B53423" w:rsidTr="00487B60">
        <w:trPr>
          <w:trHeight w:val="300"/>
        </w:trPr>
        <w:tc>
          <w:tcPr>
            <w:tcW w:w="2998" w:type="dxa"/>
            <w:shd w:val="clear" w:color="auto" w:fill="auto"/>
            <w:hideMark/>
          </w:tcPr>
          <w:p w:rsidR="00F56923" w:rsidRPr="00B53423" w:rsidRDefault="00F56923" w:rsidP="0015232B">
            <w:pPr>
              <w:spacing w:before="0" w:line="240" w:lineRule="auto"/>
              <w:jc w:val="left"/>
              <w:rPr>
                <w:rFonts w:cs="Calibri"/>
                <w:lang w:val="en-US"/>
              </w:rPr>
            </w:pPr>
            <w:r w:rsidRPr="00B53423">
              <w:rPr>
                <w:rFonts w:cs="Calibri"/>
                <w:lang w:val="en-US"/>
              </w:rPr>
              <w:t>Investment</w:t>
            </w:r>
          </w:p>
        </w:tc>
        <w:tc>
          <w:tcPr>
            <w:tcW w:w="1265" w:type="dxa"/>
          </w:tcPr>
          <w:p w:rsidR="00F56923" w:rsidRPr="00B53423" w:rsidRDefault="00F56923" w:rsidP="0015232B">
            <w:pPr>
              <w:spacing w:before="0" w:line="240" w:lineRule="auto"/>
              <w:jc w:val="center"/>
              <w:rPr>
                <w:rFonts w:cs="Calibri"/>
                <w:lang w:val="en-US"/>
              </w:rPr>
            </w:pPr>
            <w:r w:rsidRPr="00B53423">
              <w:rPr>
                <w:rFonts w:cs="Calibri"/>
                <w:lang w:val="en-US"/>
              </w:rPr>
              <w:t>A</w:t>
            </w:r>
          </w:p>
        </w:tc>
        <w:tc>
          <w:tcPr>
            <w:tcW w:w="1071" w:type="dxa"/>
            <w:shd w:val="clear" w:color="auto" w:fill="auto"/>
            <w:vAlign w:val="center"/>
            <w:hideMark/>
          </w:tcPr>
          <w:p w:rsidR="00F56923" w:rsidRPr="00B53423" w:rsidRDefault="00F56923" w:rsidP="0015232B">
            <w:pPr>
              <w:spacing w:before="0" w:line="240" w:lineRule="auto"/>
              <w:jc w:val="right"/>
              <w:rPr>
                <w:rFonts w:cs="Calibri"/>
                <w:lang w:val="en-US"/>
              </w:rPr>
            </w:pPr>
            <w:r w:rsidRPr="00B53423">
              <w:rPr>
                <w:rFonts w:cs="Calibri"/>
                <w:lang w:val="en-US"/>
              </w:rPr>
              <w:t>124.99</w:t>
            </w:r>
          </w:p>
        </w:tc>
        <w:tc>
          <w:tcPr>
            <w:tcW w:w="1003" w:type="dxa"/>
            <w:shd w:val="clear" w:color="auto" w:fill="auto"/>
            <w:vAlign w:val="center"/>
            <w:hideMark/>
          </w:tcPr>
          <w:p w:rsidR="00F56923" w:rsidRPr="00B53423" w:rsidRDefault="00F56923" w:rsidP="0015232B">
            <w:pPr>
              <w:spacing w:before="0" w:line="240" w:lineRule="auto"/>
              <w:ind w:right="109"/>
              <w:jc w:val="right"/>
              <w:rPr>
                <w:rFonts w:cs="Calibri"/>
                <w:lang w:val="en-US"/>
              </w:rPr>
            </w:pPr>
            <w:r w:rsidRPr="00B53423">
              <w:rPr>
                <w:rFonts w:cs="Calibri"/>
                <w:lang w:val="en-US"/>
              </w:rPr>
              <w:t>60.91</w:t>
            </w:r>
          </w:p>
        </w:tc>
        <w:tc>
          <w:tcPr>
            <w:tcW w:w="1003" w:type="dxa"/>
            <w:shd w:val="clear" w:color="auto" w:fill="auto"/>
            <w:vAlign w:val="center"/>
            <w:hideMark/>
          </w:tcPr>
          <w:p w:rsidR="00F56923" w:rsidRPr="00B53423" w:rsidRDefault="00F56923" w:rsidP="0015232B">
            <w:pPr>
              <w:spacing w:before="0" w:line="240" w:lineRule="auto"/>
              <w:jc w:val="right"/>
              <w:rPr>
                <w:rFonts w:cs="Calibri"/>
                <w:lang w:val="en-US"/>
              </w:rPr>
            </w:pPr>
            <w:r w:rsidRPr="00B53423">
              <w:rPr>
                <w:rFonts w:cs="Calibri"/>
                <w:lang w:val="en-US"/>
              </w:rPr>
              <w:t xml:space="preserve">60.91 </w:t>
            </w:r>
          </w:p>
        </w:tc>
        <w:tc>
          <w:tcPr>
            <w:tcW w:w="1277" w:type="dxa"/>
            <w:shd w:val="clear" w:color="auto" w:fill="auto"/>
            <w:vAlign w:val="center"/>
            <w:hideMark/>
          </w:tcPr>
          <w:p w:rsidR="00F56923" w:rsidRPr="00B53423" w:rsidRDefault="00F56923" w:rsidP="0015232B">
            <w:pPr>
              <w:spacing w:before="0" w:line="240" w:lineRule="auto"/>
              <w:ind w:right="209"/>
              <w:jc w:val="right"/>
              <w:rPr>
                <w:rFonts w:cs="Calibri"/>
                <w:lang w:val="en-US"/>
              </w:rPr>
            </w:pPr>
            <w:r w:rsidRPr="00B53423">
              <w:rPr>
                <w:rFonts w:cs="Calibri"/>
                <w:sz w:val="22"/>
                <w:szCs w:val="22"/>
              </w:rPr>
              <w:t xml:space="preserve">  60.91 </w:t>
            </w:r>
          </w:p>
        </w:tc>
      </w:tr>
      <w:tr w:rsidR="00F56923" w:rsidRPr="00B53423" w:rsidTr="00487B60">
        <w:trPr>
          <w:trHeight w:val="300"/>
        </w:trPr>
        <w:tc>
          <w:tcPr>
            <w:tcW w:w="2998" w:type="dxa"/>
            <w:shd w:val="clear" w:color="auto" w:fill="auto"/>
            <w:hideMark/>
          </w:tcPr>
          <w:p w:rsidR="00F56923" w:rsidRPr="00B53423" w:rsidRDefault="00F56923" w:rsidP="0015232B">
            <w:pPr>
              <w:spacing w:before="0" w:line="240" w:lineRule="auto"/>
              <w:jc w:val="left"/>
              <w:rPr>
                <w:rFonts w:cs="Calibri"/>
                <w:lang w:val="en-US"/>
              </w:rPr>
            </w:pPr>
            <w:r w:rsidRPr="00B53423">
              <w:rPr>
                <w:rFonts w:cs="Calibri"/>
                <w:lang w:val="en-US"/>
              </w:rPr>
              <w:t xml:space="preserve">Less: </w:t>
            </w:r>
          </w:p>
        </w:tc>
        <w:tc>
          <w:tcPr>
            <w:tcW w:w="1265" w:type="dxa"/>
          </w:tcPr>
          <w:p w:rsidR="00F56923" w:rsidRPr="00B53423" w:rsidRDefault="00F56923" w:rsidP="0015232B">
            <w:pPr>
              <w:spacing w:before="0" w:line="240" w:lineRule="auto"/>
              <w:jc w:val="center"/>
              <w:rPr>
                <w:rFonts w:cs="Calibri"/>
                <w:lang w:val="en-US"/>
              </w:rPr>
            </w:pPr>
          </w:p>
        </w:tc>
        <w:tc>
          <w:tcPr>
            <w:tcW w:w="1071" w:type="dxa"/>
            <w:shd w:val="clear" w:color="auto" w:fill="auto"/>
            <w:vAlign w:val="center"/>
            <w:hideMark/>
          </w:tcPr>
          <w:p w:rsidR="00F56923" w:rsidRPr="00B53423" w:rsidRDefault="00F56923" w:rsidP="0015232B">
            <w:pPr>
              <w:spacing w:before="0" w:line="240" w:lineRule="auto"/>
              <w:jc w:val="right"/>
              <w:rPr>
                <w:rFonts w:cs="Calibri"/>
                <w:lang w:val="en-US"/>
              </w:rPr>
            </w:pPr>
            <w:r w:rsidRPr="00B53423">
              <w:rPr>
                <w:rFonts w:cs="Calibri"/>
                <w:lang w:val="en-US"/>
              </w:rPr>
              <w:t> </w:t>
            </w:r>
          </w:p>
        </w:tc>
        <w:tc>
          <w:tcPr>
            <w:tcW w:w="1003" w:type="dxa"/>
            <w:shd w:val="clear" w:color="auto" w:fill="auto"/>
            <w:vAlign w:val="center"/>
            <w:hideMark/>
          </w:tcPr>
          <w:p w:rsidR="00F56923" w:rsidRPr="00B53423" w:rsidRDefault="00F56923" w:rsidP="0015232B">
            <w:pPr>
              <w:spacing w:before="0" w:line="240" w:lineRule="auto"/>
              <w:ind w:right="109"/>
              <w:jc w:val="right"/>
              <w:rPr>
                <w:rFonts w:cs="Calibri"/>
                <w:lang w:val="en-US"/>
              </w:rPr>
            </w:pPr>
            <w:r w:rsidRPr="00B53423">
              <w:rPr>
                <w:rFonts w:cs="Calibri"/>
                <w:lang w:val="en-US"/>
              </w:rPr>
              <w:t> </w:t>
            </w:r>
          </w:p>
        </w:tc>
        <w:tc>
          <w:tcPr>
            <w:tcW w:w="1003" w:type="dxa"/>
            <w:shd w:val="clear" w:color="auto" w:fill="auto"/>
            <w:vAlign w:val="center"/>
            <w:hideMark/>
          </w:tcPr>
          <w:p w:rsidR="00F56923" w:rsidRPr="00B53423" w:rsidRDefault="00F56923" w:rsidP="0015232B">
            <w:pPr>
              <w:spacing w:before="0" w:line="240" w:lineRule="auto"/>
              <w:jc w:val="right"/>
              <w:rPr>
                <w:rFonts w:cs="Calibri"/>
                <w:lang w:val="en-US"/>
              </w:rPr>
            </w:pPr>
            <w:r w:rsidRPr="00B53423">
              <w:rPr>
                <w:rFonts w:cs="Calibri"/>
                <w:lang w:val="en-US"/>
              </w:rPr>
              <w:t> </w:t>
            </w:r>
          </w:p>
        </w:tc>
        <w:tc>
          <w:tcPr>
            <w:tcW w:w="1277" w:type="dxa"/>
            <w:shd w:val="clear" w:color="auto" w:fill="auto"/>
            <w:vAlign w:val="center"/>
            <w:hideMark/>
          </w:tcPr>
          <w:p w:rsidR="00F56923" w:rsidRPr="00B53423" w:rsidRDefault="00F56923" w:rsidP="0015232B">
            <w:pPr>
              <w:spacing w:before="0" w:line="240" w:lineRule="auto"/>
              <w:ind w:right="209"/>
              <w:jc w:val="right"/>
              <w:rPr>
                <w:rFonts w:cs="Calibri"/>
                <w:lang w:val="en-US"/>
              </w:rPr>
            </w:pPr>
            <w:r w:rsidRPr="00B53423">
              <w:rPr>
                <w:rFonts w:cs="Calibri"/>
                <w:sz w:val="22"/>
                <w:szCs w:val="22"/>
              </w:rPr>
              <w:t> </w:t>
            </w:r>
          </w:p>
        </w:tc>
      </w:tr>
      <w:tr w:rsidR="00F56923" w:rsidRPr="00B53423" w:rsidTr="00487B60">
        <w:trPr>
          <w:trHeight w:val="300"/>
        </w:trPr>
        <w:tc>
          <w:tcPr>
            <w:tcW w:w="2998" w:type="dxa"/>
            <w:shd w:val="clear" w:color="auto" w:fill="auto"/>
            <w:hideMark/>
          </w:tcPr>
          <w:p w:rsidR="00F56923" w:rsidRPr="00B53423" w:rsidRDefault="00F56923" w:rsidP="0015232B">
            <w:pPr>
              <w:spacing w:before="0" w:line="240" w:lineRule="auto"/>
              <w:jc w:val="left"/>
              <w:rPr>
                <w:rFonts w:cs="Calibri"/>
                <w:lang w:val="en-US"/>
              </w:rPr>
            </w:pPr>
            <w:r w:rsidRPr="00B53423">
              <w:rPr>
                <w:rFonts w:cs="Calibri"/>
                <w:lang w:val="en-US"/>
              </w:rPr>
              <w:t>Consumer Contribution</w:t>
            </w:r>
          </w:p>
        </w:tc>
        <w:tc>
          <w:tcPr>
            <w:tcW w:w="1265" w:type="dxa"/>
          </w:tcPr>
          <w:p w:rsidR="00F56923" w:rsidRPr="00B53423" w:rsidRDefault="00F56923" w:rsidP="0015232B">
            <w:pPr>
              <w:spacing w:before="0" w:line="240" w:lineRule="auto"/>
              <w:jc w:val="center"/>
              <w:rPr>
                <w:rFonts w:cs="Calibri"/>
                <w:lang w:val="en-US"/>
              </w:rPr>
            </w:pPr>
            <w:r w:rsidRPr="00B53423">
              <w:rPr>
                <w:rFonts w:cs="Calibri"/>
                <w:lang w:val="en-US"/>
              </w:rPr>
              <w:t>B</w:t>
            </w:r>
          </w:p>
        </w:tc>
        <w:tc>
          <w:tcPr>
            <w:tcW w:w="1071" w:type="dxa"/>
            <w:shd w:val="clear" w:color="auto" w:fill="auto"/>
            <w:vAlign w:val="center"/>
            <w:hideMark/>
          </w:tcPr>
          <w:p w:rsidR="00F56923" w:rsidRPr="00B53423" w:rsidRDefault="00F56923" w:rsidP="0015232B">
            <w:pPr>
              <w:spacing w:before="0" w:line="240" w:lineRule="auto"/>
              <w:jc w:val="right"/>
              <w:rPr>
                <w:rFonts w:cs="Calibri"/>
                <w:lang w:val="en-US"/>
              </w:rPr>
            </w:pPr>
            <w:r w:rsidRPr="00B53423">
              <w:rPr>
                <w:rFonts w:cs="Calibri"/>
                <w:lang w:val="en-US"/>
              </w:rPr>
              <w:t> </w:t>
            </w:r>
          </w:p>
        </w:tc>
        <w:tc>
          <w:tcPr>
            <w:tcW w:w="1003" w:type="dxa"/>
            <w:shd w:val="clear" w:color="auto" w:fill="auto"/>
            <w:vAlign w:val="center"/>
            <w:hideMark/>
          </w:tcPr>
          <w:p w:rsidR="00F56923" w:rsidRPr="00B53423" w:rsidRDefault="00F56923" w:rsidP="0015232B">
            <w:pPr>
              <w:spacing w:before="0" w:line="240" w:lineRule="auto"/>
              <w:ind w:right="109"/>
              <w:jc w:val="right"/>
              <w:rPr>
                <w:rFonts w:cs="Calibri"/>
                <w:lang w:val="en-US"/>
              </w:rPr>
            </w:pPr>
            <w:r w:rsidRPr="00B53423">
              <w:rPr>
                <w:rFonts w:cs="Calibri"/>
                <w:lang w:val="en-US"/>
              </w:rPr>
              <w:t>15.11</w:t>
            </w:r>
          </w:p>
        </w:tc>
        <w:tc>
          <w:tcPr>
            <w:tcW w:w="1003" w:type="dxa"/>
            <w:shd w:val="clear" w:color="auto" w:fill="auto"/>
            <w:vAlign w:val="center"/>
            <w:hideMark/>
          </w:tcPr>
          <w:p w:rsidR="00F56923" w:rsidRPr="00B53423" w:rsidRDefault="00F56923" w:rsidP="0015232B">
            <w:pPr>
              <w:spacing w:before="0" w:line="240" w:lineRule="auto"/>
              <w:jc w:val="right"/>
              <w:rPr>
                <w:rFonts w:cs="Calibri"/>
                <w:lang w:val="en-US"/>
              </w:rPr>
            </w:pPr>
            <w:r w:rsidRPr="00B53423">
              <w:rPr>
                <w:rFonts w:cs="Calibri"/>
                <w:lang w:val="en-US"/>
              </w:rPr>
              <w:t>15.11</w:t>
            </w:r>
          </w:p>
        </w:tc>
        <w:tc>
          <w:tcPr>
            <w:tcW w:w="1277" w:type="dxa"/>
            <w:shd w:val="clear" w:color="auto" w:fill="auto"/>
            <w:vAlign w:val="center"/>
            <w:hideMark/>
          </w:tcPr>
          <w:p w:rsidR="00F56923" w:rsidRPr="00B53423" w:rsidRDefault="00F56923" w:rsidP="0015232B">
            <w:pPr>
              <w:spacing w:before="0" w:line="240" w:lineRule="auto"/>
              <w:ind w:right="209"/>
              <w:jc w:val="right"/>
              <w:rPr>
                <w:rFonts w:cs="Calibri"/>
                <w:lang w:val="en-US"/>
              </w:rPr>
            </w:pPr>
            <w:r w:rsidRPr="00B53423">
              <w:rPr>
                <w:rFonts w:cs="Calibri"/>
                <w:sz w:val="22"/>
                <w:szCs w:val="22"/>
              </w:rPr>
              <w:t xml:space="preserve"> 15.11 </w:t>
            </w:r>
          </w:p>
        </w:tc>
      </w:tr>
      <w:tr w:rsidR="00F56923" w:rsidRPr="00B53423" w:rsidTr="00487B60">
        <w:trPr>
          <w:trHeight w:val="300"/>
        </w:trPr>
        <w:tc>
          <w:tcPr>
            <w:tcW w:w="2998" w:type="dxa"/>
            <w:shd w:val="clear" w:color="auto" w:fill="auto"/>
            <w:hideMark/>
          </w:tcPr>
          <w:p w:rsidR="00F56923" w:rsidRPr="00B53423" w:rsidRDefault="00F56923" w:rsidP="0015232B">
            <w:pPr>
              <w:spacing w:before="0" w:line="240" w:lineRule="auto"/>
              <w:jc w:val="left"/>
              <w:rPr>
                <w:rFonts w:cs="Calibri"/>
                <w:lang w:val="en-US"/>
              </w:rPr>
            </w:pPr>
            <w:r w:rsidRPr="00B53423">
              <w:rPr>
                <w:rFonts w:cs="Calibri"/>
                <w:lang w:val="en-US"/>
              </w:rPr>
              <w:t>Investment funded by debt and equity</w:t>
            </w:r>
          </w:p>
        </w:tc>
        <w:tc>
          <w:tcPr>
            <w:tcW w:w="1265" w:type="dxa"/>
          </w:tcPr>
          <w:p w:rsidR="00F56923" w:rsidRPr="00B53423" w:rsidRDefault="00F56923" w:rsidP="0015232B">
            <w:pPr>
              <w:spacing w:before="0" w:line="240" w:lineRule="auto"/>
              <w:jc w:val="center"/>
              <w:rPr>
                <w:rFonts w:cs="Calibri"/>
                <w:lang w:val="en-US"/>
              </w:rPr>
            </w:pPr>
            <w:r w:rsidRPr="00B53423">
              <w:rPr>
                <w:rFonts w:cs="Calibri"/>
                <w:lang w:val="en-US"/>
              </w:rPr>
              <w:t>C=A-B</w:t>
            </w:r>
          </w:p>
        </w:tc>
        <w:tc>
          <w:tcPr>
            <w:tcW w:w="1071" w:type="dxa"/>
            <w:shd w:val="clear" w:color="auto" w:fill="auto"/>
            <w:vAlign w:val="center"/>
            <w:hideMark/>
          </w:tcPr>
          <w:p w:rsidR="00F56923" w:rsidRPr="00B53423" w:rsidRDefault="00F56923" w:rsidP="0015232B">
            <w:pPr>
              <w:spacing w:before="0" w:line="240" w:lineRule="auto"/>
              <w:jc w:val="right"/>
              <w:rPr>
                <w:rFonts w:cs="Calibri"/>
                <w:lang w:val="en-US"/>
              </w:rPr>
            </w:pPr>
            <w:r w:rsidRPr="00B53423">
              <w:rPr>
                <w:rFonts w:cs="Calibri"/>
                <w:lang w:val="en-US"/>
              </w:rPr>
              <w:t> </w:t>
            </w:r>
          </w:p>
        </w:tc>
        <w:tc>
          <w:tcPr>
            <w:tcW w:w="1003" w:type="dxa"/>
            <w:shd w:val="clear" w:color="auto" w:fill="auto"/>
            <w:vAlign w:val="center"/>
            <w:hideMark/>
          </w:tcPr>
          <w:p w:rsidR="00F56923" w:rsidRPr="00B53423" w:rsidRDefault="00F56923" w:rsidP="0015232B">
            <w:pPr>
              <w:spacing w:before="0" w:line="240" w:lineRule="auto"/>
              <w:ind w:right="109"/>
              <w:jc w:val="right"/>
              <w:rPr>
                <w:rFonts w:cs="Calibri"/>
                <w:lang w:val="en-US"/>
              </w:rPr>
            </w:pPr>
            <w:r w:rsidRPr="00B53423">
              <w:rPr>
                <w:rFonts w:cs="Calibri"/>
                <w:lang w:val="en-US"/>
              </w:rPr>
              <w:t> </w:t>
            </w:r>
          </w:p>
        </w:tc>
        <w:tc>
          <w:tcPr>
            <w:tcW w:w="1003" w:type="dxa"/>
            <w:shd w:val="clear" w:color="auto" w:fill="auto"/>
            <w:vAlign w:val="center"/>
            <w:hideMark/>
          </w:tcPr>
          <w:p w:rsidR="00F56923" w:rsidRPr="00B53423" w:rsidRDefault="00F56923" w:rsidP="0015232B">
            <w:pPr>
              <w:spacing w:before="0" w:line="240" w:lineRule="auto"/>
              <w:jc w:val="right"/>
              <w:rPr>
                <w:rFonts w:cs="Calibri"/>
                <w:lang w:val="en-US"/>
              </w:rPr>
            </w:pPr>
            <w:r w:rsidRPr="00B53423">
              <w:rPr>
                <w:rFonts w:cs="Calibri"/>
                <w:lang w:val="en-US"/>
              </w:rPr>
              <w:t>45.80</w:t>
            </w:r>
          </w:p>
        </w:tc>
        <w:tc>
          <w:tcPr>
            <w:tcW w:w="1277" w:type="dxa"/>
            <w:shd w:val="clear" w:color="auto" w:fill="auto"/>
            <w:vAlign w:val="center"/>
            <w:hideMark/>
          </w:tcPr>
          <w:p w:rsidR="00564993" w:rsidRPr="00B53423" w:rsidRDefault="003A6B3B" w:rsidP="0015232B">
            <w:pPr>
              <w:spacing w:before="0" w:line="240" w:lineRule="auto"/>
              <w:jc w:val="right"/>
              <w:rPr>
                <w:rFonts w:cs="Calibri"/>
                <w:lang w:val="en-US"/>
              </w:rPr>
            </w:pPr>
            <w:r w:rsidRPr="00B53423">
              <w:rPr>
                <w:rFonts w:cs="Calibri"/>
                <w:lang w:val="en-US"/>
              </w:rPr>
              <w:t xml:space="preserve">   45.80 </w:t>
            </w:r>
          </w:p>
        </w:tc>
      </w:tr>
      <w:tr w:rsidR="00F56923" w:rsidRPr="00B53423" w:rsidTr="00487B60">
        <w:trPr>
          <w:trHeight w:val="300"/>
        </w:trPr>
        <w:tc>
          <w:tcPr>
            <w:tcW w:w="2998" w:type="dxa"/>
            <w:shd w:val="clear" w:color="auto" w:fill="auto"/>
            <w:hideMark/>
          </w:tcPr>
          <w:p w:rsidR="00F56923" w:rsidRPr="00B53423" w:rsidRDefault="00F56923" w:rsidP="0015232B">
            <w:pPr>
              <w:spacing w:before="0" w:line="240" w:lineRule="auto"/>
              <w:jc w:val="left"/>
              <w:rPr>
                <w:rFonts w:cs="Calibri"/>
                <w:lang w:val="en-US"/>
              </w:rPr>
            </w:pPr>
            <w:r w:rsidRPr="00B53423">
              <w:rPr>
                <w:rFonts w:cs="Calibri"/>
                <w:lang w:val="en-US"/>
              </w:rPr>
              <w:t xml:space="preserve">Debt Funded </w:t>
            </w:r>
          </w:p>
        </w:tc>
        <w:tc>
          <w:tcPr>
            <w:tcW w:w="1265" w:type="dxa"/>
          </w:tcPr>
          <w:p w:rsidR="00F56923" w:rsidRPr="00B53423" w:rsidRDefault="00F56923" w:rsidP="0015232B">
            <w:pPr>
              <w:spacing w:before="0" w:line="240" w:lineRule="auto"/>
              <w:jc w:val="center"/>
              <w:rPr>
                <w:rFonts w:cs="Calibri"/>
                <w:lang w:val="en-US"/>
              </w:rPr>
            </w:pPr>
            <w:r w:rsidRPr="00B53423">
              <w:rPr>
                <w:rFonts w:cs="Calibri"/>
                <w:lang w:val="en-US"/>
              </w:rPr>
              <w:t>D=70%*C</w:t>
            </w:r>
          </w:p>
        </w:tc>
        <w:tc>
          <w:tcPr>
            <w:tcW w:w="1071" w:type="dxa"/>
            <w:shd w:val="clear" w:color="auto" w:fill="auto"/>
            <w:vAlign w:val="center"/>
            <w:hideMark/>
          </w:tcPr>
          <w:p w:rsidR="00F56923" w:rsidRPr="00B53423" w:rsidRDefault="00F56923" w:rsidP="0015232B">
            <w:pPr>
              <w:spacing w:before="0" w:line="240" w:lineRule="auto"/>
              <w:jc w:val="right"/>
              <w:rPr>
                <w:rFonts w:cs="Calibri"/>
                <w:lang w:val="en-US"/>
              </w:rPr>
            </w:pPr>
            <w:r w:rsidRPr="00B53423">
              <w:rPr>
                <w:rFonts w:cs="Calibri"/>
                <w:lang w:val="en-US"/>
              </w:rPr>
              <w:t> </w:t>
            </w:r>
          </w:p>
        </w:tc>
        <w:tc>
          <w:tcPr>
            <w:tcW w:w="1003" w:type="dxa"/>
            <w:shd w:val="clear" w:color="auto" w:fill="auto"/>
            <w:vAlign w:val="center"/>
            <w:hideMark/>
          </w:tcPr>
          <w:p w:rsidR="00F56923" w:rsidRPr="00B53423" w:rsidRDefault="00F56923" w:rsidP="0015232B">
            <w:pPr>
              <w:spacing w:before="0" w:line="240" w:lineRule="auto"/>
              <w:ind w:right="109"/>
              <w:jc w:val="right"/>
              <w:rPr>
                <w:rFonts w:cs="Calibri"/>
                <w:lang w:val="en-US"/>
              </w:rPr>
            </w:pPr>
            <w:r w:rsidRPr="00B53423">
              <w:rPr>
                <w:rFonts w:cs="Calibri"/>
                <w:lang w:val="en-US"/>
              </w:rPr>
              <w:t> </w:t>
            </w:r>
          </w:p>
        </w:tc>
        <w:tc>
          <w:tcPr>
            <w:tcW w:w="1003" w:type="dxa"/>
            <w:shd w:val="clear" w:color="auto" w:fill="auto"/>
            <w:vAlign w:val="center"/>
            <w:hideMark/>
          </w:tcPr>
          <w:p w:rsidR="00F56923" w:rsidRPr="00B53423" w:rsidRDefault="00F56923" w:rsidP="0015232B">
            <w:pPr>
              <w:spacing w:before="0" w:line="240" w:lineRule="auto"/>
              <w:jc w:val="right"/>
              <w:rPr>
                <w:rFonts w:cs="Calibri"/>
                <w:lang w:val="en-US"/>
              </w:rPr>
            </w:pPr>
            <w:r w:rsidRPr="00B53423">
              <w:rPr>
                <w:rFonts w:cs="Calibri"/>
                <w:lang w:val="en-US"/>
              </w:rPr>
              <w:t>32.06</w:t>
            </w:r>
          </w:p>
        </w:tc>
        <w:tc>
          <w:tcPr>
            <w:tcW w:w="1277" w:type="dxa"/>
            <w:shd w:val="clear" w:color="auto" w:fill="auto"/>
            <w:vAlign w:val="center"/>
            <w:hideMark/>
          </w:tcPr>
          <w:p w:rsidR="00564993" w:rsidRPr="00B53423" w:rsidRDefault="003A6B3B" w:rsidP="0015232B">
            <w:pPr>
              <w:spacing w:before="0" w:line="240" w:lineRule="auto"/>
              <w:jc w:val="right"/>
              <w:rPr>
                <w:rFonts w:cs="Calibri"/>
                <w:lang w:val="en-US"/>
              </w:rPr>
            </w:pPr>
            <w:r w:rsidRPr="00B53423">
              <w:rPr>
                <w:rFonts w:cs="Calibri"/>
                <w:lang w:val="en-US"/>
              </w:rPr>
              <w:t xml:space="preserve">      32.06 </w:t>
            </w:r>
          </w:p>
        </w:tc>
      </w:tr>
      <w:tr w:rsidR="00F56923" w:rsidRPr="00B53423" w:rsidTr="00487B60">
        <w:trPr>
          <w:trHeight w:val="300"/>
        </w:trPr>
        <w:tc>
          <w:tcPr>
            <w:tcW w:w="2998" w:type="dxa"/>
            <w:shd w:val="clear" w:color="auto" w:fill="auto"/>
            <w:hideMark/>
          </w:tcPr>
          <w:p w:rsidR="00F56923" w:rsidRPr="00B53423" w:rsidRDefault="00F56923" w:rsidP="0015232B">
            <w:pPr>
              <w:spacing w:before="0" w:line="240" w:lineRule="auto"/>
              <w:jc w:val="left"/>
              <w:rPr>
                <w:rFonts w:cs="Calibri"/>
                <w:lang w:val="en-US"/>
              </w:rPr>
            </w:pPr>
            <w:r w:rsidRPr="00B53423">
              <w:rPr>
                <w:rFonts w:cs="Calibri"/>
                <w:lang w:val="en-US"/>
              </w:rPr>
              <w:t>Equity Funded</w:t>
            </w:r>
          </w:p>
        </w:tc>
        <w:tc>
          <w:tcPr>
            <w:tcW w:w="1265" w:type="dxa"/>
          </w:tcPr>
          <w:p w:rsidR="00F56923" w:rsidRPr="00B53423" w:rsidRDefault="00F56923" w:rsidP="0015232B">
            <w:pPr>
              <w:spacing w:before="0" w:line="240" w:lineRule="auto"/>
              <w:jc w:val="center"/>
              <w:rPr>
                <w:rFonts w:cs="Calibri"/>
                <w:lang w:val="en-US"/>
              </w:rPr>
            </w:pPr>
            <w:r w:rsidRPr="00B53423">
              <w:rPr>
                <w:rFonts w:cs="Calibri"/>
                <w:lang w:val="en-US"/>
              </w:rPr>
              <w:t>E= 30%*C</w:t>
            </w:r>
          </w:p>
        </w:tc>
        <w:tc>
          <w:tcPr>
            <w:tcW w:w="1071" w:type="dxa"/>
            <w:shd w:val="clear" w:color="auto" w:fill="auto"/>
            <w:vAlign w:val="center"/>
            <w:hideMark/>
          </w:tcPr>
          <w:p w:rsidR="00F56923" w:rsidRPr="00B53423" w:rsidRDefault="00F56923" w:rsidP="0015232B">
            <w:pPr>
              <w:spacing w:before="0" w:line="240" w:lineRule="auto"/>
              <w:jc w:val="right"/>
              <w:rPr>
                <w:rFonts w:cs="Calibri"/>
                <w:lang w:val="en-US"/>
              </w:rPr>
            </w:pPr>
            <w:r w:rsidRPr="00B53423">
              <w:rPr>
                <w:rFonts w:cs="Calibri"/>
                <w:lang w:val="en-US"/>
              </w:rPr>
              <w:t> </w:t>
            </w:r>
          </w:p>
        </w:tc>
        <w:tc>
          <w:tcPr>
            <w:tcW w:w="1003" w:type="dxa"/>
            <w:shd w:val="clear" w:color="auto" w:fill="auto"/>
            <w:vAlign w:val="center"/>
            <w:hideMark/>
          </w:tcPr>
          <w:p w:rsidR="00F56923" w:rsidRPr="00B53423" w:rsidRDefault="00F56923" w:rsidP="0015232B">
            <w:pPr>
              <w:spacing w:before="0" w:line="240" w:lineRule="auto"/>
              <w:ind w:right="109"/>
              <w:jc w:val="right"/>
              <w:rPr>
                <w:rFonts w:cs="Calibri"/>
                <w:lang w:val="en-US"/>
              </w:rPr>
            </w:pPr>
            <w:r w:rsidRPr="00B53423">
              <w:rPr>
                <w:rFonts w:cs="Calibri"/>
                <w:lang w:val="en-US"/>
              </w:rPr>
              <w:t> </w:t>
            </w:r>
          </w:p>
        </w:tc>
        <w:tc>
          <w:tcPr>
            <w:tcW w:w="1003" w:type="dxa"/>
            <w:shd w:val="clear" w:color="auto" w:fill="auto"/>
            <w:vAlign w:val="center"/>
            <w:hideMark/>
          </w:tcPr>
          <w:p w:rsidR="00F56923" w:rsidRPr="00B53423" w:rsidRDefault="00F56923" w:rsidP="0015232B">
            <w:pPr>
              <w:spacing w:before="0" w:line="240" w:lineRule="auto"/>
              <w:jc w:val="right"/>
              <w:rPr>
                <w:rFonts w:cs="Calibri"/>
                <w:lang w:val="en-US"/>
              </w:rPr>
            </w:pPr>
            <w:r w:rsidRPr="00B53423">
              <w:rPr>
                <w:rFonts w:cs="Calibri"/>
                <w:lang w:val="en-US"/>
              </w:rPr>
              <w:t>13.74</w:t>
            </w:r>
          </w:p>
        </w:tc>
        <w:tc>
          <w:tcPr>
            <w:tcW w:w="1277" w:type="dxa"/>
            <w:shd w:val="clear" w:color="auto" w:fill="auto"/>
            <w:vAlign w:val="center"/>
            <w:hideMark/>
          </w:tcPr>
          <w:p w:rsidR="00564993" w:rsidRPr="00B53423" w:rsidRDefault="003A6B3B" w:rsidP="0015232B">
            <w:pPr>
              <w:spacing w:before="0" w:line="240" w:lineRule="auto"/>
              <w:jc w:val="right"/>
              <w:rPr>
                <w:rFonts w:cs="Calibri"/>
                <w:lang w:val="en-US"/>
              </w:rPr>
            </w:pPr>
            <w:r w:rsidRPr="00B53423">
              <w:rPr>
                <w:rFonts w:cs="Calibri"/>
                <w:lang w:val="en-US"/>
              </w:rPr>
              <w:t xml:space="preserve">    13.74 </w:t>
            </w:r>
          </w:p>
        </w:tc>
      </w:tr>
    </w:tbl>
    <w:p w:rsidR="004C74C2" w:rsidRPr="00B53423" w:rsidRDefault="004C74C2" w:rsidP="0015232B">
      <w:pPr>
        <w:jc w:val="center"/>
        <w:rPr>
          <w:rFonts w:asciiTheme="minorHAnsi" w:hAnsiTheme="minorHAnsi" w:cstheme="minorHAnsi"/>
          <w:b/>
        </w:rPr>
      </w:pPr>
    </w:p>
    <w:p w:rsidR="004C74C2" w:rsidRPr="00B53423" w:rsidRDefault="004C74C2" w:rsidP="0015232B">
      <w:pPr>
        <w:pStyle w:val="Heading3"/>
        <w:keepNext w:val="0"/>
        <w:ind w:hanging="1080"/>
      </w:pPr>
      <w:r w:rsidRPr="00B53423">
        <w:t>From the above Tables it is seen, that the total investments made by the Petitioner in FY 2008-09 were to the tune of Rs. 60.</w:t>
      </w:r>
      <w:r w:rsidR="00A83E2F" w:rsidRPr="00B53423">
        <w:t>91</w:t>
      </w:r>
      <w:r w:rsidRPr="00B53423">
        <w:t xml:space="preserve"> Crore. The consumer contributions, capital subsidies and grants received during the corresponding period is Rs. 15.11 Crore. Thus, balance Rs. 45.</w:t>
      </w:r>
      <w:r w:rsidR="00A83E2F" w:rsidRPr="00B53423">
        <w:t>80</w:t>
      </w:r>
      <w:r w:rsidRPr="00B53423">
        <w:t xml:space="preserve"> Crore have been funded through debt and equity. Considering a debt equity ratio of 70:30, Rs. 3</w:t>
      </w:r>
      <w:r w:rsidR="00A83E2F" w:rsidRPr="00B53423">
        <w:t>2.06</w:t>
      </w:r>
      <w:r w:rsidRPr="00B53423">
        <w:t xml:space="preserve"> Crore or 70% of the capital investment is approved to be funded through debt and balance 30% equivalent to Rs. 13.</w:t>
      </w:r>
      <w:r w:rsidR="00A83E2F" w:rsidRPr="00B53423">
        <w:t>74</w:t>
      </w:r>
      <w:r w:rsidRPr="00B53423">
        <w:t xml:space="preserve"> Crore through equity. Allowable depreciation for the year has been considered as normative loan repayment. The closing loan balance of FY 2007-08 has been considered as the opening loan balance of FY 2008-09. The actual weighted average rate as per Audited Accounts has been considered for computing the interest.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Considering the above, the gross interest on long term loan is Rs. 1.62 Crore. The interest capitalisation has been considered at the same rate as per Audited Accounts. The computations for interest on long term loan are depicted below:</w:t>
      </w:r>
    </w:p>
    <w:p w:rsidR="004C74C2" w:rsidRPr="00B53423" w:rsidRDefault="004C74C2" w:rsidP="0015232B">
      <w:pPr>
        <w:pStyle w:val="Heading3"/>
        <w:keepNext w:val="0"/>
        <w:numPr>
          <w:ilvl w:val="0"/>
          <w:numId w:val="0"/>
        </w:numPr>
        <w:ind w:left="450"/>
      </w:pPr>
    </w:p>
    <w:p w:rsidR="004C74C2" w:rsidRPr="00B53423" w:rsidRDefault="004C74C2" w:rsidP="0015232B">
      <w:pPr>
        <w:jc w:val="center"/>
        <w:rPr>
          <w:b/>
        </w:rPr>
      </w:pPr>
      <w:bookmarkStart w:id="419" w:name="_Toc356913186"/>
      <w:bookmarkStart w:id="420" w:name="_Toc399626322"/>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11</w:t>
      </w:r>
      <w:r w:rsidR="005D68E7" w:rsidRPr="00B53423">
        <w:rPr>
          <w:rFonts w:asciiTheme="minorHAnsi" w:hAnsiTheme="minorHAnsi" w:cstheme="minorHAnsi"/>
          <w:b/>
        </w:rPr>
        <w:fldChar w:fldCharType="end"/>
      </w:r>
      <w:r w:rsidRPr="00B53423">
        <w:rPr>
          <w:rFonts w:asciiTheme="minorHAnsi" w:hAnsiTheme="minorHAnsi" w:cstheme="minorHAnsi"/>
          <w:b/>
        </w:rPr>
        <w:t>:</w:t>
      </w:r>
      <w:r w:rsidRPr="00B53423">
        <w:rPr>
          <w:b/>
        </w:rPr>
        <w:t xml:space="preserve"> APPROVED INTEREST ON LONG TERM LOAN FOR FY 2008-09 (Rs. Crore)</w:t>
      </w:r>
      <w:bookmarkEnd w:id="419"/>
      <w:bookmarkEnd w:id="420"/>
    </w:p>
    <w:tbl>
      <w:tblPr>
        <w:tblW w:w="8735"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055"/>
        <w:gridCol w:w="990"/>
        <w:gridCol w:w="1350"/>
        <w:gridCol w:w="1125"/>
        <w:gridCol w:w="1215"/>
      </w:tblGrid>
      <w:tr w:rsidR="004C74C2" w:rsidRPr="00B53423" w:rsidTr="009268E4">
        <w:trPr>
          <w:trHeight w:val="900"/>
          <w:tblHeader/>
        </w:trPr>
        <w:tc>
          <w:tcPr>
            <w:tcW w:w="4055" w:type="dxa"/>
            <w:shd w:val="clear" w:color="auto" w:fill="DBE5F1" w:themeFill="accent1" w:themeFillTint="33"/>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99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35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7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17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4055"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Opening Balance</w:t>
            </w:r>
          </w:p>
        </w:tc>
        <w:tc>
          <w:tcPr>
            <w:tcW w:w="99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35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xml:space="preserve">        57.32 </w:t>
            </w:r>
          </w:p>
        </w:tc>
        <w:tc>
          <w:tcPr>
            <w:tcW w:w="1170" w:type="dxa"/>
            <w:shd w:val="clear" w:color="auto" w:fill="auto"/>
            <w:hideMark/>
          </w:tcPr>
          <w:p w:rsidR="004C74C2" w:rsidRPr="00B53423" w:rsidRDefault="004C74C2" w:rsidP="0015232B">
            <w:pPr>
              <w:spacing w:before="0" w:line="240" w:lineRule="auto"/>
              <w:jc w:val="right"/>
              <w:rPr>
                <w:rFonts w:asciiTheme="minorHAnsi" w:hAnsiTheme="minorHAnsi" w:cstheme="minorHAnsi"/>
                <w:color w:val="000000"/>
              </w:rPr>
            </w:pPr>
            <w:r w:rsidRPr="00B53423">
              <w:t>20.22</w:t>
            </w:r>
          </w:p>
        </w:tc>
        <w:tc>
          <w:tcPr>
            <w:tcW w:w="117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t>20.22</w:t>
            </w:r>
          </w:p>
        </w:tc>
      </w:tr>
      <w:tr w:rsidR="004C74C2" w:rsidRPr="00B53423" w:rsidTr="009268E4">
        <w:trPr>
          <w:trHeight w:val="242"/>
        </w:trPr>
        <w:tc>
          <w:tcPr>
            <w:tcW w:w="4055" w:type="dxa"/>
            <w:shd w:val="clear" w:color="auto" w:fill="auto"/>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Additions: 70% of the Asset Capitalization</w:t>
            </w:r>
          </w:p>
        </w:tc>
        <w:tc>
          <w:tcPr>
            <w:tcW w:w="99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35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xml:space="preserve">              -   </w:t>
            </w:r>
          </w:p>
        </w:tc>
        <w:tc>
          <w:tcPr>
            <w:tcW w:w="1170" w:type="dxa"/>
            <w:shd w:val="clear" w:color="auto" w:fill="auto"/>
            <w:hideMark/>
          </w:tcPr>
          <w:p w:rsidR="004C74C2" w:rsidRPr="00B53423" w:rsidRDefault="004C74C2" w:rsidP="0015232B">
            <w:pPr>
              <w:spacing w:before="0" w:line="240" w:lineRule="auto"/>
              <w:jc w:val="right"/>
              <w:rPr>
                <w:rFonts w:asciiTheme="minorHAnsi" w:hAnsiTheme="minorHAnsi" w:cstheme="minorHAnsi"/>
                <w:color w:val="000000"/>
              </w:rPr>
            </w:pPr>
            <w:r w:rsidRPr="00B53423">
              <w:t>31.63</w:t>
            </w:r>
          </w:p>
        </w:tc>
        <w:tc>
          <w:tcPr>
            <w:tcW w:w="117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t>32.06</w:t>
            </w:r>
          </w:p>
        </w:tc>
      </w:tr>
      <w:tr w:rsidR="004C74C2" w:rsidRPr="00B53423" w:rsidTr="009268E4">
        <w:trPr>
          <w:trHeight w:val="600"/>
        </w:trPr>
        <w:tc>
          <w:tcPr>
            <w:tcW w:w="4055"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Allowable Depreciation during the Year</w:t>
            </w:r>
          </w:p>
        </w:tc>
        <w:tc>
          <w:tcPr>
            <w:tcW w:w="99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35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xml:space="preserve">               -   </w:t>
            </w:r>
          </w:p>
        </w:tc>
        <w:tc>
          <w:tcPr>
            <w:tcW w:w="1170" w:type="dxa"/>
            <w:shd w:val="clear" w:color="auto" w:fill="auto"/>
            <w:hideMark/>
          </w:tcPr>
          <w:p w:rsidR="004C74C2" w:rsidRPr="00B53423" w:rsidRDefault="004C74C2" w:rsidP="0015232B">
            <w:pPr>
              <w:spacing w:before="0" w:line="240" w:lineRule="auto"/>
              <w:jc w:val="right"/>
              <w:rPr>
                <w:rFonts w:asciiTheme="minorHAnsi" w:hAnsiTheme="minorHAnsi" w:cstheme="minorHAnsi"/>
                <w:color w:val="000000"/>
              </w:rPr>
            </w:pPr>
            <w:r w:rsidRPr="00B53423">
              <w:t>25.2</w:t>
            </w:r>
          </w:p>
        </w:tc>
        <w:tc>
          <w:tcPr>
            <w:tcW w:w="117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t>25.20</w:t>
            </w:r>
          </w:p>
        </w:tc>
      </w:tr>
      <w:tr w:rsidR="004C74C2" w:rsidRPr="00B53423" w:rsidTr="009268E4">
        <w:trPr>
          <w:trHeight w:val="300"/>
        </w:trPr>
        <w:tc>
          <w:tcPr>
            <w:tcW w:w="4055" w:type="dxa"/>
            <w:shd w:val="clear" w:color="auto" w:fill="auto"/>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Closing Balance</w:t>
            </w:r>
          </w:p>
        </w:tc>
        <w:tc>
          <w:tcPr>
            <w:tcW w:w="99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35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xml:space="preserve">178.98 </w:t>
            </w:r>
          </w:p>
        </w:tc>
        <w:tc>
          <w:tcPr>
            <w:tcW w:w="1170" w:type="dxa"/>
            <w:shd w:val="clear" w:color="auto" w:fill="auto"/>
            <w:hideMark/>
          </w:tcPr>
          <w:p w:rsidR="004C74C2" w:rsidRPr="00B53423" w:rsidRDefault="004C74C2" w:rsidP="0015232B">
            <w:pPr>
              <w:spacing w:before="0" w:line="240" w:lineRule="auto"/>
              <w:jc w:val="right"/>
              <w:rPr>
                <w:rFonts w:asciiTheme="minorHAnsi" w:hAnsiTheme="minorHAnsi" w:cstheme="minorHAnsi"/>
                <w:b/>
                <w:bCs/>
                <w:color w:val="000000"/>
              </w:rPr>
            </w:pPr>
            <w:r w:rsidRPr="00B53423">
              <w:t>26.65</w:t>
            </w:r>
          </w:p>
        </w:tc>
        <w:tc>
          <w:tcPr>
            <w:tcW w:w="117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t>27.08</w:t>
            </w:r>
          </w:p>
        </w:tc>
      </w:tr>
      <w:tr w:rsidR="004C74C2" w:rsidRPr="00B53423" w:rsidTr="009268E4">
        <w:trPr>
          <w:trHeight w:val="300"/>
        </w:trPr>
        <w:tc>
          <w:tcPr>
            <w:tcW w:w="4055"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Average Rate of Interest</w:t>
            </w:r>
          </w:p>
        </w:tc>
        <w:tc>
          <w:tcPr>
            <w:tcW w:w="99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350" w:type="dxa"/>
            <w:shd w:val="clear" w:color="auto" w:fill="auto"/>
            <w:noWrap/>
            <w:vAlign w:val="center"/>
            <w:hideMark/>
          </w:tcPr>
          <w:p w:rsidR="004C74C2" w:rsidRPr="00B53423" w:rsidRDefault="00A83E2F" w:rsidP="0015232B">
            <w:pPr>
              <w:spacing w:before="0" w:line="240" w:lineRule="auto"/>
              <w:jc w:val="right"/>
              <w:rPr>
                <w:rFonts w:asciiTheme="minorHAnsi" w:hAnsiTheme="minorHAnsi" w:cstheme="minorHAnsi"/>
              </w:rPr>
            </w:pPr>
            <w:r w:rsidRPr="00B53423">
              <w:rPr>
                <w:rFonts w:asciiTheme="minorHAnsi" w:hAnsiTheme="minorHAnsi" w:cstheme="minorHAnsi"/>
              </w:rPr>
              <w:t>6.86</w:t>
            </w:r>
            <w:r w:rsidR="004C74C2" w:rsidRPr="00B53423">
              <w:rPr>
                <w:rFonts w:asciiTheme="minorHAnsi" w:hAnsiTheme="minorHAnsi" w:cstheme="minorHAnsi"/>
              </w:rPr>
              <w:t>%</w:t>
            </w:r>
          </w:p>
        </w:tc>
        <w:tc>
          <w:tcPr>
            <w:tcW w:w="1170" w:type="dxa"/>
            <w:shd w:val="clear" w:color="auto" w:fill="auto"/>
            <w:hideMark/>
          </w:tcPr>
          <w:p w:rsidR="004C74C2" w:rsidRPr="00B53423" w:rsidRDefault="004C74C2" w:rsidP="0015232B">
            <w:pPr>
              <w:spacing w:before="0" w:line="240" w:lineRule="auto"/>
              <w:jc w:val="right"/>
              <w:rPr>
                <w:rFonts w:asciiTheme="minorHAnsi" w:hAnsiTheme="minorHAnsi" w:cstheme="minorHAnsi"/>
                <w:color w:val="000000"/>
              </w:rPr>
            </w:pPr>
            <w:r w:rsidRPr="00B53423">
              <w:t>6.87%</w:t>
            </w:r>
          </w:p>
        </w:tc>
        <w:tc>
          <w:tcPr>
            <w:tcW w:w="117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t>6.86%</w:t>
            </w:r>
          </w:p>
        </w:tc>
      </w:tr>
      <w:tr w:rsidR="004C74C2" w:rsidRPr="00B53423" w:rsidTr="009268E4">
        <w:trPr>
          <w:trHeight w:val="300"/>
        </w:trPr>
        <w:tc>
          <w:tcPr>
            <w:tcW w:w="4055" w:type="dxa"/>
            <w:shd w:val="clear" w:color="auto" w:fill="auto"/>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Gross Allowable Interest</w:t>
            </w:r>
          </w:p>
        </w:tc>
        <w:tc>
          <w:tcPr>
            <w:tcW w:w="99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11.45</w:t>
            </w:r>
          </w:p>
        </w:tc>
        <w:tc>
          <w:tcPr>
            <w:tcW w:w="135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xml:space="preserve">          8.</w:t>
            </w:r>
            <w:r w:rsidR="00A83E2F" w:rsidRPr="00B53423">
              <w:rPr>
                <w:rFonts w:asciiTheme="minorHAnsi" w:hAnsiTheme="minorHAnsi" w:cstheme="minorHAnsi"/>
              </w:rPr>
              <w:t>11</w:t>
            </w:r>
            <w:r w:rsidRPr="00B53423">
              <w:rPr>
                <w:rFonts w:asciiTheme="minorHAnsi" w:hAnsiTheme="minorHAnsi" w:cstheme="minorHAnsi"/>
              </w:rPr>
              <w:t xml:space="preserve"> </w:t>
            </w:r>
          </w:p>
        </w:tc>
        <w:tc>
          <w:tcPr>
            <w:tcW w:w="1170" w:type="dxa"/>
            <w:shd w:val="clear" w:color="auto" w:fill="auto"/>
            <w:hideMark/>
          </w:tcPr>
          <w:p w:rsidR="004C74C2" w:rsidRPr="00B53423" w:rsidRDefault="004C74C2" w:rsidP="0015232B">
            <w:pPr>
              <w:spacing w:before="0" w:line="240" w:lineRule="auto"/>
              <w:jc w:val="right"/>
              <w:rPr>
                <w:rFonts w:asciiTheme="minorHAnsi" w:hAnsiTheme="minorHAnsi" w:cstheme="minorHAnsi"/>
                <w:b/>
                <w:bCs/>
                <w:color w:val="000000"/>
              </w:rPr>
            </w:pPr>
            <w:r w:rsidRPr="00B53423">
              <w:t xml:space="preserve"> 1.61 </w:t>
            </w:r>
          </w:p>
        </w:tc>
        <w:tc>
          <w:tcPr>
            <w:tcW w:w="117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t>1.62</w:t>
            </w:r>
          </w:p>
        </w:tc>
      </w:tr>
      <w:tr w:rsidR="004C74C2" w:rsidRPr="00B53423" w:rsidTr="009268E4">
        <w:trPr>
          <w:trHeight w:val="300"/>
        </w:trPr>
        <w:tc>
          <w:tcPr>
            <w:tcW w:w="4055"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Interest Capitalized</w:t>
            </w:r>
          </w:p>
        </w:tc>
        <w:tc>
          <w:tcPr>
            <w:tcW w:w="99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2.63</w:t>
            </w:r>
          </w:p>
        </w:tc>
        <w:tc>
          <w:tcPr>
            <w:tcW w:w="135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xml:space="preserve">  8.</w:t>
            </w:r>
            <w:r w:rsidR="00A83E2F" w:rsidRPr="00B53423">
              <w:rPr>
                <w:rFonts w:asciiTheme="minorHAnsi" w:hAnsiTheme="minorHAnsi" w:cstheme="minorHAnsi"/>
              </w:rPr>
              <w:t>11</w:t>
            </w:r>
            <w:r w:rsidRPr="00B53423">
              <w:rPr>
                <w:rFonts w:asciiTheme="minorHAnsi" w:hAnsiTheme="minorHAnsi" w:cstheme="minorHAnsi"/>
              </w:rPr>
              <w:t xml:space="preserve"> </w:t>
            </w:r>
          </w:p>
        </w:tc>
        <w:tc>
          <w:tcPr>
            <w:tcW w:w="1170" w:type="dxa"/>
            <w:shd w:val="clear" w:color="auto" w:fill="auto"/>
            <w:hideMark/>
          </w:tcPr>
          <w:p w:rsidR="004C74C2" w:rsidRPr="00B53423" w:rsidRDefault="004C74C2" w:rsidP="0015232B">
            <w:pPr>
              <w:spacing w:before="0" w:line="240" w:lineRule="auto"/>
              <w:jc w:val="right"/>
              <w:rPr>
                <w:rFonts w:asciiTheme="minorHAnsi" w:hAnsiTheme="minorHAnsi" w:cstheme="minorHAnsi"/>
                <w:color w:val="000000"/>
              </w:rPr>
            </w:pPr>
            <w:r w:rsidRPr="00B53423">
              <w:t xml:space="preserve"> 1.61 </w:t>
            </w:r>
          </w:p>
        </w:tc>
        <w:tc>
          <w:tcPr>
            <w:tcW w:w="117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t>1.62</w:t>
            </w:r>
          </w:p>
        </w:tc>
      </w:tr>
      <w:tr w:rsidR="004C74C2" w:rsidRPr="00B53423" w:rsidTr="009268E4">
        <w:trPr>
          <w:trHeight w:val="300"/>
        </w:trPr>
        <w:tc>
          <w:tcPr>
            <w:tcW w:w="4055" w:type="dxa"/>
            <w:shd w:val="clear" w:color="auto" w:fill="auto"/>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Allowable Interest</w:t>
            </w:r>
          </w:p>
        </w:tc>
        <w:tc>
          <w:tcPr>
            <w:tcW w:w="99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8.82</w:t>
            </w:r>
          </w:p>
        </w:tc>
        <w:tc>
          <w:tcPr>
            <w:tcW w:w="1350"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0.00</w:t>
            </w:r>
          </w:p>
        </w:tc>
        <w:tc>
          <w:tcPr>
            <w:tcW w:w="1170" w:type="dxa"/>
            <w:shd w:val="clear" w:color="auto" w:fill="auto"/>
            <w:hideMark/>
          </w:tcPr>
          <w:p w:rsidR="004C74C2" w:rsidRPr="00B53423" w:rsidRDefault="004C74C2" w:rsidP="0015232B">
            <w:pPr>
              <w:spacing w:before="0" w:line="240" w:lineRule="auto"/>
              <w:jc w:val="right"/>
              <w:rPr>
                <w:rFonts w:asciiTheme="minorHAnsi" w:hAnsiTheme="minorHAnsi" w:cstheme="minorHAnsi"/>
                <w:color w:val="000000"/>
              </w:rPr>
            </w:pPr>
            <w:r w:rsidRPr="00B53423">
              <w:t>0.00</w:t>
            </w:r>
          </w:p>
        </w:tc>
        <w:tc>
          <w:tcPr>
            <w:tcW w:w="117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t>0.00</w:t>
            </w:r>
          </w:p>
        </w:tc>
      </w:tr>
    </w:tbl>
    <w:p w:rsidR="004C74C2" w:rsidRPr="00B53423" w:rsidRDefault="004C74C2" w:rsidP="0015232B">
      <w:pPr>
        <w:spacing w:before="0"/>
        <w:jc w:val="center"/>
        <w:rPr>
          <w:b/>
        </w:rPr>
      </w:pPr>
    </w:p>
    <w:p w:rsidR="004C74C2" w:rsidRPr="00B53423" w:rsidRDefault="004C74C2" w:rsidP="0015232B">
      <w:pPr>
        <w:pStyle w:val="Heading3"/>
        <w:keepNext w:val="0"/>
        <w:ind w:hanging="1080"/>
      </w:pPr>
      <w:r w:rsidRPr="00B53423">
        <w:t>Thus, the net interest on long term loan approved by the Commission for Truing-up of FY 2008-09 after reducing the interest capitalised of Rs. 1.62 Crore works out to Nil.</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720"/>
        <w:rPr>
          <w:b/>
        </w:rPr>
      </w:pPr>
      <w:r w:rsidRPr="00B53423">
        <w:rPr>
          <w:b/>
        </w:rPr>
        <w:t>Finance Charges</w:t>
      </w:r>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ind w:hanging="1080"/>
      </w:pPr>
      <w:r w:rsidRPr="00B53423">
        <w:t>The Petitioner submitted that the finance charges constitutes of components such as guarantee fees, bank charges which are imposed by Government, financial institutions, etc. and are uncontrollable in nature. The Petitioner has claimed Finance charges of Rs. 23.95 Crore as against Rs. 8.54 Crore approved by the Commission in the Tariff Order dated 9</w:t>
      </w:r>
      <w:r w:rsidRPr="00B53423">
        <w:rPr>
          <w:vertAlign w:val="superscript"/>
        </w:rPr>
        <w:t>th</w:t>
      </w:r>
      <w:r w:rsidRPr="00B53423">
        <w:t xml:space="preserve"> July, 2008 in Petition No. 487 and 510 of 2007 for FY 2008-09.</w:t>
      </w:r>
    </w:p>
    <w:p w:rsidR="004C74C2" w:rsidRPr="00B53423" w:rsidRDefault="004C74C2" w:rsidP="0015232B">
      <w:pPr>
        <w:pStyle w:val="Heading3"/>
        <w:keepNext w:val="0"/>
        <w:numPr>
          <w:ilvl w:val="0"/>
          <w:numId w:val="0"/>
        </w:numPr>
        <w:ind w:left="450"/>
      </w:pPr>
      <w:r w:rsidRPr="00B53423">
        <w:t xml:space="preserve"> </w:t>
      </w:r>
    </w:p>
    <w:p w:rsidR="004C74C2" w:rsidRPr="00B53423" w:rsidRDefault="004C74C2" w:rsidP="0015232B">
      <w:pPr>
        <w:pStyle w:val="Heading3"/>
        <w:keepNext w:val="0"/>
        <w:ind w:hanging="1080"/>
      </w:pPr>
      <w:r w:rsidRPr="00B53423">
        <w:t>The Petitioner has claimed finance charges towards items such as interest on electricity duty, bank charges, discount to consumers, interest on consumer security deposits, etc.</w:t>
      </w:r>
    </w:p>
    <w:p w:rsidR="004C74C2" w:rsidRPr="00B53423" w:rsidRDefault="004C74C2" w:rsidP="0015232B">
      <w:pPr>
        <w:pStyle w:val="ListParagraph"/>
        <w:ind w:left="180"/>
      </w:pPr>
    </w:p>
    <w:p w:rsidR="004C74C2" w:rsidRPr="00B53423" w:rsidRDefault="004C74C2" w:rsidP="0015232B">
      <w:pPr>
        <w:pStyle w:val="Heading3"/>
        <w:keepNext w:val="0"/>
        <w:ind w:hanging="1080"/>
      </w:pPr>
      <w:bookmarkStart w:id="421" w:name="_Ref396853920"/>
      <w:r w:rsidRPr="00B53423">
        <w:t>The Commission in its True-up Order dated 21</w:t>
      </w:r>
      <w:r w:rsidRPr="00B53423">
        <w:rPr>
          <w:vertAlign w:val="superscript"/>
        </w:rPr>
        <w:t>st</w:t>
      </w:r>
      <w:r w:rsidRPr="00B53423">
        <w:t xml:space="preserve"> May, 2013 had disallowed the interest on electricity duty as it is a charge incidental to the delay in remitting the electricity duty to the government. Thus, in line with the approach adopted in the previous Truing-up Order the Commission disallows the interest on electricity duty of Rs. 18.99 Crore as claimed by the Petitioner.</w:t>
      </w:r>
      <w:bookmarkEnd w:id="421"/>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bookmarkStart w:id="422" w:name="_Ref396853930"/>
      <w:r w:rsidRPr="00B53423">
        <w:t>As the discounts / rebates to consumers are based on the charges and rates approved in the Rate Schedule and are consequent to the consumption pattern of different consumer categories, the Commission approves the actual expenses incurred towards discount to consumers.</w:t>
      </w:r>
      <w:bookmarkEnd w:id="422"/>
    </w:p>
    <w:p w:rsidR="004C74C2" w:rsidRPr="00B53423" w:rsidRDefault="004C74C2" w:rsidP="0015232B">
      <w:pPr>
        <w:pStyle w:val="ListParagraph"/>
        <w:ind w:left="180"/>
      </w:pPr>
    </w:p>
    <w:p w:rsidR="004C74C2" w:rsidRPr="00B53423" w:rsidRDefault="004C74C2" w:rsidP="0015232B">
      <w:pPr>
        <w:pStyle w:val="Heading3"/>
        <w:keepNext w:val="0"/>
        <w:ind w:hanging="1080"/>
      </w:pPr>
      <w:bookmarkStart w:id="423" w:name="_Ref396853942"/>
      <w:r w:rsidRPr="00B53423">
        <w:t>The bank charges and interest on consumer security deposits have been allowed at actual based on Audited Accounts.</w:t>
      </w:r>
      <w:bookmarkEnd w:id="423"/>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Thus, the Commission has approved finance charges amounting to Rs. 4.96 Crore for FY 2008-09 as against Rs. 23.95 Crore claimed by the Petitioner as shown in the Table below:</w:t>
      </w:r>
    </w:p>
    <w:p w:rsidR="004C74C2" w:rsidRPr="00B53423" w:rsidRDefault="004C74C2" w:rsidP="0015232B">
      <w:pPr>
        <w:pStyle w:val="ListParagraph"/>
        <w:ind w:left="180"/>
      </w:pPr>
    </w:p>
    <w:p w:rsidR="004C74C2" w:rsidRPr="00B53423" w:rsidRDefault="004C74C2" w:rsidP="0015232B">
      <w:pPr>
        <w:pStyle w:val="ListParagraph"/>
        <w:spacing w:before="240"/>
        <w:ind w:left="432"/>
        <w:rPr>
          <w:rFonts w:asciiTheme="minorHAnsi" w:hAnsiTheme="minorHAnsi" w:cstheme="minorHAnsi"/>
          <w:b/>
        </w:rPr>
      </w:pPr>
      <w:bookmarkStart w:id="424" w:name="_Toc399626323"/>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12</w:t>
      </w:r>
      <w:r w:rsidR="005D68E7" w:rsidRPr="00B53423">
        <w:rPr>
          <w:rFonts w:asciiTheme="minorHAnsi" w:hAnsiTheme="minorHAnsi" w:cstheme="minorHAnsi"/>
          <w:b/>
        </w:rPr>
        <w:fldChar w:fldCharType="end"/>
      </w:r>
      <w:r w:rsidRPr="00B53423">
        <w:rPr>
          <w:rFonts w:asciiTheme="minorHAnsi" w:hAnsiTheme="minorHAnsi" w:cstheme="minorHAnsi"/>
          <w:b/>
        </w:rPr>
        <w:t>: ALLOWABLE FINANCE CHARGES FOR FY 2008-09 (Rs. Crore)</w:t>
      </w:r>
      <w:bookmarkEnd w:id="424"/>
    </w:p>
    <w:tbl>
      <w:tblPr>
        <w:tblW w:w="8200" w:type="dxa"/>
        <w:tblInd w:w="103" w:type="dxa"/>
        <w:tblLook w:val="04A0"/>
      </w:tblPr>
      <w:tblGrid>
        <w:gridCol w:w="4360"/>
        <w:gridCol w:w="960"/>
        <w:gridCol w:w="976"/>
        <w:gridCol w:w="960"/>
        <w:gridCol w:w="1048"/>
      </w:tblGrid>
      <w:tr w:rsidR="004C74C2" w:rsidRPr="00B53423" w:rsidTr="009268E4">
        <w:trPr>
          <w:trHeight w:val="1020"/>
          <w:tblHeader/>
        </w:trPr>
        <w:tc>
          <w:tcPr>
            <w:tcW w:w="4360" w:type="dxa"/>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IN" w:eastAsia="en-IN"/>
              </w:rPr>
              <w:t>Particulars</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Tariff Order</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sz w:val="20"/>
                <w:szCs w:val="20"/>
                <w:lang w:val="en-US"/>
              </w:rPr>
            </w:pPr>
            <w:r w:rsidRPr="00B53423">
              <w:rPr>
                <w:rFonts w:cs="Calibri"/>
                <w:b/>
                <w:bCs/>
                <w:sz w:val="20"/>
                <w:szCs w:val="20"/>
                <w:lang w:val="en-US"/>
              </w:rPr>
              <w:t>Actuals as per Audited Accounts</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Interest on Electricity Duty</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 </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18.99</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18.99</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0.00</w:t>
            </w:r>
          </w:p>
        </w:tc>
      </w:tr>
      <w:tr w:rsidR="004C74C2" w:rsidRPr="00B53423" w:rsidTr="006F7B0E">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Finance Charges / Gaurantee Fees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0.38</w:t>
            </w:r>
          </w:p>
        </w:tc>
        <w:tc>
          <w:tcPr>
            <w:tcW w:w="960" w:type="dxa"/>
            <w:tcBorders>
              <w:top w:val="nil"/>
              <w:left w:val="nil"/>
              <w:bottom w:val="dotted" w:sz="4" w:space="0" w:color="auto"/>
              <w:right w:val="dotted" w:sz="4" w:space="0" w:color="auto"/>
            </w:tcBorders>
            <w:shd w:val="clear" w:color="auto" w:fill="auto"/>
            <w:noWrap/>
            <w:vAlign w:val="center"/>
            <w:hideMark/>
          </w:tcPr>
          <w:p w:rsidR="00564993" w:rsidRPr="00B53423" w:rsidRDefault="004C74C2" w:rsidP="0015232B">
            <w:pPr>
              <w:spacing w:before="0" w:line="240" w:lineRule="auto"/>
              <w:jc w:val="right"/>
              <w:rPr>
                <w:rFonts w:cs="Calibri"/>
                <w:color w:val="000000"/>
                <w:lang w:val="en-US"/>
              </w:rPr>
            </w:pPr>
            <w:r w:rsidRPr="00B53423">
              <w:rPr>
                <w:rFonts w:cs="Calibri"/>
                <w:color w:val="000000"/>
              </w:rPr>
              <w:t> </w:t>
            </w:r>
            <w:r w:rsidR="006F7B0E" w:rsidRPr="00B53423">
              <w:rPr>
                <w:rFonts w:cs="Calibri"/>
                <w:color w:val="000000"/>
              </w:rPr>
              <w:t>0.00</w:t>
            </w:r>
          </w:p>
        </w:tc>
        <w:tc>
          <w:tcPr>
            <w:tcW w:w="960" w:type="dxa"/>
            <w:tcBorders>
              <w:top w:val="nil"/>
              <w:left w:val="nil"/>
              <w:bottom w:val="dotted" w:sz="4" w:space="0" w:color="auto"/>
              <w:right w:val="dotted" w:sz="4" w:space="0" w:color="auto"/>
            </w:tcBorders>
            <w:shd w:val="clear" w:color="auto" w:fill="auto"/>
            <w:noWrap/>
            <w:vAlign w:val="center"/>
            <w:hideMark/>
          </w:tcPr>
          <w:p w:rsidR="00564993" w:rsidRPr="00B53423" w:rsidRDefault="006F7B0E" w:rsidP="0015232B">
            <w:pPr>
              <w:spacing w:before="0" w:line="240" w:lineRule="auto"/>
              <w:jc w:val="right"/>
              <w:rPr>
                <w:rFonts w:cs="Calibri"/>
                <w:color w:val="000000"/>
                <w:lang w:val="en-US"/>
              </w:rPr>
            </w:pPr>
            <w:r w:rsidRPr="00B53423">
              <w:rPr>
                <w:rFonts w:cs="Calibri"/>
                <w:color w:val="000000"/>
              </w:rPr>
              <w:t>0.00</w:t>
            </w:r>
            <w:r w:rsidR="004C74C2" w:rsidRPr="00B53423">
              <w:rPr>
                <w:rFonts w:cs="Calibri"/>
                <w:color w:val="000000"/>
              </w:rPr>
              <w:t> </w:t>
            </w:r>
          </w:p>
        </w:tc>
        <w:tc>
          <w:tcPr>
            <w:tcW w:w="960" w:type="dxa"/>
            <w:tcBorders>
              <w:top w:val="nil"/>
              <w:left w:val="nil"/>
              <w:bottom w:val="dotted" w:sz="4" w:space="0" w:color="auto"/>
              <w:right w:val="dotted" w:sz="4" w:space="0" w:color="auto"/>
            </w:tcBorders>
            <w:shd w:val="clear" w:color="auto" w:fill="auto"/>
            <w:noWrap/>
            <w:vAlign w:val="center"/>
            <w:hideMark/>
          </w:tcPr>
          <w:p w:rsidR="004C74C2" w:rsidRPr="00B53423" w:rsidRDefault="006F7B0E" w:rsidP="0015232B">
            <w:pPr>
              <w:spacing w:before="0" w:line="240" w:lineRule="auto"/>
              <w:jc w:val="right"/>
              <w:rPr>
                <w:rFonts w:cs="Calibri"/>
                <w:color w:val="000000"/>
                <w:lang w:val="en-US"/>
              </w:rPr>
            </w:pPr>
            <w:r w:rsidRPr="00B53423">
              <w:rPr>
                <w:rFonts w:cs="Calibri"/>
                <w:color w:val="000000"/>
              </w:rPr>
              <w:t>0.00</w:t>
            </w:r>
            <w:r w:rsidR="004C74C2" w:rsidRPr="00B53423">
              <w:rPr>
                <w:rFonts w:cs="Calibri"/>
                <w:color w:val="000000"/>
              </w:rPr>
              <w:t> </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Bank Charges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 </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0.10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0.10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0.10</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Discount to Consumers on sale of energy</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2.48</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1.11</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1.11</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1.11</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Interest on Consumer Security Deposits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5.68</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3.76</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3.76</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rPr>
              <w:t>3.76</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b/>
                <w:bCs/>
                <w:color w:val="000000"/>
                <w:lang w:val="en-US"/>
              </w:rPr>
            </w:pPr>
            <w:r w:rsidRPr="00B53423">
              <w:rPr>
                <w:rFonts w:cs="Calibri"/>
                <w:b/>
                <w:bCs/>
                <w:color w:val="000000"/>
              </w:rPr>
              <w:t>Total Finance Charges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rPr>
              <w:t>8.54</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rPr>
              <w:t>23.95</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rPr>
              <w:t>23.95</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rPr>
              <w:t>4.96</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720"/>
        <w:rPr>
          <w:b/>
        </w:rPr>
      </w:pPr>
      <w:r w:rsidRPr="00B53423">
        <w:rPr>
          <w:b/>
        </w:rPr>
        <w:t>Interest on Working Capital</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Tariff Regulations provide for normative interest on working capital based on the principles outlined in the Distribution Tariff Regulations, 2006. The Petitioner submitted that in accordance with the Regulations it is eligible for interest on working capital. The Petitioner further submitted that Regulation 4.8(2</w:t>
      </w:r>
      <w:proofErr w:type="gramStart"/>
      <w:r w:rsidRPr="00B53423">
        <w:t>)(</w:t>
      </w:r>
      <w:proofErr w:type="gramEnd"/>
      <w:r w:rsidRPr="00B53423">
        <w:t>B) of the Distribution Tariff Regulations, 2006 specifies the rate of interest on working capital borrowing as the bank rate specified by RBI plus some margin decided by the Commission. The Petitioner submitted that it has accordingly considered rate of 12.50% which is line with the rate approved by the Commission in its Tariff Order for FY 2008-09.</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Regulation 4.8(2) of the Distribution Tariff Regulations, 2006 specifies as follows:</w:t>
      </w:r>
    </w:p>
    <w:p w:rsidR="004C74C2" w:rsidRPr="00B53423" w:rsidRDefault="004C74C2" w:rsidP="0015232B">
      <w:pPr>
        <w:autoSpaceDE w:val="0"/>
        <w:autoSpaceDN w:val="0"/>
        <w:adjustRightInd w:val="0"/>
        <w:spacing w:before="0"/>
        <w:ind w:left="720"/>
        <w:rPr>
          <w:rFonts w:cs="Arial"/>
          <w:bCs/>
          <w:i/>
          <w:szCs w:val="26"/>
        </w:rPr>
      </w:pPr>
    </w:p>
    <w:p w:rsidR="004C74C2" w:rsidRPr="00B53423" w:rsidRDefault="004C74C2" w:rsidP="0015232B">
      <w:pPr>
        <w:autoSpaceDE w:val="0"/>
        <w:autoSpaceDN w:val="0"/>
        <w:adjustRightInd w:val="0"/>
        <w:spacing w:before="0"/>
        <w:ind w:left="1440"/>
        <w:rPr>
          <w:rFonts w:cs="Arial"/>
          <w:bCs/>
          <w:i/>
          <w:szCs w:val="26"/>
        </w:rPr>
      </w:pPr>
      <w:r w:rsidRPr="00B53423">
        <w:rPr>
          <w:rFonts w:cs="Arial"/>
          <w:bCs/>
          <w:i/>
          <w:szCs w:val="26"/>
        </w:rPr>
        <w:t>“2. Interest on working capital</w:t>
      </w:r>
    </w:p>
    <w:p w:rsidR="004C74C2" w:rsidRPr="00B53423" w:rsidRDefault="004C74C2" w:rsidP="0015232B">
      <w:pPr>
        <w:autoSpaceDE w:val="0"/>
        <w:autoSpaceDN w:val="0"/>
        <w:adjustRightInd w:val="0"/>
        <w:spacing w:before="0"/>
        <w:ind w:left="1440"/>
        <w:rPr>
          <w:rFonts w:cs="Arial"/>
          <w:bCs/>
          <w:i/>
          <w:szCs w:val="26"/>
        </w:rPr>
      </w:pPr>
      <w:r w:rsidRPr="00B53423">
        <w:rPr>
          <w:rFonts w:cs="Arial"/>
          <w:bCs/>
          <w:i/>
          <w:szCs w:val="26"/>
        </w:rPr>
        <w:t>(a) Working capital shall be worked out to cover</w:t>
      </w:r>
    </w:p>
    <w:p w:rsidR="004C74C2" w:rsidRPr="00B53423" w:rsidRDefault="004C74C2" w:rsidP="0015232B">
      <w:pPr>
        <w:autoSpaceDE w:val="0"/>
        <w:autoSpaceDN w:val="0"/>
        <w:adjustRightInd w:val="0"/>
        <w:spacing w:before="0"/>
        <w:ind w:left="2160"/>
        <w:rPr>
          <w:rFonts w:cs="Arial"/>
          <w:bCs/>
          <w:i/>
          <w:szCs w:val="26"/>
        </w:rPr>
      </w:pPr>
      <w:r w:rsidRPr="00B53423">
        <w:rPr>
          <w:rFonts w:cs="Arial"/>
          <w:bCs/>
          <w:i/>
          <w:szCs w:val="26"/>
        </w:rPr>
        <w:t>(i) Operation and Maintenance expenses, which includes Employee costs, R&amp;M expenses and A&amp;G expenses, for one month;</w:t>
      </w:r>
    </w:p>
    <w:p w:rsidR="004C74C2" w:rsidRPr="00B53423" w:rsidRDefault="004C74C2" w:rsidP="0015232B">
      <w:pPr>
        <w:autoSpaceDE w:val="0"/>
        <w:autoSpaceDN w:val="0"/>
        <w:adjustRightInd w:val="0"/>
        <w:spacing w:before="0"/>
        <w:ind w:left="2160"/>
        <w:rPr>
          <w:rFonts w:cs="Arial"/>
          <w:bCs/>
          <w:i/>
          <w:szCs w:val="26"/>
        </w:rPr>
      </w:pPr>
      <w:r w:rsidRPr="00B53423">
        <w:rPr>
          <w:rFonts w:cs="Arial"/>
          <w:bCs/>
          <w:i/>
          <w:szCs w:val="26"/>
        </w:rPr>
        <w:t>(ii) One-twelfth of the sum of the book value of stores, materials and supplies at the end of each month of such financial year.</w:t>
      </w:r>
    </w:p>
    <w:p w:rsidR="004C74C2" w:rsidRPr="00B53423" w:rsidRDefault="004C74C2" w:rsidP="0015232B">
      <w:pPr>
        <w:autoSpaceDE w:val="0"/>
        <w:autoSpaceDN w:val="0"/>
        <w:adjustRightInd w:val="0"/>
        <w:spacing w:before="0"/>
        <w:ind w:left="2160"/>
        <w:rPr>
          <w:rFonts w:cs="Arial"/>
          <w:bCs/>
          <w:i/>
          <w:szCs w:val="26"/>
        </w:rPr>
      </w:pPr>
      <w:r w:rsidRPr="00B53423">
        <w:rPr>
          <w:rFonts w:cs="Arial"/>
          <w:bCs/>
          <w:i/>
          <w:szCs w:val="26"/>
        </w:rPr>
        <w:t xml:space="preserve">(iii) Receivables equivalent to 60 </w:t>
      </w:r>
      <w:proofErr w:type="gramStart"/>
      <w:r w:rsidRPr="00B53423">
        <w:rPr>
          <w:rFonts w:cs="Arial"/>
          <w:bCs/>
          <w:i/>
          <w:szCs w:val="26"/>
        </w:rPr>
        <w:t>days</w:t>
      </w:r>
      <w:proofErr w:type="gramEnd"/>
      <w:r w:rsidRPr="00B53423">
        <w:rPr>
          <w:rFonts w:cs="Arial"/>
          <w:bCs/>
          <w:i/>
          <w:szCs w:val="26"/>
        </w:rPr>
        <w:t xml:space="preserve"> average billing of consumers less security deposits by the consumers minus amount, if any, held as security deposits under clause (b) of sub-section (1) of Section 47 of the Act from consumers and Distribution System Users.</w:t>
      </w:r>
    </w:p>
    <w:p w:rsidR="004C74C2" w:rsidRPr="00B53423" w:rsidRDefault="004C74C2" w:rsidP="0015232B">
      <w:pPr>
        <w:autoSpaceDE w:val="0"/>
        <w:autoSpaceDN w:val="0"/>
        <w:adjustRightInd w:val="0"/>
        <w:spacing w:before="0"/>
        <w:ind w:left="1440"/>
        <w:rPr>
          <w:rFonts w:cs="Arial"/>
          <w:bCs/>
          <w:i/>
          <w:szCs w:val="26"/>
        </w:rPr>
      </w:pPr>
    </w:p>
    <w:p w:rsidR="004C74C2" w:rsidRPr="00B53423" w:rsidRDefault="004C74C2" w:rsidP="0015232B">
      <w:pPr>
        <w:autoSpaceDE w:val="0"/>
        <w:autoSpaceDN w:val="0"/>
        <w:adjustRightInd w:val="0"/>
        <w:spacing w:before="0"/>
        <w:ind w:left="1440"/>
        <w:rPr>
          <w:rFonts w:cs="Arial"/>
          <w:bCs/>
          <w:i/>
          <w:szCs w:val="26"/>
        </w:rPr>
      </w:pPr>
      <w:r w:rsidRPr="00B53423">
        <w:rPr>
          <w:rFonts w:ascii="Tahoma" w:eastAsiaTheme="minorHAnsi" w:hAnsi="Tahoma" w:cs="Tahoma"/>
          <w:i/>
          <w:sz w:val="21"/>
          <w:szCs w:val="21"/>
          <w:lang w:val="en-US"/>
        </w:rPr>
        <w:t>(</w:t>
      </w:r>
      <w:r w:rsidRPr="00B53423">
        <w:rPr>
          <w:rFonts w:cs="Arial"/>
          <w:bCs/>
          <w:i/>
          <w:szCs w:val="26"/>
        </w:rPr>
        <w:t>b) Rate of interest on working capital shall be the Bank Rate as specified by Reserve Bank of India for the relevant year plus a margin as decided by the Commission.”</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Based on the methodology </w:t>
      </w:r>
      <w:r w:rsidR="00CE6562" w:rsidRPr="00B53423">
        <w:t>specified in</w:t>
      </w:r>
      <w:r w:rsidRPr="00B53423">
        <w:t xml:space="preserve"> the above Regulations the Commission in the Tariff Order dated 9</w:t>
      </w:r>
      <w:r w:rsidRPr="00B53423">
        <w:rPr>
          <w:vertAlign w:val="superscript"/>
        </w:rPr>
        <w:t>th</w:t>
      </w:r>
      <w:r w:rsidRPr="00B53423">
        <w:t xml:space="preserve"> July, 2008 in Petition No. 487 and 510 of 2007 for FY 2008-09 had allowed normative interest on working capital of Rs. 6.62 Crore. Following the similar approach and in accordance with the Regulations, the Commission in this Order has assessed the working capital and interest thereon based on the Trued-up ARR of the Petitioner.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has approved Rs. 9.02 Crore towards interest on working capital for FY 2008-09 which is same as that claimed by the Petitioner. The summary of the interest on working capital approved by the Commission in the Tariff Order for FY 2008-09, claimed by the Petitioner and that approved by the Commission in the present Truing-up Order is shown in the Table below:</w:t>
      </w:r>
    </w:p>
    <w:p w:rsidR="004C74C2" w:rsidRPr="00B53423" w:rsidRDefault="004C74C2" w:rsidP="0015232B">
      <w:pPr>
        <w:pStyle w:val="ListParagraph"/>
        <w:ind w:left="180"/>
      </w:pPr>
    </w:p>
    <w:p w:rsidR="004C74C2" w:rsidRPr="00B53423" w:rsidRDefault="004C74C2" w:rsidP="0015232B">
      <w:pPr>
        <w:spacing w:before="240"/>
        <w:rPr>
          <w:rFonts w:asciiTheme="minorHAnsi" w:hAnsiTheme="minorHAnsi" w:cstheme="minorHAnsi"/>
          <w:b/>
        </w:rPr>
      </w:pPr>
      <w:bookmarkStart w:id="425" w:name="_Toc399626324"/>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13</w:t>
      </w:r>
      <w:r w:rsidR="005D68E7" w:rsidRPr="00B53423">
        <w:rPr>
          <w:rFonts w:asciiTheme="minorHAnsi" w:hAnsiTheme="minorHAnsi" w:cstheme="minorHAnsi"/>
          <w:b/>
        </w:rPr>
        <w:fldChar w:fldCharType="end"/>
      </w:r>
      <w:r w:rsidRPr="00B53423">
        <w:rPr>
          <w:rFonts w:asciiTheme="minorHAnsi" w:hAnsiTheme="minorHAnsi" w:cstheme="minorHAnsi"/>
          <w:b/>
        </w:rPr>
        <w:t>: ALLOWABLE INTEREST ON WORKING CAPITAL FOR FY 2008-09 (Rs. Crore)</w:t>
      </w:r>
      <w:bookmarkEnd w:id="425"/>
    </w:p>
    <w:tbl>
      <w:tblPr>
        <w:tblW w:w="863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535"/>
        <w:gridCol w:w="960"/>
        <w:gridCol w:w="1128"/>
        <w:gridCol w:w="1007"/>
        <w:gridCol w:w="1215"/>
      </w:tblGrid>
      <w:tr w:rsidR="004C74C2" w:rsidRPr="00B53423" w:rsidTr="00CE6562">
        <w:trPr>
          <w:trHeight w:val="1020"/>
          <w:tblHeader/>
        </w:trPr>
        <w:tc>
          <w:tcPr>
            <w:tcW w:w="4535"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IN" w:eastAsia="en-IN"/>
              </w:rPr>
              <w:t>Particulars</w:t>
            </w:r>
          </w:p>
        </w:tc>
        <w:tc>
          <w:tcPr>
            <w:tcW w:w="960"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Tariff Order</w:t>
            </w:r>
          </w:p>
        </w:tc>
        <w:tc>
          <w:tcPr>
            <w:tcW w:w="1052"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lang w:val="en-US"/>
              </w:rPr>
            </w:pPr>
            <w:r w:rsidRPr="00B53423">
              <w:rPr>
                <w:rFonts w:asciiTheme="minorHAnsi" w:hAnsiTheme="minorHAnsi" w:cstheme="minorHAnsi"/>
                <w:b/>
                <w:bCs/>
                <w:lang w:val="en-US"/>
              </w:rPr>
              <w:t>Actuals as per Audited Accounts</w:t>
            </w:r>
          </w:p>
        </w:tc>
        <w:tc>
          <w:tcPr>
            <w:tcW w:w="960"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True-up Petition</w:t>
            </w:r>
          </w:p>
        </w:tc>
        <w:tc>
          <w:tcPr>
            <w:tcW w:w="1132"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Allowable</w:t>
            </w:r>
          </w:p>
        </w:tc>
      </w:tr>
      <w:tr w:rsidR="004C74C2" w:rsidRPr="00B53423" w:rsidTr="00CE6562">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 xml:space="preserve">One month's O &amp; M  Expenses </w:t>
            </w: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6.19</w:t>
            </w:r>
          </w:p>
        </w:tc>
        <w:tc>
          <w:tcPr>
            <w:tcW w:w="105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10.20</w:t>
            </w:r>
          </w:p>
        </w:tc>
        <w:tc>
          <w:tcPr>
            <w:tcW w:w="113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10.20</w:t>
            </w:r>
          </w:p>
        </w:tc>
      </w:tr>
      <w:tr w:rsidR="004C74C2" w:rsidRPr="00B53423" w:rsidTr="00CE6562">
        <w:trPr>
          <w:trHeight w:val="300"/>
        </w:trPr>
        <w:tc>
          <w:tcPr>
            <w:tcW w:w="4535" w:type="dxa"/>
            <w:shd w:val="clear" w:color="auto" w:fill="auto"/>
            <w:noWrap/>
            <w:vAlign w:val="center"/>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One-twelfth of the sum of the book value of stores, materials and supplies at the end of each month of such financial year</w:t>
            </w: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2.21</w:t>
            </w:r>
          </w:p>
        </w:tc>
        <w:tc>
          <w:tcPr>
            <w:tcW w:w="105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3.26</w:t>
            </w:r>
          </w:p>
        </w:tc>
        <w:tc>
          <w:tcPr>
            <w:tcW w:w="113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3.26</w:t>
            </w:r>
          </w:p>
        </w:tc>
      </w:tr>
      <w:tr w:rsidR="004C74C2" w:rsidRPr="00B53423" w:rsidTr="00CE6562">
        <w:trPr>
          <w:trHeight w:val="575"/>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Receivables equivalent to 60 days average billing of Beneficiaries</w:t>
            </w: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146.13</w:t>
            </w:r>
          </w:p>
        </w:tc>
        <w:tc>
          <w:tcPr>
            <w:tcW w:w="105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140.19</w:t>
            </w:r>
          </w:p>
        </w:tc>
        <w:tc>
          <w:tcPr>
            <w:tcW w:w="113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140.19</w:t>
            </w:r>
          </w:p>
        </w:tc>
      </w:tr>
      <w:tr w:rsidR="004C74C2" w:rsidRPr="00B53423" w:rsidTr="00CE6562">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Gross Total</w:t>
            </w: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154.53</w:t>
            </w:r>
          </w:p>
        </w:tc>
        <w:tc>
          <w:tcPr>
            <w:tcW w:w="105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153.65</w:t>
            </w:r>
          </w:p>
        </w:tc>
        <w:tc>
          <w:tcPr>
            <w:tcW w:w="113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153.65</w:t>
            </w:r>
          </w:p>
        </w:tc>
      </w:tr>
      <w:tr w:rsidR="004C74C2" w:rsidRPr="00B53423" w:rsidTr="00CE6562">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 </w:t>
            </w: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c>
          <w:tcPr>
            <w:tcW w:w="105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c>
          <w:tcPr>
            <w:tcW w:w="113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r>
      <w:tr w:rsidR="004C74C2" w:rsidRPr="00B53423" w:rsidTr="00CE6562">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Security Deposits by the beneficiaries (if any )</w:t>
            </w: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101.6</w:t>
            </w:r>
          </w:p>
        </w:tc>
        <w:tc>
          <w:tcPr>
            <w:tcW w:w="105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81.52</w:t>
            </w:r>
          </w:p>
        </w:tc>
        <w:tc>
          <w:tcPr>
            <w:tcW w:w="113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81.52</w:t>
            </w:r>
          </w:p>
        </w:tc>
      </w:tr>
      <w:tr w:rsidR="004C74C2" w:rsidRPr="00B53423" w:rsidTr="00CE6562">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Net Working Capital</w:t>
            </w: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52.93</w:t>
            </w:r>
          </w:p>
        </w:tc>
        <w:tc>
          <w:tcPr>
            <w:tcW w:w="105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72.13</w:t>
            </w:r>
          </w:p>
        </w:tc>
        <w:tc>
          <w:tcPr>
            <w:tcW w:w="113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72.13</w:t>
            </w:r>
          </w:p>
        </w:tc>
      </w:tr>
      <w:tr w:rsidR="004C74C2" w:rsidRPr="00B53423" w:rsidTr="00CE6562">
        <w:trPr>
          <w:trHeight w:val="300"/>
        </w:trPr>
        <w:tc>
          <w:tcPr>
            <w:tcW w:w="4535" w:type="dxa"/>
            <w:shd w:val="clear" w:color="auto" w:fill="auto"/>
            <w:noWrap/>
            <w:vAlign w:val="bottom"/>
            <w:hideMark/>
          </w:tcPr>
          <w:p w:rsidR="004C74C2" w:rsidRPr="00B53423" w:rsidRDefault="004C74C2" w:rsidP="0015232B">
            <w:pPr>
              <w:spacing w:before="0" w:line="240" w:lineRule="auto"/>
              <w:jc w:val="center"/>
              <w:rPr>
                <w:rFonts w:asciiTheme="minorHAnsi" w:hAnsiTheme="minorHAnsi" w:cstheme="minorHAnsi"/>
              </w:rPr>
            </w:pPr>
            <w:r w:rsidRPr="00B53423">
              <w:rPr>
                <w:rFonts w:asciiTheme="minorHAnsi" w:hAnsiTheme="minorHAnsi" w:cstheme="minorHAnsi"/>
              </w:rPr>
              <w:t> </w:t>
            </w: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c>
          <w:tcPr>
            <w:tcW w:w="105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c>
          <w:tcPr>
            <w:tcW w:w="113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r>
      <w:tr w:rsidR="004C74C2" w:rsidRPr="00B53423" w:rsidTr="00CE6562">
        <w:trPr>
          <w:trHeight w:val="300"/>
        </w:trPr>
        <w:tc>
          <w:tcPr>
            <w:tcW w:w="4535"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Rate of Interest for Working Capital</w:t>
            </w: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12.50%</w:t>
            </w:r>
          </w:p>
        </w:tc>
        <w:tc>
          <w:tcPr>
            <w:tcW w:w="105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12.50%</w:t>
            </w:r>
          </w:p>
        </w:tc>
        <w:tc>
          <w:tcPr>
            <w:tcW w:w="113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12.50%</w:t>
            </w:r>
          </w:p>
        </w:tc>
      </w:tr>
      <w:tr w:rsidR="004C74C2" w:rsidRPr="00B53423" w:rsidTr="00CE6562">
        <w:trPr>
          <w:trHeight w:val="98"/>
        </w:trPr>
        <w:tc>
          <w:tcPr>
            <w:tcW w:w="4535"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Interest on Working Capital</w:t>
            </w: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6.62</w:t>
            </w:r>
          </w:p>
        </w:tc>
        <w:tc>
          <w:tcPr>
            <w:tcW w:w="1052" w:type="dxa"/>
            <w:shd w:val="clear" w:color="auto" w:fill="auto"/>
            <w:noWrap/>
            <w:vAlign w:val="bottom"/>
            <w:hideMark/>
          </w:tcPr>
          <w:p w:rsidR="004C74C2" w:rsidRPr="00B53423" w:rsidRDefault="00B26D5D" w:rsidP="0015232B">
            <w:pPr>
              <w:spacing w:before="0" w:line="240" w:lineRule="auto"/>
              <w:jc w:val="right"/>
              <w:rPr>
                <w:rFonts w:asciiTheme="minorHAnsi" w:hAnsiTheme="minorHAnsi" w:cstheme="minorHAnsi"/>
                <w:b/>
              </w:rPr>
            </w:pPr>
            <w:r w:rsidRPr="00B53423">
              <w:rPr>
                <w:rFonts w:asciiTheme="minorHAnsi" w:hAnsiTheme="minorHAnsi" w:cstheme="minorHAnsi"/>
                <w:b/>
              </w:rPr>
              <w:t>10.12</w:t>
            </w:r>
          </w:p>
        </w:tc>
        <w:tc>
          <w:tcPr>
            <w:tcW w:w="9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9.02</w:t>
            </w:r>
          </w:p>
        </w:tc>
        <w:tc>
          <w:tcPr>
            <w:tcW w:w="1132"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9.02</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720"/>
        <w:rPr>
          <w:b/>
        </w:rPr>
      </w:pPr>
      <w:r w:rsidRPr="00B53423">
        <w:rPr>
          <w:b/>
        </w:rPr>
        <w:t>Total Interest and Finance Charges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following Table summarises the interest and finance charges approved by the Commission in the Tariff Order, interest and finance charges claimed by the Petitioner and that approved by the Commission in this Order:</w:t>
      </w:r>
    </w:p>
    <w:p w:rsidR="004C74C2" w:rsidRPr="00B53423" w:rsidRDefault="004C74C2" w:rsidP="0015232B">
      <w:pPr>
        <w:pStyle w:val="Heading3"/>
        <w:keepNext w:val="0"/>
        <w:numPr>
          <w:ilvl w:val="0"/>
          <w:numId w:val="0"/>
        </w:numPr>
        <w:ind w:left="720"/>
      </w:pPr>
    </w:p>
    <w:p w:rsidR="004C74C2" w:rsidRPr="00B53423" w:rsidRDefault="004C74C2" w:rsidP="0015232B">
      <w:pPr>
        <w:spacing w:before="240"/>
        <w:rPr>
          <w:rFonts w:asciiTheme="minorHAnsi" w:hAnsiTheme="minorHAnsi" w:cstheme="minorHAnsi"/>
          <w:b/>
        </w:rPr>
      </w:pPr>
      <w:bookmarkStart w:id="426" w:name="_Toc399626325"/>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14</w:t>
      </w:r>
      <w:r w:rsidR="005D68E7" w:rsidRPr="00B53423">
        <w:rPr>
          <w:rFonts w:asciiTheme="minorHAnsi" w:hAnsiTheme="minorHAnsi" w:cstheme="minorHAnsi"/>
          <w:b/>
        </w:rPr>
        <w:fldChar w:fldCharType="end"/>
      </w:r>
      <w:r w:rsidRPr="00B53423">
        <w:rPr>
          <w:rFonts w:asciiTheme="minorHAnsi" w:hAnsiTheme="minorHAnsi" w:cstheme="minorHAnsi"/>
          <w:b/>
        </w:rPr>
        <w:t>: ALLOWABLE INTEREST AND FINANCE CHARGES FOR FY 2008-09 (Rs. Crore)</w:t>
      </w:r>
      <w:bookmarkEnd w:id="426"/>
    </w:p>
    <w:tbl>
      <w:tblPr>
        <w:tblW w:w="8845" w:type="dxa"/>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125"/>
        <w:gridCol w:w="1180"/>
        <w:gridCol w:w="1180"/>
        <w:gridCol w:w="1180"/>
        <w:gridCol w:w="1215"/>
      </w:tblGrid>
      <w:tr w:rsidR="004C74C2" w:rsidRPr="00B53423" w:rsidTr="009268E4">
        <w:trPr>
          <w:trHeight w:val="900"/>
          <w:tblHeader/>
        </w:trPr>
        <w:tc>
          <w:tcPr>
            <w:tcW w:w="4125" w:type="dxa"/>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180"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180"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80"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180"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b/>
                <w:bCs/>
                <w:i/>
                <w:iCs/>
                <w:color w:val="000000"/>
                <w:lang w:val="en-US"/>
              </w:rPr>
            </w:pPr>
            <w:r w:rsidRPr="00B53423">
              <w:rPr>
                <w:rFonts w:cs="Calibri"/>
                <w:b/>
                <w:bCs/>
                <w:i/>
                <w:iCs/>
                <w:color w:val="000000"/>
                <w:lang w:val="en-US"/>
              </w:rPr>
              <w:t>A: Interest on Long Term Loans</w:t>
            </w:r>
          </w:p>
        </w:tc>
        <w:tc>
          <w:tcPr>
            <w:tcW w:w="1180" w:type="dxa"/>
            <w:shd w:val="clear" w:color="auto" w:fill="auto"/>
            <w:noWrap/>
            <w:vAlign w:val="bottom"/>
            <w:hideMark/>
          </w:tcPr>
          <w:p w:rsidR="004C74C2" w:rsidRPr="00B53423" w:rsidRDefault="004C74C2" w:rsidP="0015232B">
            <w:pPr>
              <w:spacing w:before="0" w:line="240" w:lineRule="auto"/>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Gross Interest on Long Term Loan</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11.45</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8.73</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1.61</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color w:val="000000"/>
              </w:rPr>
            </w:pPr>
            <w:r w:rsidRPr="00B53423">
              <w:rPr>
                <w:rFonts w:cs="Calibri"/>
                <w:color w:val="000000"/>
              </w:rPr>
              <w:t>1.62</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Interest Capitalisation</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2.63</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8.73</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1.61</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color w:val="000000"/>
              </w:rPr>
            </w:pPr>
            <w:r w:rsidRPr="00B53423">
              <w:rPr>
                <w:rFonts w:cs="Calibri"/>
                <w:color w:val="000000"/>
              </w:rPr>
              <w:t>1.62</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Interest on Long Term Loans</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b/>
                <w:bCs/>
                <w:color w:val="000000"/>
              </w:rPr>
            </w:pPr>
            <w:r w:rsidRPr="00B53423">
              <w:rPr>
                <w:rFonts w:cs="Calibri"/>
                <w:b/>
                <w:bCs/>
                <w:color w:val="000000"/>
              </w:rPr>
              <w:t>8.82</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b/>
                <w:bCs/>
                <w:color w:val="000000"/>
              </w:rPr>
            </w:pPr>
            <w:r w:rsidRPr="00B53423">
              <w:rPr>
                <w:rFonts w:cs="Calibri"/>
                <w:b/>
                <w:bCs/>
                <w:color w:val="000000"/>
              </w:rPr>
              <w:t>0.00</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b/>
                <w:bCs/>
                <w:color w:val="000000"/>
              </w:rPr>
            </w:pPr>
            <w:r w:rsidRPr="00B53423">
              <w:rPr>
                <w:rFonts w:cs="Calibri"/>
                <w:b/>
                <w:bCs/>
                <w:color w:val="000000"/>
              </w:rPr>
              <w:t>0.00</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b/>
                <w:bCs/>
                <w:color w:val="000000"/>
              </w:rPr>
            </w:pPr>
            <w:r w:rsidRPr="00B53423">
              <w:rPr>
                <w:rFonts w:cs="Calibri"/>
                <w:b/>
                <w:bCs/>
                <w:color w:val="000000"/>
              </w:rPr>
              <w:t>0.00</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color w:val="000000"/>
              </w:rPr>
            </w:pPr>
            <w:r w:rsidRPr="00B53423">
              <w:rPr>
                <w:rFonts w:cs="Calibri"/>
                <w:color w:val="000000"/>
              </w:rPr>
              <w:t> </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b/>
                <w:bCs/>
                <w:i/>
                <w:iCs/>
                <w:color w:val="000000"/>
                <w:lang w:val="en-US"/>
              </w:rPr>
            </w:pPr>
            <w:r w:rsidRPr="00B53423">
              <w:rPr>
                <w:rFonts w:cs="Calibri"/>
                <w:b/>
                <w:bCs/>
                <w:i/>
                <w:iCs/>
                <w:color w:val="000000"/>
                <w:lang w:val="en-US"/>
              </w:rPr>
              <w:t>B: Finance and Other Charges</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color w:val="000000"/>
              </w:rPr>
            </w:pPr>
            <w:r w:rsidRPr="00B53423">
              <w:rPr>
                <w:rFonts w:cs="Calibri"/>
                <w:color w:val="000000"/>
              </w:rPr>
              <w:t> </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Interest on Electricity Duty</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18.99</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18.99</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color w:val="000000"/>
              </w:rPr>
            </w:pPr>
            <w:r w:rsidRPr="00B53423">
              <w:rPr>
                <w:rFonts w:cs="Calibri"/>
                <w:color w:val="000000"/>
              </w:rPr>
              <w:t>0.00</w:t>
            </w:r>
          </w:p>
        </w:tc>
      </w:tr>
      <w:tr w:rsidR="004C74C2" w:rsidRPr="00B53423" w:rsidTr="006F7B0E">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Finance Charges / Gaurantee Fees</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0.38</w:t>
            </w:r>
          </w:p>
        </w:tc>
        <w:tc>
          <w:tcPr>
            <w:tcW w:w="1180" w:type="dxa"/>
            <w:shd w:val="clear" w:color="auto" w:fill="auto"/>
            <w:noWrap/>
            <w:vAlign w:val="center"/>
            <w:hideMark/>
          </w:tcPr>
          <w:p w:rsidR="00564993" w:rsidRPr="00B53423" w:rsidRDefault="004C74C2" w:rsidP="0015232B">
            <w:pPr>
              <w:spacing w:before="0" w:line="240" w:lineRule="auto"/>
              <w:ind w:right="144"/>
              <w:jc w:val="right"/>
              <w:rPr>
                <w:rFonts w:cs="Calibri"/>
                <w:color w:val="000000"/>
              </w:rPr>
            </w:pPr>
            <w:r w:rsidRPr="00B53423">
              <w:rPr>
                <w:rFonts w:cs="Calibri"/>
                <w:color w:val="000000"/>
              </w:rPr>
              <w:t> </w:t>
            </w:r>
            <w:r w:rsidR="006F7B0E" w:rsidRPr="00B53423">
              <w:rPr>
                <w:rFonts w:cs="Calibri"/>
                <w:color w:val="000000"/>
              </w:rPr>
              <w:t>0.00</w:t>
            </w:r>
          </w:p>
        </w:tc>
        <w:tc>
          <w:tcPr>
            <w:tcW w:w="1180" w:type="dxa"/>
            <w:shd w:val="clear" w:color="auto" w:fill="auto"/>
            <w:noWrap/>
            <w:vAlign w:val="center"/>
            <w:hideMark/>
          </w:tcPr>
          <w:p w:rsidR="00564993" w:rsidRPr="00B53423" w:rsidRDefault="006F7B0E" w:rsidP="0015232B">
            <w:pPr>
              <w:spacing w:before="0" w:line="240" w:lineRule="auto"/>
              <w:ind w:right="144"/>
              <w:jc w:val="right"/>
              <w:rPr>
                <w:rFonts w:cs="Calibri"/>
                <w:color w:val="000000"/>
              </w:rPr>
            </w:pPr>
            <w:r w:rsidRPr="00B53423">
              <w:rPr>
                <w:rFonts w:cs="Calibri"/>
                <w:color w:val="000000"/>
              </w:rPr>
              <w:t>0.00</w:t>
            </w:r>
            <w:r w:rsidR="004C74C2" w:rsidRPr="00B53423">
              <w:rPr>
                <w:rFonts w:cs="Calibri"/>
                <w:color w:val="000000"/>
              </w:rPr>
              <w:t> </w:t>
            </w:r>
          </w:p>
        </w:tc>
        <w:tc>
          <w:tcPr>
            <w:tcW w:w="1180" w:type="dxa"/>
            <w:shd w:val="clear" w:color="auto" w:fill="auto"/>
            <w:noWrap/>
            <w:vAlign w:val="center"/>
            <w:hideMark/>
          </w:tcPr>
          <w:p w:rsidR="004C74C2" w:rsidRPr="00B53423" w:rsidRDefault="006F7B0E" w:rsidP="0015232B">
            <w:pPr>
              <w:spacing w:before="0" w:line="240" w:lineRule="auto"/>
              <w:ind w:right="97"/>
              <w:jc w:val="right"/>
              <w:rPr>
                <w:rFonts w:cs="Calibri"/>
                <w:color w:val="000000"/>
              </w:rPr>
            </w:pPr>
            <w:r w:rsidRPr="00B53423">
              <w:rPr>
                <w:rFonts w:cs="Calibri"/>
                <w:color w:val="000000"/>
              </w:rPr>
              <w:t>0.00</w:t>
            </w:r>
            <w:r w:rsidR="004C74C2" w:rsidRPr="00B53423">
              <w:rPr>
                <w:rFonts w:cs="Calibri"/>
                <w:color w:val="000000"/>
              </w:rPr>
              <w:t> </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Bank Charges</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0.10</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0.10</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color w:val="000000"/>
              </w:rPr>
            </w:pPr>
            <w:r w:rsidRPr="00B53423">
              <w:rPr>
                <w:rFonts w:cs="Calibri"/>
                <w:color w:val="000000"/>
              </w:rPr>
              <w:t>0.10</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Discount to Consumers on sale of energy</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2.48</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1.11</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1.11</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color w:val="000000"/>
              </w:rPr>
            </w:pPr>
            <w:r w:rsidRPr="00B53423">
              <w:rPr>
                <w:rFonts w:cs="Calibri"/>
                <w:color w:val="000000"/>
              </w:rPr>
              <w:t>1.11</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Interest on Consumer Security Deposits</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5.68</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3.76</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color w:val="000000"/>
              </w:rPr>
            </w:pPr>
            <w:r w:rsidRPr="00B53423">
              <w:rPr>
                <w:rFonts w:cs="Calibri"/>
                <w:color w:val="000000"/>
              </w:rPr>
              <w:t>3.76</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color w:val="000000"/>
              </w:rPr>
            </w:pPr>
            <w:r w:rsidRPr="00B53423">
              <w:rPr>
                <w:rFonts w:cs="Calibri"/>
                <w:color w:val="000000"/>
              </w:rPr>
              <w:t>3.76</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Finance Charges</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b/>
                <w:bCs/>
                <w:color w:val="000000"/>
              </w:rPr>
            </w:pPr>
            <w:r w:rsidRPr="00B53423">
              <w:rPr>
                <w:rFonts w:cs="Calibri"/>
                <w:b/>
                <w:bCs/>
                <w:color w:val="000000"/>
              </w:rPr>
              <w:t>8.54</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b/>
                <w:bCs/>
                <w:color w:val="000000"/>
              </w:rPr>
            </w:pPr>
            <w:r w:rsidRPr="00B53423">
              <w:rPr>
                <w:rFonts w:cs="Calibri"/>
                <w:b/>
                <w:bCs/>
                <w:color w:val="000000"/>
              </w:rPr>
              <w:t>23.95</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b/>
                <w:bCs/>
                <w:color w:val="000000"/>
              </w:rPr>
            </w:pPr>
            <w:r w:rsidRPr="00B53423">
              <w:rPr>
                <w:rFonts w:cs="Calibri"/>
                <w:b/>
                <w:bCs/>
                <w:color w:val="000000"/>
              </w:rPr>
              <w:t>23.95</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b/>
                <w:bCs/>
                <w:color w:val="000000"/>
              </w:rPr>
            </w:pPr>
            <w:r w:rsidRPr="00B53423">
              <w:rPr>
                <w:rFonts w:cs="Calibri"/>
                <w:b/>
                <w:bCs/>
                <w:color w:val="000000"/>
              </w:rPr>
              <w:t>4.96</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color w:val="000000"/>
              </w:rPr>
            </w:pPr>
            <w:r w:rsidRPr="00B53423">
              <w:rPr>
                <w:rFonts w:cs="Calibri"/>
                <w:color w:val="000000"/>
              </w:rPr>
              <w:t> </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b/>
                <w:bCs/>
                <w:i/>
                <w:iCs/>
                <w:color w:val="000000"/>
                <w:lang w:val="en-US"/>
              </w:rPr>
            </w:pPr>
            <w:r w:rsidRPr="00B53423">
              <w:rPr>
                <w:rFonts w:cs="Calibri"/>
                <w:b/>
                <w:bCs/>
                <w:i/>
                <w:iCs/>
                <w:color w:val="000000"/>
                <w:lang w:val="en-US"/>
              </w:rPr>
              <w:t>C: Interest on Working Capital</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b/>
                <w:bCs/>
                <w:color w:val="000000"/>
              </w:rPr>
            </w:pPr>
            <w:r w:rsidRPr="00B53423">
              <w:rPr>
                <w:rFonts w:cs="Calibri"/>
                <w:b/>
                <w:bCs/>
                <w:color w:val="000000"/>
              </w:rPr>
              <w:t>6.62</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b/>
                <w:bCs/>
                <w:color w:val="000000"/>
              </w:rPr>
            </w:pPr>
            <w:r w:rsidRPr="00B53423">
              <w:rPr>
                <w:rFonts w:cs="Calibri"/>
                <w:b/>
                <w:bCs/>
                <w:color w:val="000000"/>
              </w:rPr>
              <w:t>10.12</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b/>
                <w:bCs/>
                <w:color w:val="000000"/>
              </w:rPr>
            </w:pPr>
            <w:r w:rsidRPr="00B53423">
              <w:rPr>
                <w:rFonts w:cs="Calibri"/>
                <w:b/>
                <w:bCs/>
                <w:color w:val="000000"/>
              </w:rPr>
              <w:t>9.02</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b/>
                <w:bCs/>
                <w:color w:val="000000"/>
              </w:rPr>
            </w:pPr>
            <w:r w:rsidRPr="00B53423">
              <w:rPr>
                <w:rFonts w:cs="Calibri"/>
                <w:b/>
                <w:bCs/>
                <w:color w:val="000000"/>
              </w:rPr>
              <w:t>9.02</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144"/>
              <w:rPr>
                <w:rFonts w:cs="Calibri"/>
                <w:color w:val="000000"/>
              </w:rPr>
            </w:pPr>
            <w:r w:rsidRPr="00B53423">
              <w:rPr>
                <w:rFonts w:cs="Calibri"/>
                <w:color w:val="000000"/>
              </w:rPr>
              <w:t> </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color w:val="000000"/>
              </w:rPr>
            </w:pPr>
            <w:r w:rsidRPr="00B53423">
              <w:rPr>
                <w:rFonts w:cs="Calibri"/>
                <w:color w:val="000000"/>
              </w:rPr>
              <w:t> </w:t>
            </w:r>
          </w:p>
        </w:tc>
      </w:tr>
      <w:tr w:rsidR="004C74C2" w:rsidRPr="00B53423" w:rsidTr="009268E4">
        <w:trPr>
          <w:trHeight w:val="300"/>
        </w:trPr>
        <w:tc>
          <w:tcPr>
            <w:tcW w:w="4125"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(A+B+C)</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b/>
                <w:bCs/>
                <w:color w:val="000000"/>
              </w:rPr>
            </w:pPr>
            <w:r w:rsidRPr="00B53423">
              <w:rPr>
                <w:rFonts w:cs="Calibri"/>
                <w:b/>
                <w:bCs/>
                <w:color w:val="000000"/>
              </w:rPr>
              <w:t>23.98</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b/>
                <w:bCs/>
                <w:color w:val="000000"/>
              </w:rPr>
            </w:pPr>
            <w:r w:rsidRPr="00B53423">
              <w:rPr>
                <w:rFonts w:cs="Calibri"/>
                <w:b/>
                <w:bCs/>
                <w:color w:val="000000"/>
              </w:rPr>
              <w:t>34.07</w:t>
            </w:r>
          </w:p>
        </w:tc>
        <w:tc>
          <w:tcPr>
            <w:tcW w:w="1180" w:type="dxa"/>
            <w:shd w:val="clear" w:color="auto" w:fill="auto"/>
            <w:noWrap/>
            <w:vAlign w:val="bottom"/>
            <w:hideMark/>
          </w:tcPr>
          <w:p w:rsidR="004C74C2" w:rsidRPr="00B53423" w:rsidRDefault="004C74C2" w:rsidP="0015232B">
            <w:pPr>
              <w:spacing w:before="0" w:line="240" w:lineRule="auto"/>
              <w:ind w:right="144"/>
              <w:jc w:val="right"/>
              <w:rPr>
                <w:rFonts w:cs="Calibri"/>
                <w:b/>
                <w:bCs/>
                <w:color w:val="000000"/>
              </w:rPr>
            </w:pPr>
            <w:r w:rsidRPr="00B53423">
              <w:rPr>
                <w:rFonts w:cs="Calibri"/>
                <w:b/>
                <w:bCs/>
                <w:color w:val="000000"/>
              </w:rPr>
              <w:t>32.97</w:t>
            </w:r>
          </w:p>
        </w:tc>
        <w:tc>
          <w:tcPr>
            <w:tcW w:w="1180" w:type="dxa"/>
            <w:shd w:val="clear" w:color="auto" w:fill="auto"/>
            <w:noWrap/>
            <w:vAlign w:val="bottom"/>
            <w:hideMark/>
          </w:tcPr>
          <w:p w:rsidR="004C74C2" w:rsidRPr="00B53423" w:rsidRDefault="004C74C2" w:rsidP="0015232B">
            <w:pPr>
              <w:spacing w:before="0" w:line="240" w:lineRule="auto"/>
              <w:ind w:right="97"/>
              <w:jc w:val="right"/>
              <w:rPr>
                <w:rFonts w:cs="Calibri"/>
                <w:b/>
                <w:bCs/>
                <w:color w:val="000000"/>
              </w:rPr>
            </w:pPr>
            <w:r w:rsidRPr="00B53423">
              <w:rPr>
                <w:rFonts w:cs="Calibri"/>
                <w:b/>
                <w:bCs/>
                <w:color w:val="000000"/>
              </w:rPr>
              <w:t>13.98</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rPr>
          <w:caps/>
        </w:rPr>
      </w:pPr>
      <w:bookmarkStart w:id="427" w:name="_Toc399626169"/>
      <w:r w:rsidRPr="00B53423">
        <w:rPr>
          <w:caps/>
        </w:rPr>
        <w:t>Depreciation</w:t>
      </w:r>
      <w:bookmarkEnd w:id="427"/>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9</w:t>
      </w:r>
      <w:r w:rsidRPr="00B53423">
        <w:rPr>
          <w:vertAlign w:val="superscript"/>
        </w:rPr>
        <w:t>th</w:t>
      </w:r>
      <w:r w:rsidRPr="00B53423">
        <w:t xml:space="preserve"> July, 2008 in Petition No. 487 and 510 of 2007 for FY 2008-09, the Commission had approved depreciation expense of Rs. 39.63 Crore on a gross fixed asset base of Rs. 556.51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rPr>
          <w:sz w:val="22"/>
          <w:szCs w:val="22"/>
        </w:rPr>
      </w:pPr>
      <w:r w:rsidRPr="00B53423">
        <w:t>The Petitioner submitted that the actual depreciation expense as per Audited Accounts is Rs. 14.11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2008-09</w:t>
      </w:r>
      <w:r w:rsidRPr="00B53423">
        <w:rPr>
          <w:sz w:val="22"/>
          <w:szCs w:val="22"/>
        </w:rPr>
        <w:t>.</w:t>
      </w:r>
    </w:p>
    <w:p w:rsidR="004C74C2" w:rsidRPr="00B53423" w:rsidRDefault="004C74C2" w:rsidP="0015232B">
      <w:pPr>
        <w:pStyle w:val="ListParagraph"/>
        <w:ind w:left="180"/>
        <w:rPr>
          <w:sz w:val="22"/>
          <w:szCs w:val="22"/>
        </w:rPr>
      </w:pPr>
    </w:p>
    <w:p w:rsidR="004C74C2" w:rsidRPr="00B53423" w:rsidRDefault="004C74C2" w:rsidP="0015232B">
      <w:pPr>
        <w:pStyle w:val="Heading3"/>
        <w:keepNext w:val="0"/>
        <w:ind w:hanging="1080"/>
      </w:pPr>
      <w:r w:rsidRPr="00B53423">
        <w:t>The Petitioner further submitted that in the earlier Tariff Orders, the Commission has approved depreciation expense on the basis of the projected gross fixed asset balances after prudence check of the capital investment proposed by Petitioner. The Petitioner submitted that the depreciation has been allowed at the rates specified in the Ministry of Power notifications in the initial years and thereafter in line with the Distribution Tariff Regulations, 2006 which also prescribe depreciation rates as per the Ministry of Power notification No. S.O. 265(E) dated 27</w:t>
      </w:r>
      <w:r w:rsidRPr="00B53423">
        <w:rPr>
          <w:vertAlign w:val="superscript"/>
        </w:rPr>
        <w:t>th</w:t>
      </w:r>
      <w:r w:rsidRPr="00B53423">
        <w:t xml:space="preserve"> March 1994. The Petitioner also submitted that in some years where class wise asset details of capitalisation were not available, the Commission had allowed weighted average depreciation rates on composite basis.</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The Petitioner added that for purpose of True-up it has computed depreciation expense on the actual gross fixed asset base using the same depreciation rates, which were used by the Commission in the Tariff Order dated 9</w:t>
      </w:r>
      <w:r w:rsidRPr="00B53423">
        <w:rPr>
          <w:vertAlign w:val="superscript"/>
        </w:rPr>
        <w:t>th</w:t>
      </w:r>
      <w:r w:rsidRPr="00B53423">
        <w:t xml:space="preserve"> July, 2008 in Petition No. 487 and 510 of 2007 for FY 2008-09 as shown in the Table below:</w:t>
      </w:r>
    </w:p>
    <w:p w:rsidR="004C74C2" w:rsidRPr="00B53423" w:rsidRDefault="004C74C2" w:rsidP="0015232B">
      <w:pPr>
        <w:pStyle w:val="ListParagraph"/>
        <w:ind w:left="180"/>
      </w:pPr>
    </w:p>
    <w:p w:rsidR="004C74C2" w:rsidRPr="00B53423" w:rsidRDefault="004C74C2" w:rsidP="0015232B">
      <w:pPr>
        <w:spacing w:before="240"/>
        <w:rPr>
          <w:rFonts w:asciiTheme="minorHAnsi" w:hAnsiTheme="minorHAnsi" w:cstheme="minorHAnsi"/>
          <w:b/>
        </w:rPr>
      </w:pPr>
      <w:bookmarkStart w:id="428" w:name="_Toc399626326"/>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15</w:t>
      </w:r>
      <w:r w:rsidR="005D68E7" w:rsidRPr="00B53423">
        <w:rPr>
          <w:rFonts w:asciiTheme="minorHAnsi" w:hAnsiTheme="minorHAnsi" w:cstheme="minorHAnsi"/>
          <w:b/>
        </w:rPr>
        <w:fldChar w:fldCharType="end"/>
      </w:r>
      <w:r w:rsidRPr="00B53423">
        <w:rPr>
          <w:rFonts w:asciiTheme="minorHAnsi" w:hAnsiTheme="minorHAnsi" w:cstheme="minorHAnsi"/>
          <w:b/>
        </w:rPr>
        <w:t>: ALLOWABLE DEPRECIATION SUBMITTED BY THE PETITIONER (Rs. Crore)</w:t>
      </w:r>
      <w:bookmarkEnd w:id="428"/>
    </w:p>
    <w:tbl>
      <w:tblPr>
        <w:tblW w:w="0" w:type="auto"/>
        <w:tblInd w:w="-79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606"/>
        <w:gridCol w:w="989"/>
        <w:gridCol w:w="1175"/>
        <w:gridCol w:w="1249"/>
        <w:gridCol w:w="869"/>
        <w:gridCol w:w="1394"/>
        <w:gridCol w:w="1394"/>
      </w:tblGrid>
      <w:tr w:rsidR="006F7B0E" w:rsidRPr="00B53423" w:rsidTr="006F7B0E">
        <w:trPr>
          <w:trHeight w:val="730"/>
          <w:tblHeader/>
        </w:trPr>
        <w:tc>
          <w:tcPr>
            <w:tcW w:w="2606" w:type="dxa"/>
            <w:shd w:val="clear" w:color="auto" w:fill="DBE5F1" w:themeFill="accent1" w:themeFillTint="33"/>
            <w:vAlign w:val="center"/>
            <w:hideMark/>
          </w:tcPr>
          <w:p w:rsidR="00564993" w:rsidRPr="00B53423" w:rsidRDefault="003A6B3B" w:rsidP="0015232B">
            <w:pPr>
              <w:spacing w:line="240" w:lineRule="auto"/>
              <w:jc w:val="center"/>
              <w:rPr>
                <w:b/>
                <w:lang w:val="en-IN" w:eastAsia="en-IN"/>
              </w:rPr>
            </w:pPr>
            <w:r w:rsidRPr="00B53423">
              <w:rPr>
                <w:b/>
                <w:sz w:val="22"/>
                <w:szCs w:val="22"/>
                <w:lang w:val="en-IN" w:eastAsia="en-IN"/>
              </w:rPr>
              <w:t>Particulars</w:t>
            </w:r>
          </w:p>
        </w:tc>
        <w:tc>
          <w:tcPr>
            <w:tcW w:w="989" w:type="dxa"/>
            <w:shd w:val="clear" w:color="auto" w:fill="DBE5F1" w:themeFill="accent1" w:themeFillTint="33"/>
            <w:vAlign w:val="center"/>
            <w:hideMark/>
          </w:tcPr>
          <w:p w:rsidR="00564993" w:rsidRPr="00B53423" w:rsidRDefault="003A6B3B" w:rsidP="0015232B">
            <w:pPr>
              <w:spacing w:line="240" w:lineRule="auto"/>
              <w:jc w:val="center"/>
              <w:rPr>
                <w:b/>
                <w:kern w:val="32"/>
                <w:lang w:val="en-IN" w:eastAsia="en-IN"/>
              </w:rPr>
            </w:pPr>
            <w:r w:rsidRPr="00B53423">
              <w:rPr>
                <w:b/>
                <w:sz w:val="22"/>
                <w:szCs w:val="22"/>
                <w:lang w:val="en-IN" w:eastAsia="en-IN"/>
              </w:rPr>
              <w:t>Opening GFA</w:t>
            </w:r>
          </w:p>
        </w:tc>
        <w:tc>
          <w:tcPr>
            <w:tcW w:w="1175" w:type="dxa"/>
            <w:shd w:val="clear" w:color="auto" w:fill="DBE5F1" w:themeFill="accent1" w:themeFillTint="33"/>
            <w:vAlign w:val="center"/>
            <w:hideMark/>
          </w:tcPr>
          <w:p w:rsidR="00564993" w:rsidRPr="00B53423" w:rsidRDefault="003A6B3B" w:rsidP="0015232B">
            <w:pPr>
              <w:spacing w:line="240" w:lineRule="auto"/>
              <w:jc w:val="center"/>
              <w:rPr>
                <w:b/>
                <w:kern w:val="32"/>
                <w:lang w:val="en-IN" w:eastAsia="en-IN"/>
              </w:rPr>
            </w:pPr>
            <w:r w:rsidRPr="00B53423">
              <w:rPr>
                <w:b/>
                <w:sz w:val="22"/>
                <w:szCs w:val="22"/>
                <w:lang w:val="en-IN" w:eastAsia="en-IN"/>
              </w:rPr>
              <w:t>Additions to GFA</w:t>
            </w:r>
          </w:p>
        </w:tc>
        <w:tc>
          <w:tcPr>
            <w:tcW w:w="1249" w:type="dxa"/>
            <w:shd w:val="clear" w:color="auto" w:fill="DBE5F1" w:themeFill="accent1" w:themeFillTint="33"/>
            <w:vAlign w:val="center"/>
            <w:hideMark/>
          </w:tcPr>
          <w:p w:rsidR="00564993" w:rsidRPr="00B53423" w:rsidRDefault="003A6B3B" w:rsidP="0015232B">
            <w:pPr>
              <w:spacing w:line="240" w:lineRule="auto"/>
              <w:jc w:val="center"/>
              <w:rPr>
                <w:b/>
                <w:kern w:val="32"/>
                <w:lang w:val="en-IN" w:eastAsia="en-IN"/>
              </w:rPr>
            </w:pPr>
            <w:r w:rsidRPr="00B53423">
              <w:rPr>
                <w:b/>
                <w:sz w:val="22"/>
                <w:szCs w:val="22"/>
                <w:lang w:val="en-IN" w:eastAsia="en-IN"/>
              </w:rPr>
              <w:t>Deductions to GFA</w:t>
            </w:r>
          </w:p>
        </w:tc>
        <w:tc>
          <w:tcPr>
            <w:tcW w:w="869" w:type="dxa"/>
            <w:shd w:val="clear" w:color="auto" w:fill="DBE5F1" w:themeFill="accent1" w:themeFillTint="33"/>
            <w:vAlign w:val="center"/>
            <w:hideMark/>
          </w:tcPr>
          <w:p w:rsidR="00564993" w:rsidRPr="00B53423" w:rsidRDefault="003A6B3B" w:rsidP="0015232B">
            <w:pPr>
              <w:spacing w:line="240" w:lineRule="auto"/>
              <w:jc w:val="center"/>
              <w:rPr>
                <w:b/>
                <w:kern w:val="32"/>
                <w:lang w:val="en-IN" w:eastAsia="en-IN"/>
              </w:rPr>
            </w:pPr>
            <w:r w:rsidRPr="00B53423">
              <w:rPr>
                <w:b/>
                <w:sz w:val="22"/>
                <w:szCs w:val="22"/>
                <w:lang w:val="en-IN" w:eastAsia="en-IN"/>
              </w:rPr>
              <w:t xml:space="preserve">Closing </w:t>
            </w:r>
            <w:r w:rsidRPr="00B53423">
              <w:rPr>
                <w:b/>
                <w:sz w:val="22"/>
                <w:szCs w:val="22"/>
                <w:lang w:val="en-IN" w:eastAsia="en-IN"/>
              </w:rPr>
              <w:br/>
              <w:t>GFA</w:t>
            </w:r>
          </w:p>
        </w:tc>
        <w:tc>
          <w:tcPr>
            <w:tcW w:w="1394" w:type="dxa"/>
            <w:shd w:val="clear" w:color="auto" w:fill="DBE5F1" w:themeFill="accent1" w:themeFillTint="33"/>
            <w:vAlign w:val="center"/>
            <w:hideMark/>
          </w:tcPr>
          <w:p w:rsidR="00564993" w:rsidRPr="00B53423" w:rsidRDefault="003A6B3B" w:rsidP="0015232B">
            <w:pPr>
              <w:spacing w:line="240" w:lineRule="auto"/>
              <w:jc w:val="center"/>
              <w:rPr>
                <w:b/>
                <w:kern w:val="32"/>
                <w:lang w:val="en-IN" w:eastAsia="en-IN"/>
              </w:rPr>
            </w:pPr>
            <w:r w:rsidRPr="00B53423">
              <w:rPr>
                <w:b/>
                <w:sz w:val="22"/>
                <w:szCs w:val="22"/>
                <w:lang w:val="en-IN" w:eastAsia="en-IN"/>
              </w:rPr>
              <w:t>Depreciation Rates considered</w:t>
            </w:r>
          </w:p>
        </w:tc>
        <w:tc>
          <w:tcPr>
            <w:tcW w:w="1394" w:type="dxa"/>
            <w:shd w:val="clear" w:color="auto" w:fill="DBE5F1" w:themeFill="accent1" w:themeFillTint="33"/>
            <w:vAlign w:val="center"/>
            <w:hideMark/>
          </w:tcPr>
          <w:p w:rsidR="00564993" w:rsidRPr="00B53423" w:rsidRDefault="003A6B3B" w:rsidP="0015232B">
            <w:pPr>
              <w:spacing w:line="240" w:lineRule="auto"/>
              <w:jc w:val="center"/>
              <w:rPr>
                <w:b/>
                <w:kern w:val="32"/>
                <w:lang w:val="en-IN" w:eastAsia="en-IN"/>
              </w:rPr>
            </w:pPr>
            <w:r w:rsidRPr="00B53423">
              <w:rPr>
                <w:b/>
                <w:sz w:val="22"/>
                <w:szCs w:val="22"/>
                <w:lang w:val="en-IN" w:eastAsia="en-IN"/>
              </w:rPr>
              <w:t>Allowable Depreciation</w:t>
            </w:r>
          </w:p>
        </w:tc>
      </w:tr>
      <w:tr w:rsidR="006F7B0E" w:rsidRPr="00B53423" w:rsidTr="006F7B0E">
        <w:trPr>
          <w:trHeight w:val="300"/>
        </w:trPr>
        <w:tc>
          <w:tcPr>
            <w:tcW w:w="2606" w:type="dxa"/>
            <w:shd w:val="clear" w:color="000000" w:fill="FFFFFF"/>
            <w:vAlign w:val="center"/>
            <w:hideMark/>
          </w:tcPr>
          <w:p w:rsidR="00564993" w:rsidRPr="00B53423" w:rsidRDefault="003A6B3B" w:rsidP="0015232B">
            <w:pPr>
              <w:spacing w:line="240" w:lineRule="auto"/>
              <w:rPr>
                <w:lang w:val="en-IN" w:eastAsia="en-IN"/>
              </w:rPr>
            </w:pPr>
            <w:r w:rsidRPr="00B53423">
              <w:rPr>
                <w:sz w:val="22"/>
                <w:szCs w:val="22"/>
                <w:lang w:val="en-IN" w:eastAsia="en-IN"/>
              </w:rPr>
              <w:t>Buildings</w:t>
            </w:r>
          </w:p>
        </w:tc>
        <w:tc>
          <w:tcPr>
            <w:tcW w:w="98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1175"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124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86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1394"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1394" w:type="dxa"/>
            <w:shd w:val="clear" w:color="000000" w:fill="FFFFFF"/>
            <w:noWrap/>
            <w:vAlign w:val="center"/>
            <w:hideMark/>
          </w:tcPr>
          <w:p w:rsidR="00564993" w:rsidRPr="00B53423" w:rsidRDefault="00564993" w:rsidP="0015232B">
            <w:pPr>
              <w:spacing w:line="240" w:lineRule="auto"/>
              <w:jc w:val="right"/>
              <w:rPr>
                <w:lang w:val="en-IN" w:eastAsia="en-IN"/>
              </w:rPr>
            </w:pPr>
          </w:p>
        </w:tc>
      </w:tr>
      <w:tr w:rsidR="006F7B0E" w:rsidRPr="00B53423" w:rsidTr="006F7B0E">
        <w:trPr>
          <w:trHeight w:val="257"/>
        </w:trPr>
        <w:tc>
          <w:tcPr>
            <w:tcW w:w="2606" w:type="dxa"/>
            <w:shd w:val="clear" w:color="000000" w:fill="FFFFFF"/>
            <w:vAlign w:val="center"/>
            <w:hideMark/>
          </w:tcPr>
          <w:p w:rsidR="00564993" w:rsidRPr="00B53423" w:rsidRDefault="003A6B3B" w:rsidP="0015232B">
            <w:pPr>
              <w:spacing w:line="240" w:lineRule="auto"/>
              <w:rPr>
                <w:lang w:val="en-IN" w:eastAsia="en-IN"/>
              </w:rPr>
            </w:pPr>
            <w:r w:rsidRPr="00B53423">
              <w:rPr>
                <w:sz w:val="22"/>
                <w:szCs w:val="22"/>
                <w:lang w:val="en-IN" w:eastAsia="en-IN"/>
              </w:rPr>
              <w:t xml:space="preserve">  a.Residential Colonies</w:t>
            </w:r>
          </w:p>
        </w:tc>
        <w:tc>
          <w:tcPr>
            <w:tcW w:w="98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9.95</w:t>
            </w:r>
          </w:p>
        </w:tc>
        <w:tc>
          <w:tcPr>
            <w:tcW w:w="1175"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0.14</w:t>
            </w:r>
          </w:p>
        </w:tc>
        <w:tc>
          <w:tcPr>
            <w:tcW w:w="124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86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10.10</w:t>
            </w:r>
          </w:p>
        </w:tc>
        <w:tc>
          <w:tcPr>
            <w:tcW w:w="1394" w:type="dxa"/>
            <w:shd w:val="clear" w:color="000000" w:fill="FFFFFF"/>
            <w:noWrap/>
            <w:hideMark/>
          </w:tcPr>
          <w:p w:rsidR="00564993" w:rsidRPr="00B53423" w:rsidRDefault="003A6B3B" w:rsidP="0015232B">
            <w:pPr>
              <w:spacing w:line="240" w:lineRule="auto"/>
              <w:jc w:val="right"/>
            </w:pPr>
            <w:r w:rsidRPr="00B53423">
              <w:rPr>
                <w:sz w:val="22"/>
                <w:szCs w:val="22"/>
                <w:lang w:val="en-IN" w:eastAsia="en-IN"/>
              </w:rPr>
              <w:t>7.91%</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0.79</w:t>
            </w:r>
          </w:p>
        </w:tc>
      </w:tr>
      <w:tr w:rsidR="006F7B0E" w:rsidRPr="00B53423" w:rsidTr="006F7B0E">
        <w:trPr>
          <w:trHeight w:val="300"/>
        </w:trPr>
        <w:tc>
          <w:tcPr>
            <w:tcW w:w="2606" w:type="dxa"/>
            <w:shd w:val="clear" w:color="000000" w:fill="FFFFFF"/>
            <w:vAlign w:val="center"/>
            <w:hideMark/>
          </w:tcPr>
          <w:p w:rsidR="00564993" w:rsidRPr="00B53423" w:rsidRDefault="003A6B3B" w:rsidP="0015232B">
            <w:pPr>
              <w:spacing w:line="240" w:lineRule="auto"/>
              <w:rPr>
                <w:lang w:val="en-IN" w:eastAsia="en-IN"/>
              </w:rPr>
            </w:pPr>
            <w:r w:rsidRPr="00B53423">
              <w:rPr>
                <w:sz w:val="22"/>
                <w:szCs w:val="22"/>
                <w:lang w:val="en-IN" w:eastAsia="en-IN"/>
              </w:rPr>
              <w:t xml:space="preserve">  b.Office Building</w:t>
            </w:r>
          </w:p>
        </w:tc>
        <w:tc>
          <w:tcPr>
            <w:tcW w:w="98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0.73</w:t>
            </w:r>
          </w:p>
        </w:tc>
        <w:tc>
          <w:tcPr>
            <w:tcW w:w="1175"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0.35</w:t>
            </w:r>
          </w:p>
        </w:tc>
        <w:tc>
          <w:tcPr>
            <w:tcW w:w="124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86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1.07</w:t>
            </w:r>
          </w:p>
        </w:tc>
        <w:tc>
          <w:tcPr>
            <w:tcW w:w="1394" w:type="dxa"/>
            <w:shd w:val="clear" w:color="000000" w:fill="FFFFFF"/>
            <w:noWrap/>
            <w:hideMark/>
          </w:tcPr>
          <w:p w:rsidR="00564993" w:rsidRPr="00B53423" w:rsidRDefault="003A6B3B" w:rsidP="0015232B">
            <w:pPr>
              <w:spacing w:line="240" w:lineRule="auto"/>
              <w:jc w:val="right"/>
            </w:pPr>
            <w:r w:rsidRPr="00B53423">
              <w:rPr>
                <w:sz w:val="22"/>
                <w:szCs w:val="22"/>
                <w:lang w:val="en-IN" w:eastAsia="en-IN"/>
              </w:rPr>
              <w:t>7.91%</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0.07</w:t>
            </w:r>
          </w:p>
        </w:tc>
      </w:tr>
      <w:tr w:rsidR="006F7B0E" w:rsidRPr="00B53423" w:rsidTr="006F7B0E">
        <w:trPr>
          <w:trHeight w:val="237"/>
        </w:trPr>
        <w:tc>
          <w:tcPr>
            <w:tcW w:w="2606" w:type="dxa"/>
            <w:shd w:val="clear" w:color="000000" w:fill="FFFFFF"/>
            <w:vAlign w:val="center"/>
            <w:hideMark/>
          </w:tcPr>
          <w:p w:rsidR="00564993" w:rsidRPr="00B53423" w:rsidRDefault="003A6B3B" w:rsidP="0015232B">
            <w:pPr>
              <w:spacing w:line="240" w:lineRule="auto"/>
              <w:rPr>
                <w:lang w:val="en-IN" w:eastAsia="en-IN"/>
              </w:rPr>
            </w:pPr>
            <w:r w:rsidRPr="00B53423">
              <w:rPr>
                <w:sz w:val="22"/>
                <w:szCs w:val="22"/>
                <w:lang w:val="en-IN" w:eastAsia="en-IN"/>
              </w:rPr>
              <w:t xml:space="preserve">  c.Building Containg at Sub-stations</w:t>
            </w:r>
          </w:p>
        </w:tc>
        <w:tc>
          <w:tcPr>
            <w:tcW w:w="98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9.18</w:t>
            </w:r>
          </w:p>
        </w:tc>
        <w:tc>
          <w:tcPr>
            <w:tcW w:w="1175"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5.99</w:t>
            </w:r>
          </w:p>
        </w:tc>
        <w:tc>
          <w:tcPr>
            <w:tcW w:w="124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86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15.17</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7.91%</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0.96</w:t>
            </w:r>
          </w:p>
        </w:tc>
      </w:tr>
      <w:tr w:rsidR="006F7B0E" w:rsidRPr="00B53423" w:rsidTr="006F7B0E">
        <w:trPr>
          <w:trHeight w:val="300"/>
        </w:trPr>
        <w:tc>
          <w:tcPr>
            <w:tcW w:w="2606" w:type="dxa"/>
            <w:shd w:val="clear" w:color="000000" w:fill="FFFFFF"/>
            <w:vAlign w:val="center"/>
            <w:hideMark/>
          </w:tcPr>
          <w:p w:rsidR="00564993" w:rsidRPr="00B53423" w:rsidRDefault="003A6B3B" w:rsidP="0015232B">
            <w:pPr>
              <w:spacing w:line="240" w:lineRule="auto"/>
              <w:rPr>
                <w:lang w:val="en-IN" w:eastAsia="en-IN"/>
              </w:rPr>
            </w:pPr>
            <w:r w:rsidRPr="00B53423">
              <w:rPr>
                <w:sz w:val="22"/>
                <w:szCs w:val="22"/>
                <w:lang w:val="en-IN" w:eastAsia="en-IN"/>
              </w:rPr>
              <w:t>Plants &amp; Machinery</w:t>
            </w:r>
          </w:p>
        </w:tc>
        <w:tc>
          <w:tcPr>
            <w:tcW w:w="98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1175"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124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86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1394"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1394" w:type="dxa"/>
            <w:shd w:val="clear" w:color="000000" w:fill="FFFFFF"/>
            <w:noWrap/>
            <w:vAlign w:val="center"/>
            <w:hideMark/>
          </w:tcPr>
          <w:p w:rsidR="00564993" w:rsidRPr="00B53423" w:rsidRDefault="00564993" w:rsidP="0015232B">
            <w:pPr>
              <w:spacing w:line="240" w:lineRule="auto"/>
              <w:jc w:val="right"/>
              <w:rPr>
                <w:lang w:val="en-IN" w:eastAsia="en-IN"/>
              </w:rPr>
            </w:pPr>
          </w:p>
        </w:tc>
      </w:tr>
      <w:tr w:rsidR="006F7B0E" w:rsidRPr="00B53423" w:rsidTr="006F7B0E">
        <w:trPr>
          <w:trHeight w:val="300"/>
        </w:trPr>
        <w:tc>
          <w:tcPr>
            <w:tcW w:w="2606" w:type="dxa"/>
            <w:shd w:val="clear" w:color="000000" w:fill="FFFFFF"/>
            <w:vAlign w:val="center"/>
            <w:hideMark/>
          </w:tcPr>
          <w:p w:rsidR="00564993" w:rsidRPr="00B53423" w:rsidRDefault="003A6B3B" w:rsidP="0015232B">
            <w:pPr>
              <w:spacing w:line="240" w:lineRule="auto"/>
              <w:rPr>
                <w:lang w:val="en-IN" w:eastAsia="en-IN"/>
              </w:rPr>
            </w:pPr>
            <w:r w:rsidRPr="00B53423">
              <w:rPr>
                <w:sz w:val="22"/>
                <w:szCs w:val="22"/>
                <w:lang w:val="en-IN" w:eastAsia="en-IN"/>
              </w:rPr>
              <w:t xml:space="preserve">  a.Plant &amp; Machinery</w:t>
            </w:r>
          </w:p>
        </w:tc>
        <w:tc>
          <w:tcPr>
            <w:tcW w:w="98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66.75</w:t>
            </w:r>
          </w:p>
        </w:tc>
        <w:tc>
          <w:tcPr>
            <w:tcW w:w="1175"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46.71</w:t>
            </w:r>
          </w:p>
        </w:tc>
        <w:tc>
          <w:tcPr>
            <w:tcW w:w="124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86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113.46</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7.91%</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7.13</w:t>
            </w:r>
          </w:p>
        </w:tc>
      </w:tr>
      <w:tr w:rsidR="006F7B0E" w:rsidRPr="00B53423" w:rsidTr="006F7B0E">
        <w:trPr>
          <w:trHeight w:val="600"/>
        </w:trPr>
        <w:tc>
          <w:tcPr>
            <w:tcW w:w="2606" w:type="dxa"/>
            <w:shd w:val="clear" w:color="000000" w:fill="FFFFFF"/>
            <w:vAlign w:val="center"/>
            <w:hideMark/>
          </w:tcPr>
          <w:p w:rsidR="00564993" w:rsidRPr="00B53423" w:rsidRDefault="003A6B3B" w:rsidP="0015232B">
            <w:pPr>
              <w:spacing w:line="240" w:lineRule="auto"/>
              <w:rPr>
                <w:lang w:val="en-IN" w:eastAsia="en-IN"/>
              </w:rPr>
            </w:pPr>
            <w:r w:rsidRPr="00B53423">
              <w:rPr>
                <w:sz w:val="22"/>
                <w:szCs w:val="22"/>
                <w:lang w:val="en-IN" w:eastAsia="en-IN"/>
              </w:rPr>
              <w:t xml:space="preserve">  b.Lines, Cables, Networks etc.</w:t>
            </w:r>
          </w:p>
        </w:tc>
        <w:tc>
          <w:tcPr>
            <w:tcW w:w="98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221.94</w:t>
            </w:r>
          </w:p>
        </w:tc>
        <w:tc>
          <w:tcPr>
            <w:tcW w:w="1175"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73.31</w:t>
            </w:r>
          </w:p>
        </w:tc>
        <w:tc>
          <w:tcPr>
            <w:tcW w:w="124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86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295.25</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7.91%</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20.46</w:t>
            </w:r>
          </w:p>
        </w:tc>
      </w:tr>
      <w:tr w:rsidR="006F7B0E" w:rsidRPr="00B53423" w:rsidTr="006F7B0E">
        <w:trPr>
          <w:trHeight w:val="300"/>
        </w:trPr>
        <w:tc>
          <w:tcPr>
            <w:tcW w:w="2606" w:type="dxa"/>
            <w:shd w:val="clear" w:color="000000" w:fill="FFFFFF"/>
            <w:vAlign w:val="center"/>
            <w:hideMark/>
          </w:tcPr>
          <w:p w:rsidR="00564993" w:rsidRPr="00B53423" w:rsidRDefault="003A6B3B" w:rsidP="0015232B">
            <w:pPr>
              <w:spacing w:line="240" w:lineRule="auto"/>
              <w:rPr>
                <w:lang w:val="en-IN" w:eastAsia="en-IN"/>
              </w:rPr>
            </w:pPr>
            <w:r w:rsidRPr="00B53423">
              <w:rPr>
                <w:sz w:val="22"/>
                <w:szCs w:val="22"/>
                <w:lang w:val="en-IN" w:eastAsia="en-IN"/>
              </w:rPr>
              <w:t xml:space="preserve">  c.Office Equipments</w:t>
            </w:r>
          </w:p>
        </w:tc>
        <w:tc>
          <w:tcPr>
            <w:tcW w:w="98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5.59</w:t>
            </w:r>
          </w:p>
        </w:tc>
        <w:tc>
          <w:tcPr>
            <w:tcW w:w="1175"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0.03</w:t>
            </w:r>
          </w:p>
        </w:tc>
        <w:tc>
          <w:tcPr>
            <w:tcW w:w="124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86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5.62</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7.91%</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0.44</w:t>
            </w:r>
          </w:p>
        </w:tc>
      </w:tr>
      <w:tr w:rsidR="006F7B0E" w:rsidRPr="00B53423" w:rsidTr="006F7B0E">
        <w:trPr>
          <w:trHeight w:val="300"/>
        </w:trPr>
        <w:tc>
          <w:tcPr>
            <w:tcW w:w="2606" w:type="dxa"/>
            <w:shd w:val="clear" w:color="000000" w:fill="FFFFFF"/>
            <w:vAlign w:val="center"/>
            <w:hideMark/>
          </w:tcPr>
          <w:p w:rsidR="00564993" w:rsidRPr="00B53423" w:rsidRDefault="003A6B3B" w:rsidP="0015232B">
            <w:pPr>
              <w:spacing w:line="240" w:lineRule="auto"/>
              <w:rPr>
                <w:lang w:val="en-IN" w:eastAsia="en-IN"/>
              </w:rPr>
            </w:pPr>
            <w:r w:rsidRPr="00B53423">
              <w:rPr>
                <w:sz w:val="22"/>
                <w:szCs w:val="22"/>
                <w:lang w:val="en-IN" w:eastAsia="en-IN"/>
              </w:rPr>
              <w:t xml:space="preserve">  d.Computers</w:t>
            </w:r>
          </w:p>
        </w:tc>
        <w:tc>
          <w:tcPr>
            <w:tcW w:w="98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0.17</w:t>
            </w:r>
          </w:p>
        </w:tc>
        <w:tc>
          <w:tcPr>
            <w:tcW w:w="1175"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1.95</w:t>
            </w:r>
          </w:p>
        </w:tc>
        <w:tc>
          <w:tcPr>
            <w:tcW w:w="124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86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2.12</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7.91%</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0.09</w:t>
            </w:r>
          </w:p>
        </w:tc>
      </w:tr>
      <w:tr w:rsidR="006F7B0E" w:rsidRPr="00B53423" w:rsidTr="006F7B0E">
        <w:trPr>
          <w:trHeight w:val="300"/>
        </w:trPr>
        <w:tc>
          <w:tcPr>
            <w:tcW w:w="2606" w:type="dxa"/>
            <w:shd w:val="clear" w:color="000000" w:fill="FFFFFF"/>
            <w:vAlign w:val="center"/>
            <w:hideMark/>
          </w:tcPr>
          <w:p w:rsidR="00564993" w:rsidRPr="00B53423" w:rsidRDefault="003A6B3B" w:rsidP="0015232B">
            <w:pPr>
              <w:spacing w:line="240" w:lineRule="auto"/>
              <w:rPr>
                <w:lang w:val="en-IN" w:eastAsia="en-IN"/>
              </w:rPr>
            </w:pPr>
            <w:r w:rsidRPr="00B53423">
              <w:rPr>
                <w:sz w:val="22"/>
                <w:szCs w:val="22"/>
                <w:lang w:val="en-IN" w:eastAsia="en-IN"/>
              </w:rPr>
              <w:t>Furniture &amp; Fixtures</w:t>
            </w:r>
          </w:p>
        </w:tc>
        <w:tc>
          <w:tcPr>
            <w:tcW w:w="98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0.90</w:t>
            </w:r>
          </w:p>
        </w:tc>
        <w:tc>
          <w:tcPr>
            <w:tcW w:w="1175"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0.08</w:t>
            </w:r>
          </w:p>
        </w:tc>
        <w:tc>
          <w:tcPr>
            <w:tcW w:w="124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86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0.98</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7.91%</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0.07</w:t>
            </w:r>
          </w:p>
        </w:tc>
      </w:tr>
      <w:tr w:rsidR="006F7B0E" w:rsidRPr="00B53423" w:rsidTr="006F7B0E">
        <w:trPr>
          <w:trHeight w:val="300"/>
        </w:trPr>
        <w:tc>
          <w:tcPr>
            <w:tcW w:w="2606" w:type="dxa"/>
            <w:shd w:val="clear" w:color="000000" w:fill="FFFFFF"/>
            <w:vAlign w:val="center"/>
            <w:hideMark/>
          </w:tcPr>
          <w:p w:rsidR="00564993" w:rsidRPr="00B53423" w:rsidRDefault="003A6B3B" w:rsidP="0015232B">
            <w:pPr>
              <w:spacing w:line="240" w:lineRule="auto"/>
              <w:rPr>
                <w:lang w:val="en-IN" w:eastAsia="en-IN"/>
              </w:rPr>
            </w:pPr>
            <w:r w:rsidRPr="00B53423">
              <w:rPr>
                <w:sz w:val="22"/>
                <w:szCs w:val="22"/>
                <w:lang w:val="en-IN" w:eastAsia="en-IN"/>
              </w:rPr>
              <w:t>Vehicles</w:t>
            </w:r>
          </w:p>
        </w:tc>
        <w:tc>
          <w:tcPr>
            <w:tcW w:w="98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3.16</w:t>
            </w:r>
          </w:p>
        </w:tc>
        <w:tc>
          <w:tcPr>
            <w:tcW w:w="1175"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w:t>
            </w:r>
          </w:p>
        </w:tc>
        <w:tc>
          <w:tcPr>
            <w:tcW w:w="1249" w:type="dxa"/>
            <w:shd w:val="clear" w:color="000000" w:fill="FFFFFF"/>
            <w:noWrap/>
            <w:vAlign w:val="center"/>
            <w:hideMark/>
          </w:tcPr>
          <w:p w:rsidR="00564993" w:rsidRPr="00B53423" w:rsidRDefault="00564993" w:rsidP="0015232B">
            <w:pPr>
              <w:spacing w:line="240" w:lineRule="auto"/>
              <w:jc w:val="right"/>
              <w:rPr>
                <w:lang w:val="en-IN" w:eastAsia="en-IN"/>
              </w:rPr>
            </w:pPr>
          </w:p>
        </w:tc>
        <w:tc>
          <w:tcPr>
            <w:tcW w:w="869"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3.16</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7.91%</w:t>
            </w:r>
          </w:p>
        </w:tc>
        <w:tc>
          <w:tcPr>
            <w:tcW w:w="1394" w:type="dxa"/>
            <w:shd w:val="clear" w:color="000000" w:fill="FFFFFF"/>
            <w:noWrap/>
            <w:vAlign w:val="center"/>
            <w:hideMark/>
          </w:tcPr>
          <w:p w:rsidR="00564993" w:rsidRPr="00B53423" w:rsidRDefault="003A6B3B" w:rsidP="0015232B">
            <w:pPr>
              <w:spacing w:line="240" w:lineRule="auto"/>
              <w:jc w:val="right"/>
              <w:rPr>
                <w:lang w:val="en-IN" w:eastAsia="en-IN"/>
              </w:rPr>
            </w:pPr>
            <w:r w:rsidRPr="00B53423">
              <w:rPr>
                <w:sz w:val="22"/>
                <w:szCs w:val="22"/>
                <w:lang w:val="en-IN" w:eastAsia="en-IN"/>
              </w:rPr>
              <w:t>0.25</w:t>
            </w:r>
          </w:p>
        </w:tc>
      </w:tr>
      <w:tr w:rsidR="006F7B0E" w:rsidRPr="00B53423" w:rsidTr="006F7B0E">
        <w:trPr>
          <w:trHeight w:val="300"/>
        </w:trPr>
        <w:tc>
          <w:tcPr>
            <w:tcW w:w="2606" w:type="dxa"/>
            <w:shd w:val="clear" w:color="000000" w:fill="FFFFFF"/>
            <w:vAlign w:val="center"/>
            <w:hideMark/>
          </w:tcPr>
          <w:p w:rsidR="00564993" w:rsidRPr="00B53423" w:rsidRDefault="003A6B3B" w:rsidP="0015232B">
            <w:pPr>
              <w:spacing w:line="240" w:lineRule="auto"/>
              <w:rPr>
                <w:b/>
                <w:lang w:val="en-IN" w:eastAsia="en-IN"/>
              </w:rPr>
            </w:pPr>
            <w:r w:rsidRPr="00B53423">
              <w:rPr>
                <w:b/>
                <w:sz w:val="22"/>
                <w:szCs w:val="22"/>
                <w:lang w:val="en-IN" w:eastAsia="en-IN"/>
              </w:rPr>
              <w:t>Grand Total</w:t>
            </w:r>
          </w:p>
        </w:tc>
        <w:tc>
          <w:tcPr>
            <w:tcW w:w="989" w:type="dxa"/>
            <w:shd w:val="clear" w:color="000000" w:fill="FFFFFF"/>
            <w:noWrap/>
            <w:vAlign w:val="center"/>
            <w:hideMark/>
          </w:tcPr>
          <w:p w:rsidR="00564993" w:rsidRPr="00B53423" w:rsidRDefault="003A6B3B" w:rsidP="0015232B">
            <w:pPr>
              <w:spacing w:line="240" w:lineRule="auto"/>
              <w:jc w:val="right"/>
              <w:rPr>
                <w:b/>
                <w:lang w:val="en-IN" w:eastAsia="en-IN"/>
              </w:rPr>
            </w:pPr>
            <w:r w:rsidRPr="00B53423">
              <w:rPr>
                <w:b/>
                <w:sz w:val="22"/>
                <w:szCs w:val="22"/>
                <w:lang w:val="en-IN" w:eastAsia="en-IN"/>
              </w:rPr>
              <w:t>318.38</w:t>
            </w:r>
          </w:p>
        </w:tc>
        <w:tc>
          <w:tcPr>
            <w:tcW w:w="1175" w:type="dxa"/>
            <w:shd w:val="clear" w:color="000000" w:fill="FFFFFF"/>
            <w:noWrap/>
            <w:vAlign w:val="center"/>
            <w:hideMark/>
          </w:tcPr>
          <w:p w:rsidR="00564993" w:rsidRPr="00B53423" w:rsidRDefault="003A6B3B" w:rsidP="0015232B">
            <w:pPr>
              <w:spacing w:line="240" w:lineRule="auto"/>
              <w:jc w:val="right"/>
              <w:rPr>
                <w:b/>
                <w:lang w:val="en-IN" w:eastAsia="en-IN"/>
              </w:rPr>
            </w:pPr>
            <w:r w:rsidRPr="00B53423">
              <w:rPr>
                <w:b/>
                <w:sz w:val="22"/>
                <w:szCs w:val="22"/>
                <w:lang w:val="en-IN" w:eastAsia="en-IN"/>
              </w:rPr>
              <w:t>128.56</w:t>
            </w:r>
          </w:p>
        </w:tc>
        <w:tc>
          <w:tcPr>
            <w:tcW w:w="1249" w:type="dxa"/>
            <w:shd w:val="clear" w:color="000000" w:fill="FFFFFF"/>
            <w:noWrap/>
            <w:vAlign w:val="center"/>
            <w:hideMark/>
          </w:tcPr>
          <w:p w:rsidR="00564993" w:rsidRPr="00B53423" w:rsidRDefault="006F7B0E" w:rsidP="0015232B">
            <w:pPr>
              <w:spacing w:line="240" w:lineRule="auto"/>
              <w:jc w:val="right"/>
              <w:rPr>
                <w:b/>
                <w:lang w:val="en-IN" w:eastAsia="en-IN"/>
              </w:rPr>
            </w:pPr>
            <w:r w:rsidRPr="00B53423">
              <w:rPr>
                <w:b/>
                <w:sz w:val="22"/>
                <w:szCs w:val="22"/>
                <w:lang w:val="en-IN" w:eastAsia="en-IN"/>
              </w:rPr>
              <w:t>0.00</w:t>
            </w:r>
          </w:p>
        </w:tc>
        <w:tc>
          <w:tcPr>
            <w:tcW w:w="869" w:type="dxa"/>
            <w:shd w:val="clear" w:color="000000" w:fill="FFFFFF"/>
            <w:noWrap/>
            <w:vAlign w:val="center"/>
            <w:hideMark/>
          </w:tcPr>
          <w:p w:rsidR="00564993" w:rsidRPr="00B53423" w:rsidRDefault="003A6B3B" w:rsidP="0015232B">
            <w:pPr>
              <w:spacing w:line="240" w:lineRule="auto"/>
              <w:jc w:val="right"/>
              <w:rPr>
                <w:b/>
                <w:lang w:val="en-IN" w:eastAsia="en-IN"/>
              </w:rPr>
            </w:pPr>
            <w:r w:rsidRPr="00B53423">
              <w:rPr>
                <w:b/>
                <w:sz w:val="22"/>
                <w:szCs w:val="22"/>
                <w:lang w:val="en-IN" w:eastAsia="en-IN"/>
              </w:rPr>
              <w:t>446.94</w:t>
            </w:r>
          </w:p>
        </w:tc>
        <w:tc>
          <w:tcPr>
            <w:tcW w:w="1394" w:type="dxa"/>
            <w:shd w:val="clear" w:color="000000" w:fill="FFFFFF"/>
            <w:noWrap/>
            <w:vAlign w:val="center"/>
            <w:hideMark/>
          </w:tcPr>
          <w:p w:rsidR="00564993" w:rsidRPr="00B53423" w:rsidRDefault="00564993" w:rsidP="0015232B">
            <w:pPr>
              <w:spacing w:line="240" w:lineRule="auto"/>
              <w:jc w:val="right"/>
              <w:rPr>
                <w:b/>
                <w:lang w:val="en-IN" w:eastAsia="en-IN"/>
              </w:rPr>
            </w:pPr>
          </w:p>
        </w:tc>
        <w:tc>
          <w:tcPr>
            <w:tcW w:w="1394" w:type="dxa"/>
            <w:shd w:val="clear" w:color="000000" w:fill="FFFFFF"/>
            <w:noWrap/>
            <w:vAlign w:val="center"/>
            <w:hideMark/>
          </w:tcPr>
          <w:p w:rsidR="00564993" w:rsidRPr="00B53423" w:rsidRDefault="003A6B3B" w:rsidP="0015232B">
            <w:pPr>
              <w:spacing w:line="240" w:lineRule="auto"/>
              <w:jc w:val="right"/>
              <w:rPr>
                <w:b/>
                <w:lang w:val="en-IN" w:eastAsia="en-IN"/>
              </w:rPr>
            </w:pPr>
            <w:r w:rsidRPr="00B53423">
              <w:rPr>
                <w:b/>
                <w:sz w:val="22"/>
                <w:szCs w:val="22"/>
                <w:lang w:val="en-IN" w:eastAsia="en-IN"/>
              </w:rPr>
              <w:t>30.27</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regards the Commission’s query regarding source-wise of funding of capitalization, the Petitioner submitted that the Commission in the True-up Order dated 21</w:t>
      </w:r>
      <w:r w:rsidRPr="00B53423">
        <w:rPr>
          <w:vertAlign w:val="superscript"/>
        </w:rPr>
        <w:t>st</w:t>
      </w:r>
      <w:r w:rsidRPr="00B53423">
        <w:t xml:space="preserve"> May, 2013 for FY 2000-01 to 2007-08 and in the suo-motu Tariff Order dated 31</w:t>
      </w:r>
      <w:r w:rsidRPr="00B53423">
        <w:rPr>
          <w:vertAlign w:val="superscript"/>
        </w:rPr>
        <w:t>st</w:t>
      </w:r>
      <w:r w:rsidRPr="00B53423">
        <w:t xml:space="preserve"> May, 2013 for FY 2013-14 had considered a normative tariff approach wherein it had considered a normative gearing of 70:30 and 70% of the capital expenditure undertaken in any year was considered to be financed through loan and balance 30% has been considered to be financed through equity contributions. The Petitioner further submitted that in its aforesaid Orders the portion of capital expenditure financed through consumer contributions, capital subsidies and grants was separated by the Commission as the depreciation and interest thereon would not be charged to the consumers.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added that since it is agreeable to this normative approach approved by the Commission hence no deviation in this approach has been sought by it.</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It was further observed that the Petitioner had not reduced the depreciation charged on assets created out of consumer contributions, capital grants and subsidies. In this regards the Commission vide its deficiency note sought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2011-12 were filed by it. The Petitioner further submitted that subsequent to the principle being established by the Commission, it is agreeable to this methodology and has submitted the revised Table depicting the allowable depreciation as shown below:</w:t>
      </w:r>
    </w:p>
    <w:p w:rsidR="004C74C2" w:rsidRPr="00B53423" w:rsidRDefault="004C74C2" w:rsidP="0015232B">
      <w:pPr>
        <w:pStyle w:val="ListParagraph"/>
        <w:ind w:left="180"/>
      </w:pPr>
    </w:p>
    <w:p w:rsidR="004C74C2" w:rsidRPr="00B53423" w:rsidRDefault="004C74C2" w:rsidP="0015232B">
      <w:pPr>
        <w:spacing w:before="240"/>
        <w:jc w:val="center"/>
        <w:rPr>
          <w:rFonts w:asciiTheme="minorHAnsi" w:hAnsiTheme="minorHAnsi" w:cstheme="minorHAnsi"/>
          <w:b/>
        </w:rPr>
      </w:pPr>
      <w:bookmarkStart w:id="429" w:name="_Toc399626327"/>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16</w:t>
      </w:r>
      <w:r w:rsidR="005D68E7" w:rsidRPr="00B53423">
        <w:rPr>
          <w:rFonts w:asciiTheme="minorHAnsi" w:hAnsiTheme="minorHAnsi" w:cstheme="minorHAnsi"/>
          <w:b/>
        </w:rPr>
        <w:fldChar w:fldCharType="end"/>
      </w:r>
      <w:r w:rsidRPr="00B53423">
        <w:rPr>
          <w:rFonts w:asciiTheme="minorHAnsi" w:hAnsiTheme="minorHAnsi" w:cstheme="minorHAnsi"/>
          <w:b/>
        </w:rPr>
        <w:t>: REVISED ALLOWABLE DEPRECIATION SUBMITTED BY THE PETITIONER (Rs. Crore)</w:t>
      </w:r>
      <w:bookmarkEnd w:id="429"/>
    </w:p>
    <w:tbl>
      <w:tblPr>
        <w:tblW w:w="8369" w:type="dxa"/>
        <w:jc w:val="center"/>
        <w:tblInd w:w="-371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7020"/>
        <w:gridCol w:w="1349"/>
      </w:tblGrid>
      <w:tr w:rsidR="004C74C2" w:rsidRPr="00B53423" w:rsidTr="009268E4">
        <w:trPr>
          <w:trHeight w:val="300"/>
          <w:jc w:val="center"/>
        </w:trPr>
        <w:tc>
          <w:tcPr>
            <w:tcW w:w="7020" w:type="dxa"/>
            <w:shd w:val="clear" w:color="auto" w:fill="DBE5F1" w:themeFill="accent1" w:themeFillTint="33"/>
            <w:noWrap/>
            <w:vAlign w:val="center"/>
            <w:hideMark/>
          </w:tcPr>
          <w:p w:rsidR="004C74C2" w:rsidRPr="00B53423" w:rsidRDefault="004C74C2" w:rsidP="0015232B">
            <w:pPr>
              <w:spacing w:before="0" w:line="240" w:lineRule="auto"/>
              <w:jc w:val="center"/>
              <w:rPr>
                <w:b/>
                <w:bCs/>
              </w:rPr>
            </w:pPr>
            <w:r w:rsidRPr="00B53423">
              <w:rPr>
                <w:b/>
                <w:bCs/>
              </w:rPr>
              <w:t>Particulars</w:t>
            </w:r>
          </w:p>
        </w:tc>
        <w:tc>
          <w:tcPr>
            <w:tcW w:w="1349" w:type="dxa"/>
            <w:shd w:val="clear" w:color="auto" w:fill="DBE5F1" w:themeFill="accent1" w:themeFillTint="33"/>
            <w:noWrap/>
            <w:vAlign w:val="center"/>
            <w:hideMark/>
          </w:tcPr>
          <w:p w:rsidR="004C74C2" w:rsidRPr="00B53423" w:rsidRDefault="004C74C2" w:rsidP="0015232B">
            <w:pPr>
              <w:spacing w:before="0" w:line="240" w:lineRule="auto"/>
              <w:jc w:val="center"/>
              <w:rPr>
                <w:b/>
                <w:bCs/>
              </w:rPr>
            </w:pPr>
            <w:r w:rsidRPr="00B53423">
              <w:rPr>
                <w:b/>
                <w:bCs/>
              </w:rPr>
              <w:t>FY 2008-09</w:t>
            </w:r>
          </w:p>
        </w:tc>
      </w:tr>
      <w:tr w:rsidR="004C74C2" w:rsidRPr="00B53423" w:rsidTr="009268E4">
        <w:trPr>
          <w:trHeight w:val="300"/>
          <w:jc w:val="center"/>
        </w:trPr>
        <w:tc>
          <w:tcPr>
            <w:tcW w:w="7020" w:type="dxa"/>
            <w:shd w:val="clear" w:color="auto" w:fill="auto"/>
            <w:noWrap/>
            <w:vAlign w:val="center"/>
            <w:hideMark/>
          </w:tcPr>
          <w:p w:rsidR="004C74C2" w:rsidRPr="00B53423" w:rsidRDefault="004C74C2" w:rsidP="0015232B">
            <w:pPr>
              <w:spacing w:before="0" w:line="240" w:lineRule="auto"/>
              <w:rPr>
                <w:color w:val="000000"/>
              </w:rPr>
            </w:pPr>
            <w:r w:rsidRPr="00B53423">
              <w:rPr>
                <w:color w:val="000000"/>
              </w:rPr>
              <w:t>Gross Allowable Depreciation</w:t>
            </w:r>
          </w:p>
        </w:tc>
        <w:tc>
          <w:tcPr>
            <w:tcW w:w="1349" w:type="dxa"/>
            <w:shd w:val="clear" w:color="auto" w:fill="auto"/>
            <w:noWrap/>
            <w:vAlign w:val="center"/>
            <w:hideMark/>
          </w:tcPr>
          <w:p w:rsidR="004C74C2" w:rsidRPr="00B53423" w:rsidRDefault="004C74C2" w:rsidP="0015232B">
            <w:pPr>
              <w:spacing w:before="0" w:line="240" w:lineRule="auto"/>
              <w:ind w:right="221"/>
              <w:jc w:val="right"/>
              <w:rPr>
                <w:color w:val="000000"/>
              </w:rPr>
            </w:pPr>
            <w:r w:rsidRPr="00B53423">
              <w:rPr>
                <w:color w:val="000000"/>
              </w:rPr>
              <w:t>30.27</w:t>
            </w:r>
          </w:p>
        </w:tc>
      </w:tr>
      <w:tr w:rsidR="004C74C2" w:rsidRPr="00B53423" w:rsidTr="009268E4">
        <w:trPr>
          <w:trHeight w:val="300"/>
          <w:jc w:val="center"/>
        </w:trPr>
        <w:tc>
          <w:tcPr>
            <w:tcW w:w="7020" w:type="dxa"/>
            <w:shd w:val="clear" w:color="auto" w:fill="auto"/>
            <w:noWrap/>
            <w:vAlign w:val="center"/>
            <w:hideMark/>
          </w:tcPr>
          <w:p w:rsidR="004C74C2" w:rsidRPr="00B53423" w:rsidRDefault="004C74C2" w:rsidP="0015232B">
            <w:pPr>
              <w:spacing w:before="0" w:line="240" w:lineRule="auto"/>
              <w:rPr>
                <w:color w:val="000000"/>
              </w:rPr>
            </w:pPr>
            <w:r w:rsidRPr="00B53423">
              <w:rPr>
                <w:color w:val="000000"/>
              </w:rPr>
              <w:t>Less: Depreciation on account of Consumer Contribution, Subsidies and Grants</w:t>
            </w:r>
          </w:p>
        </w:tc>
        <w:tc>
          <w:tcPr>
            <w:tcW w:w="1349" w:type="dxa"/>
            <w:shd w:val="clear" w:color="auto" w:fill="auto"/>
            <w:noWrap/>
            <w:vAlign w:val="center"/>
            <w:hideMark/>
          </w:tcPr>
          <w:p w:rsidR="004C74C2" w:rsidRPr="00B53423" w:rsidRDefault="004C74C2" w:rsidP="0015232B">
            <w:pPr>
              <w:spacing w:before="0" w:line="240" w:lineRule="auto"/>
              <w:ind w:right="221"/>
              <w:jc w:val="right"/>
              <w:rPr>
                <w:color w:val="000000"/>
              </w:rPr>
            </w:pPr>
            <w:r w:rsidRPr="00B53423">
              <w:rPr>
                <w:color w:val="000000"/>
              </w:rPr>
              <w:t>5.07</w:t>
            </w:r>
          </w:p>
        </w:tc>
      </w:tr>
      <w:tr w:rsidR="004C74C2" w:rsidRPr="00B53423" w:rsidTr="009268E4">
        <w:trPr>
          <w:trHeight w:val="300"/>
          <w:jc w:val="center"/>
        </w:trPr>
        <w:tc>
          <w:tcPr>
            <w:tcW w:w="7020" w:type="dxa"/>
            <w:shd w:val="clear" w:color="auto" w:fill="auto"/>
            <w:noWrap/>
            <w:vAlign w:val="center"/>
            <w:hideMark/>
          </w:tcPr>
          <w:p w:rsidR="004C74C2" w:rsidRPr="00B53423" w:rsidRDefault="004C74C2" w:rsidP="0015232B">
            <w:pPr>
              <w:spacing w:before="0" w:line="240" w:lineRule="auto"/>
              <w:rPr>
                <w:color w:val="000000"/>
              </w:rPr>
            </w:pPr>
            <w:r w:rsidRPr="00B53423">
              <w:rPr>
                <w:color w:val="000000"/>
              </w:rPr>
              <w:t>Net Allowable Depreciation</w:t>
            </w:r>
          </w:p>
        </w:tc>
        <w:tc>
          <w:tcPr>
            <w:tcW w:w="1349" w:type="dxa"/>
            <w:shd w:val="clear" w:color="auto" w:fill="auto"/>
            <w:noWrap/>
            <w:vAlign w:val="center"/>
            <w:hideMark/>
          </w:tcPr>
          <w:p w:rsidR="004C74C2" w:rsidRPr="00B53423" w:rsidRDefault="004C74C2" w:rsidP="0015232B">
            <w:pPr>
              <w:spacing w:before="0" w:line="240" w:lineRule="auto"/>
              <w:ind w:right="221"/>
              <w:jc w:val="right"/>
            </w:pPr>
            <w:r w:rsidRPr="00B53423">
              <w:t>25.20</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asked the Petitioner to confirm that the cumulative depreciation in FY 2008-09 is less than 90% of GFA for all assets, since assets cannot be depreciated beyond 90% of GFA in accordance with the Distribution Tariff Regulations, 2006 which the Petitioner confirmed in reply to deficiency note.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bookmarkStart w:id="430" w:name="_Ref396854043"/>
      <w:r w:rsidRPr="00B53423">
        <w:t>Considering the same philosophy as adopted by the Petitioner which is also in line with the approach followed by the Commission in the previous Truing Up Order, and after scrutinising the Audited Accounts for FY 2008-09 submitted by the Petitioner, the net entitlement towards depreciation expenses claimed by the Petitioner and that approved by the Commission for Truing-up of FY 2008-09 is shown in the Table below:</w:t>
      </w:r>
      <w:bookmarkEnd w:id="430"/>
    </w:p>
    <w:p w:rsidR="004C74C2" w:rsidRPr="00B53423" w:rsidRDefault="004C74C2" w:rsidP="0015232B">
      <w:pPr>
        <w:pStyle w:val="ListParagraph"/>
        <w:ind w:left="180"/>
      </w:pPr>
    </w:p>
    <w:p w:rsidR="004C74C2" w:rsidRPr="00B53423" w:rsidRDefault="004C74C2" w:rsidP="0015232B">
      <w:pPr>
        <w:spacing w:before="240"/>
        <w:jc w:val="center"/>
        <w:rPr>
          <w:rFonts w:asciiTheme="minorHAnsi" w:hAnsiTheme="minorHAnsi" w:cstheme="minorHAnsi"/>
          <w:b/>
        </w:rPr>
      </w:pPr>
      <w:bookmarkStart w:id="431" w:name="_Toc399626328"/>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17</w:t>
      </w:r>
      <w:r w:rsidR="005D68E7" w:rsidRPr="00B53423">
        <w:rPr>
          <w:rFonts w:asciiTheme="minorHAnsi" w:hAnsiTheme="minorHAnsi" w:cstheme="minorHAnsi"/>
          <w:b/>
        </w:rPr>
        <w:fldChar w:fldCharType="end"/>
      </w:r>
      <w:r w:rsidRPr="00B53423">
        <w:rPr>
          <w:rFonts w:asciiTheme="minorHAnsi" w:hAnsiTheme="minorHAnsi" w:cstheme="minorHAnsi"/>
          <w:b/>
        </w:rPr>
        <w:t>: DEPRECIATION EXPENSES FOR FY 2008-09 (Rs. Crore)</w:t>
      </w:r>
      <w:bookmarkEnd w:id="431"/>
    </w:p>
    <w:tbl>
      <w:tblPr>
        <w:tblW w:w="8380" w:type="dxa"/>
        <w:tblInd w:w="103" w:type="dxa"/>
        <w:tblLook w:val="04A0"/>
      </w:tblPr>
      <w:tblGrid>
        <w:gridCol w:w="3580"/>
        <w:gridCol w:w="1200"/>
        <w:gridCol w:w="1200"/>
        <w:gridCol w:w="1200"/>
        <w:gridCol w:w="1215"/>
      </w:tblGrid>
      <w:tr w:rsidR="004C74C2" w:rsidRPr="00B53423" w:rsidTr="009268E4">
        <w:trPr>
          <w:trHeight w:val="900"/>
          <w:tblHeader/>
        </w:trPr>
        <w:tc>
          <w:tcPr>
            <w:tcW w:w="358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20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0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0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0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580" w:type="dxa"/>
            <w:tcBorders>
              <w:top w:val="nil"/>
              <w:left w:val="dotted" w:sz="4" w:space="0" w:color="auto"/>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Gross Allowable Depreciation</w:t>
            </w:r>
          </w:p>
        </w:tc>
        <w:tc>
          <w:tcPr>
            <w:tcW w:w="120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64"/>
              <w:jc w:val="right"/>
              <w:rPr>
                <w:rFonts w:cs="Calibri"/>
                <w:color w:val="000000"/>
                <w:lang w:val="en-US"/>
              </w:rPr>
            </w:pPr>
            <w:r w:rsidRPr="00B53423">
              <w:rPr>
                <w:rFonts w:cs="Calibri"/>
                <w:color w:val="000000"/>
                <w:lang w:val="en-US"/>
              </w:rPr>
              <w:t>39.63</w:t>
            </w:r>
          </w:p>
        </w:tc>
        <w:tc>
          <w:tcPr>
            <w:tcW w:w="120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64"/>
              <w:jc w:val="right"/>
              <w:rPr>
                <w:rFonts w:cs="Calibri"/>
                <w:color w:val="000000"/>
                <w:lang w:val="en-US"/>
              </w:rPr>
            </w:pPr>
            <w:r w:rsidRPr="00B53423">
              <w:rPr>
                <w:rFonts w:cs="Calibri"/>
                <w:color w:val="000000"/>
                <w:lang w:val="en-US"/>
              </w:rPr>
              <w:t>14.11</w:t>
            </w:r>
          </w:p>
        </w:tc>
        <w:tc>
          <w:tcPr>
            <w:tcW w:w="120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64"/>
              <w:jc w:val="right"/>
              <w:rPr>
                <w:rFonts w:cs="Calibri"/>
                <w:color w:val="000000"/>
                <w:lang w:val="en-US"/>
              </w:rPr>
            </w:pPr>
            <w:r w:rsidRPr="00B53423">
              <w:rPr>
                <w:rFonts w:cs="Calibri"/>
                <w:color w:val="000000"/>
                <w:lang w:val="en-US"/>
              </w:rPr>
              <w:t>30.27</w:t>
            </w:r>
          </w:p>
        </w:tc>
        <w:tc>
          <w:tcPr>
            <w:tcW w:w="120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64"/>
              <w:jc w:val="right"/>
              <w:rPr>
                <w:rFonts w:cs="Calibri"/>
                <w:color w:val="000000"/>
                <w:lang w:val="en-US"/>
              </w:rPr>
            </w:pPr>
            <w:r w:rsidRPr="00B53423">
              <w:rPr>
                <w:rFonts w:cs="Calibri"/>
                <w:color w:val="000000"/>
                <w:lang w:val="en-US"/>
              </w:rPr>
              <w:t>30.27</w:t>
            </w:r>
          </w:p>
        </w:tc>
      </w:tr>
      <w:tr w:rsidR="004C74C2" w:rsidRPr="00B53423" w:rsidTr="009268E4">
        <w:trPr>
          <w:trHeight w:val="1200"/>
        </w:trPr>
        <w:tc>
          <w:tcPr>
            <w:tcW w:w="3580" w:type="dxa"/>
            <w:tcBorders>
              <w:top w:val="nil"/>
              <w:left w:val="dotted" w:sz="4" w:space="0" w:color="auto"/>
              <w:bottom w:val="dotted" w:sz="4" w:space="0" w:color="auto"/>
              <w:right w:val="dotted" w:sz="4" w:space="0" w:color="auto"/>
            </w:tcBorders>
            <w:shd w:val="clear" w:color="auto" w:fill="auto"/>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Equivalent amount of depreciation on assets acquired out of the consumer contribution and GoUP Subsidy</w:t>
            </w:r>
          </w:p>
        </w:tc>
        <w:tc>
          <w:tcPr>
            <w:tcW w:w="120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64"/>
              <w:jc w:val="left"/>
              <w:rPr>
                <w:rFonts w:cs="Calibri"/>
                <w:color w:val="000000"/>
                <w:lang w:val="en-US"/>
              </w:rPr>
            </w:pPr>
            <w:r w:rsidRPr="00B53423">
              <w:rPr>
                <w:rFonts w:cs="Calibri"/>
                <w:color w:val="000000"/>
                <w:lang w:val="en-US"/>
              </w:rPr>
              <w:t> </w:t>
            </w:r>
          </w:p>
        </w:tc>
        <w:tc>
          <w:tcPr>
            <w:tcW w:w="120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64"/>
              <w:jc w:val="left"/>
              <w:rPr>
                <w:rFonts w:cs="Calibri"/>
                <w:color w:val="000000"/>
                <w:lang w:val="en-US"/>
              </w:rPr>
            </w:pPr>
            <w:r w:rsidRPr="00B53423">
              <w:rPr>
                <w:rFonts w:cs="Calibri"/>
                <w:color w:val="000000"/>
                <w:lang w:val="en-US"/>
              </w:rPr>
              <w:t> </w:t>
            </w:r>
          </w:p>
        </w:tc>
        <w:tc>
          <w:tcPr>
            <w:tcW w:w="120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64"/>
              <w:jc w:val="right"/>
              <w:rPr>
                <w:rFonts w:cs="Calibri"/>
                <w:color w:val="000000"/>
                <w:lang w:val="en-US"/>
              </w:rPr>
            </w:pPr>
            <w:r w:rsidRPr="00B53423">
              <w:rPr>
                <w:rFonts w:cs="Calibri"/>
                <w:color w:val="000000"/>
                <w:lang w:val="en-US"/>
              </w:rPr>
              <w:t>5.07</w:t>
            </w:r>
          </w:p>
        </w:tc>
        <w:tc>
          <w:tcPr>
            <w:tcW w:w="120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64"/>
              <w:jc w:val="right"/>
              <w:rPr>
                <w:rFonts w:cs="Calibri"/>
                <w:color w:val="000000"/>
                <w:lang w:val="en-US"/>
              </w:rPr>
            </w:pPr>
            <w:r w:rsidRPr="00B53423">
              <w:rPr>
                <w:rFonts w:cs="Calibri"/>
                <w:color w:val="000000"/>
                <w:lang w:val="en-US"/>
              </w:rPr>
              <w:t>5.07</w:t>
            </w:r>
          </w:p>
        </w:tc>
      </w:tr>
      <w:tr w:rsidR="004C74C2" w:rsidRPr="00B53423" w:rsidTr="009268E4">
        <w:trPr>
          <w:trHeight w:val="300"/>
        </w:trPr>
        <w:tc>
          <w:tcPr>
            <w:tcW w:w="3580" w:type="dxa"/>
            <w:tcBorders>
              <w:top w:val="nil"/>
              <w:left w:val="dotted" w:sz="4" w:space="0" w:color="auto"/>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Allowable Depreciation</w:t>
            </w:r>
          </w:p>
        </w:tc>
        <w:tc>
          <w:tcPr>
            <w:tcW w:w="120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64"/>
              <w:jc w:val="right"/>
              <w:rPr>
                <w:rFonts w:cs="Calibri"/>
                <w:b/>
                <w:bCs/>
                <w:color w:val="000000"/>
                <w:lang w:val="en-US"/>
              </w:rPr>
            </w:pPr>
            <w:r w:rsidRPr="00B53423">
              <w:rPr>
                <w:rFonts w:cs="Calibri"/>
                <w:b/>
                <w:bCs/>
                <w:color w:val="000000"/>
                <w:lang w:val="en-US"/>
              </w:rPr>
              <w:t>39.63</w:t>
            </w:r>
          </w:p>
        </w:tc>
        <w:tc>
          <w:tcPr>
            <w:tcW w:w="120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64"/>
              <w:jc w:val="right"/>
              <w:rPr>
                <w:rFonts w:cs="Calibri"/>
                <w:b/>
                <w:bCs/>
                <w:color w:val="000000"/>
                <w:lang w:val="en-US"/>
              </w:rPr>
            </w:pPr>
            <w:r w:rsidRPr="00B53423">
              <w:rPr>
                <w:rFonts w:cs="Calibri"/>
                <w:b/>
                <w:bCs/>
                <w:color w:val="000000"/>
                <w:lang w:val="en-US"/>
              </w:rPr>
              <w:t>14.11</w:t>
            </w:r>
          </w:p>
        </w:tc>
        <w:tc>
          <w:tcPr>
            <w:tcW w:w="120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64"/>
              <w:jc w:val="right"/>
              <w:rPr>
                <w:rFonts w:cs="Calibri"/>
                <w:b/>
                <w:bCs/>
                <w:color w:val="000000"/>
                <w:lang w:val="en-US"/>
              </w:rPr>
            </w:pPr>
            <w:r w:rsidRPr="00B53423">
              <w:rPr>
                <w:rFonts w:cs="Calibri"/>
                <w:b/>
                <w:bCs/>
                <w:color w:val="000000"/>
                <w:lang w:val="en-US"/>
              </w:rPr>
              <w:t>25.20</w:t>
            </w:r>
          </w:p>
        </w:tc>
        <w:tc>
          <w:tcPr>
            <w:tcW w:w="120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64"/>
              <w:jc w:val="right"/>
              <w:rPr>
                <w:rFonts w:cs="Calibri"/>
                <w:b/>
                <w:bCs/>
                <w:color w:val="000000"/>
                <w:lang w:val="en-US"/>
              </w:rPr>
            </w:pPr>
            <w:r w:rsidRPr="00B53423">
              <w:rPr>
                <w:rFonts w:cs="Calibri"/>
                <w:b/>
                <w:bCs/>
                <w:color w:val="000000"/>
                <w:lang w:val="en-US"/>
              </w:rPr>
              <w:t>25.20</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432" w:name="_Toc356912992"/>
      <w:bookmarkStart w:id="433" w:name="_Toc399626170"/>
      <w:r w:rsidRPr="00B53423">
        <w:t>PRIOR PERIOD EXPENSES</w:t>
      </w:r>
      <w:bookmarkEnd w:id="432"/>
      <w:bookmarkEnd w:id="433"/>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ind w:hanging="1080"/>
      </w:pPr>
      <w:r w:rsidRPr="00B53423">
        <w:t>The Petitioner submitted that there are certain expenses and incomes which are omitted to be accounted for in one or more financial years. The Petitioner further submitted that its financial statements are prepared in compliance with Generally Accepted Accounting Principles (GAAP) and Accounting Standards issued by Accounting Standards Board of Institute of Chartered Accountants of India. The Petitioner added that the Accounting Standards (AS 5) (Revised) on ‘Net Profit or Loss for the Period, Prior Period Items and Changes in Accounting Policies’ provides that when such omissions or errors are detected they should be accounted for in the relevant year in which they are detected as stated below:</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4"/>
        <w:numPr>
          <w:ilvl w:val="0"/>
          <w:numId w:val="0"/>
        </w:numPr>
        <w:ind w:left="1440"/>
        <w:rPr>
          <w:i/>
        </w:rPr>
      </w:pPr>
      <w:r w:rsidRPr="00B53423">
        <w:rPr>
          <w:i/>
        </w:rPr>
        <w:t>“Prior period items are income or expenses which arise in the current period as a result of errors or omissions in the preparation of the financial statements of one or more prior periods”</w:t>
      </w:r>
    </w:p>
    <w:p w:rsidR="004C74C2" w:rsidRPr="00B53423" w:rsidRDefault="004C74C2" w:rsidP="0015232B">
      <w:pPr>
        <w:pStyle w:val="Heading4"/>
        <w:numPr>
          <w:ilvl w:val="0"/>
          <w:numId w:val="0"/>
        </w:numPr>
        <w:ind w:left="864"/>
        <w:rPr>
          <w:i/>
        </w:rPr>
      </w:pPr>
    </w:p>
    <w:p w:rsidR="004C74C2" w:rsidRPr="00B53423" w:rsidRDefault="004C74C2" w:rsidP="0015232B">
      <w:pPr>
        <w:pStyle w:val="Heading3"/>
        <w:keepNext w:val="0"/>
        <w:ind w:hanging="1080"/>
      </w:pPr>
      <w:r w:rsidRPr="00B53423">
        <w:t>The Petitioner submitted that accordingly it has accounted for such transactions in the True-up computations strictly as per its Audited Accounts.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audited financial statements for FY 2008-09, there has been recognition of Rs 0.00013 Crore of prior period incomes and prior period expenses of Rs. 3.55 Crore, thereby increasing the eligible True-up by Rs. 3.55 Crore. The Petitioner further submitted the detailed break-up of the prior period items for FY 2008-09 as per Audited Accounts, as shown in the Table below:</w:t>
      </w:r>
    </w:p>
    <w:p w:rsidR="004C74C2" w:rsidRPr="00B53423" w:rsidRDefault="004C74C2" w:rsidP="0015232B">
      <w:pPr>
        <w:pStyle w:val="ListParagraph"/>
        <w:ind w:left="180"/>
      </w:pPr>
    </w:p>
    <w:p w:rsidR="004C74C2" w:rsidRPr="00B53423" w:rsidRDefault="004C74C2" w:rsidP="0015232B">
      <w:pPr>
        <w:spacing w:before="240"/>
      </w:pPr>
      <w:bookmarkStart w:id="434" w:name="_Toc355916156"/>
      <w:r w:rsidRPr="00B53423">
        <w:tab/>
      </w:r>
      <w:bookmarkStart w:id="435" w:name="_Toc399626329"/>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18</w:t>
      </w:r>
      <w:r w:rsidR="005D68E7" w:rsidRPr="00B53423">
        <w:rPr>
          <w:rFonts w:asciiTheme="minorHAnsi" w:hAnsiTheme="minorHAnsi" w:cstheme="minorHAnsi"/>
          <w:b/>
        </w:rPr>
        <w:fldChar w:fldCharType="end"/>
      </w:r>
      <w:r w:rsidRPr="00B53423">
        <w:rPr>
          <w:rFonts w:asciiTheme="minorHAnsi" w:hAnsiTheme="minorHAnsi" w:cstheme="minorHAnsi"/>
          <w:b/>
        </w:rPr>
        <w:t xml:space="preserve">: BREAK UP OF PRIOR PERIOD EXPENSES </w:t>
      </w:r>
      <w:r w:rsidR="00AB4B5B" w:rsidRPr="00B53423">
        <w:rPr>
          <w:rFonts w:asciiTheme="minorHAnsi" w:hAnsiTheme="minorHAnsi" w:cstheme="minorHAnsi"/>
          <w:b/>
        </w:rPr>
        <w:t xml:space="preserve">/ </w:t>
      </w:r>
      <w:r w:rsidR="00F63BA5" w:rsidRPr="00B53423">
        <w:rPr>
          <w:rFonts w:asciiTheme="minorHAnsi" w:hAnsiTheme="minorHAnsi" w:cstheme="minorHAnsi"/>
          <w:b/>
        </w:rPr>
        <w:t>(</w:t>
      </w:r>
      <w:r w:rsidR="00AB4B5B" w:rsidRPr="00B53423">
        <w:rPr>
          <w:rFonts w:asciiTheme="minorHAnsi" w:hAnsiTheme="minorHAnsi" w:cstheme="minorHAnsi"/>
          <w:b/>
        </w:rPr>
        <w:t>INCOMES</w:t>
      </w:r>
      <w:r w:rsidR="00F63BA5" w:rsidRPr="00B53423">
        <w:rPr>
          <w:rFonts w:asciiTheme="minorHAnsi" w:hAnsiTheme="minorHAnsi" w:cstheme="minorHAnsi"/>
          <w:b/>
        </w:rPr>
        <w:t>)</w:t>
      </w:r>
      <w:r w:rsidR="00AB4B5B" w:rsidRPr="00B53423">
        <w:rPr>
          <w:rFonts w:asciiTheme="minorHAnsi" w:hAnsiTheme="minorHAnsi" w:cstheme="minorHAnsi"/>
          <w:b/>
        </w:rPr>
        <w:t xml:space="preserve"> </w:t>
      </w:r>
      <w:r w:rsidRPr="00B53423">
        <w:rPr>
          <w:rFonts w:asciiTheme="minorHAnsi" w:hAnsiTheme="minorHAnsi" w:cstheme="minorHAnsi"/>
          <w:b/>
        </w:rPr>
        <w:t>(Rs. Crore)</w:t>
      </w:r>
      <w:bookmarkEnd w:id="435"/>
    </w:p>
    <w:tbl>
      <w:tblPr>
        <w:tblW w:w="7580" w:type="dxa"/>
        <w:jc w:val="center"/>
        <w:tblInd w:w="-22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40"/>
        <w:gridCol w:w="2340"/>
      </w:tblGrid>
      <w:tr w:rsidR="004C74C2" w:rsidRPr="00B53423" w:rsidTr="009268E4">
        <w:trPr>
          <w:trHeight w:val="300"/>
          <w:tblHeader/>
          <w:jc w:val="center"/>
        </w:trPr>
        <w:tc>
          <w:tcPr>
            <w:tcW w:w="5240" w:type="dxa"/>
            <w:shd w:val="clear" w:color="auto" w:fill="DBE5F1" w:themeFill="accent1" w:themeFillTint="33"/>
            <w:vAlign w:val="center"/>
            <w:hideMark/>
          </w:tcPr>
          <w:bookmarkEnd w:id="434"/>
          <w:p w:rsidR="004C74C2" w:rsidRPr="00B53423" w:rsidRDefault="004C74C2" w:rsidP="0015232B">
            <w:pPr>
              <w:spacing w:before="0"/>
              <w:jc w:val="center"/>
              <w:rPr>
                <w:rFonts w:cs="Calibri"/>
                <w:b/>
                <w:color w:val="000000"/>
                <w:lang w:val="en-IN" w:eastAsia="en-IN"/>
              </w:rPr>
            </w:pPr>
            <w:r w:rsidRPr="00B53423">
              <w:rPr>
                <w:rFonts w:cs="Calibri"/>
                <w:b/>
                <w:color w:val="000000"/>
                <w:lang w:val="en-US" w:eastAsia="en-IN"/>
              </w:rPr>
              <w:t>Particulars</w:t>
            </w:r>
          </w:p>
        </w:tc>
        <w:tc>
          <w:tcPr>
            <w:tcW w:w="2340" w:type="dxa"/>
            <w:shd w:val="clear" w:color="auto" w:fill="DBE5F1" w:themeFill="accent1" w:themeFillTint="33"/>
            <w:noWrap/>
            <w:vAlign w:val="center"/>
            <w:hideMark/>
          </w:tcPr>
          <w:p w:rsidR="004C74C2" w:rsidRPr="00B53423" w:rsidRDefault="004C74C2" w:rsidP="0015232B">
            <w:pPr>
              <w:spacing w:before="0"/>
              <w:jc w:val="center"/>
              <w:rPr>
                <w:rFonts w:cs="Calibri"/>
                <w:b/>
                <w:color w:val="000000"/>
                <w:lang w:val="en-IN" w:eastAsia="en-IN"/>
              </w:rPr>
            </w:pPr>
            <w:r w:rsidRPr="00B53423">
              <w:rPr>
                <w:rFonts w:cs="Calibri"/>
                <w:b/>
                <w:color w:val="000000"/>
                <w:lang w:val="en-IN" w:eastAsia="en-IN"/>
              </w:rPr>
              <w:t>FY 2008-09</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cs="Calibri"/>
                <w:b/>
                <w:bCs/>
                <w:color w:val="000000"/>
                <w:lang w:val="en-IN" w:eastAsia="en-IN"/>
              </w:rPr>
            </w:pPr>
            <w:r w:rsidRPr="00B53423">
              <w:rPr>
                <w:rFonts w:cs="Calibri"/>
                <w:b/>
                <w:bCs/>
                <w:color w:val="000000"/>
                <w:lang w:val="en-US" w:eastAsia="en-IN"/>
              </w:rPr>
              <w:t>Prior Period Expenses</w:t>
            </w:r>
          </w:p>
        </w:tc>
        <w:tc>
          <w:tcPr>
            <w:tcW w:w="2340" w:type="dxa"/>
            <w:shd w:val="clear" w:color="000000" w:fill="FFFFFF"/>
            <w:noWrap/>
            <w:vAlign w:val="center"/>
            <w:hideMark/>
          </w:tcPr>
          <w:p w:rsidR="004C74C2" w:rsidRPr="00B53423" w:rsidRDefault="004C74C2" w:rsidP="0015232B">
            <w:pPr>
              <w:spacing w:before="0"/>
              <w:ind w:right="816"/>
              <w:jc w:val="right"/>
              <w:rPr>
                <w:rFonts w:cs="Calibri"/>
                <w:color w:val="000000"/>
                <w:lang w:val="en-IN" w:eastAsia="en-IN"/>
              </w:rPr>
            </w:pP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cs="Calibri"/>
                <w:color w:val="000000"/>
                <w:lang w:val="en-IN" w:eastAsia="en-IN"/>
              </w:rPr>
            </w:pPr>
            <w:r w:rsidRPr="00B53423">
              <w:rPr>
                <w:rFonts w:cs="Calibri"/>
                <w:color w:val="000000"/>
                <w:lang w:val="en-US" w:eastAsia="en-IN"/>
              </w:rPr>
              <w:t xml:space="preserve">Employees Cost </w:t>
            </w:r>
          </w:p>
        </w:tc>
        <w:tc>
          <w:tcPr>
            <w:tcW w:w="2340" w:type="dxa"/>
            <w:shd w:val="clear" w:color="000000" w:fill="FFFFFF"/>
            <w:noWrap/>
            <w:vAlign w:val="center"/>
            <w:hideMark/>
          </w:tcPr>
          <w:p w:rsidR="004C74C2" w:rsidRPr="00B53423" w:rsidRDefault="004C74C2" w:rsidP="0015232B">
            <w:pPr>
              <w:spacing w:before="0"/>
              <w:ind w:right="816"/>
              <w:jc w:val="right"/>
              <w:rPr>
                <w:rFonts w:cs="Calibri"/>
                <w:color w:val="000000"/>
                <w:lang w:val="en-IN" w:eastAsia="en-IN"/>
              </w:rPr>
            </w:pPr>
            <w:r w:rsidRPr="00B53423">
              <w:rPr>
                <w:rFonts w:cs="Calibri"/>
                <w:color w:val="000000"/>
                <w:lang w:val="en-US" w:eastAsia="en-IN"/>
              </w:rPr>
              <w:t>0.18</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cs="Calibri"/>
                <w:color w:val="000000"/>
                <w:lang w:val="en-IN" w:eastAsia="en-IN"/>
              </w:rPr>
            </w:pPr>
            <w:r w:rsidRPr="00B53423">
              <w:rPr>
                <w:rFonts w:cs="Calibri"/>
                <w:color w:val="000000"/>
                <w:lang w:val="en-US" w:eastAsia="en-IN"/>
              </w:rPr>
              <w:t>Operating Expenses</w:t>
            </w:r>
          </w:p>
        </w:tc>
        <w:tc>
          <w:tcPr>
            <w:tcW w:w="2340" w:type="dxa"/>
            <w:shd w:val="clear" w:color="000000" w:fill="FFFFFF"/>
            <w:noWrap/>
            <w:vAlign w:val="center"/>
            <w:hideMark/>
          </w:tcPr>
          <w:p w:rsidR="004C74C2" w:rsidRPr="00B53423" w:rsidRDefault="004C74C2" w:rsidP="0015232B">
            <w:pPr>
              <w:spacing w:before="0"/>
              <w:ind w:right="816"/>
              <w:jc w:val="right"/>
              <w:rPr>
                <w:rFonts w:cs="Calibri"/>
                <w:color w:val="000000"/>
                <w:lang w:val="en-IN" w:eastAsia="en-IN"/>
              </w:rPr>
            </w:pPr>
            <w:r w:rsidRPr="00B53423">
              <w:rPr>
                <w:rFonts w:cs="Calibri"/>
                <w:color w:val="000000"/>
                <w:lang w:val="en-US" w:eastAsia="en-IN"/>
              </w:rPr>
              <w:t>3.37</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cs="Calibri"/>
                <w:color w:val="000000"/>
                <w:lang w:val="en-IN" w:eastAsia="en-IN"/>
              </w:rPr>
            </w:pPr>
            <w:r w:rsidRPr="00B53423">
              <w:rPr>
                <w:rFonts w:cs="Calibri"/>
                <w:color w:val="000000"/>
                <w:lang w:val="en-US" w:eastAsia="en-IN"/>
              </w:rPr>
              <w:t>Interest and Financial Charges</w:t>
            </w:r>
          </w:p>
        </w:tc>
        <w:tc>
          <w:tcPr>
            <w:tcW w:w="2340" w:type="dxa"/>
            <w:shd w:val="clear" w:color="000000" w:fill="FFFFFF"/>
            <w:noWrap/>
            <w:vAlign w:val="center"/>
            <w:hideMark/>
          </w:tcPr>
          <w:p w:rsidR="004C74C2" w:rsidRPr="00B53423" w:rsidRDefault="004C74C2" w:rsidP="0015232B">
            <w:pPr>
              <w:spacing w:before="0"/>
              <w:ind w:right="816"/>
              <w:jc w:val="right"/>
              <w:rPr>
                <w:rFonts w:cs="Calibri"/>
                <w:color w:val="000000"/>
                <w:lang w:val="en-IN" w:eastAsia="en-IN"/>
              </w:rPr>
            </w:pPr>
            <w:r w:rsidRPr="00B53423">
              <w:rPr>
                <w:rFonts w:cs="Calibri"/>
                <w:color w:val="000000"/>
                <w:lang w:val="en-US" w:eastAsia="en-IN"/>
              </w:rPr>
              <w:t>-</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 xml:space="preserve"> Sub Total of Prior Period Expenses</w:t>
            </w:r>
          </w:p>
        </w:tc>
        <w:tc>
          <w:tcPr>
            <w:tcW w:w="2340" w:type="dxa"/>
            <w:shd w:val="clear" w:color="000000" w:fill="FFFFFF"/>
            <w:noWrap/>
            <w:vAlign w:val="center"/>
            <w:hideMark/>
          </w:tcPr>
          <w:p w:rsidR="004C74C2" w:rsidRPr="00B53423" w:rsidRDefault="004C74C2" w:rsidP="0015232B">
            <w:pPr>
              <w:spacing w:before="0"/>
              <w:ind w:right="816"/>
              <w:jc w:val="right"/>
              <w:rPr>
                <w:rFonts w:cs="Calibri"/>
                <w:b/>
                <w:bCs/>
                <w:color w:val="000000"/>
                <w:lang w:val="en-IN" w:eastAsia="en-IN"/>
              </w:rPr>
            </w:pPr>
            <w:r w:rsidRPr="00B53423">
              <w:rPr>
                <w:rFonts w:cs="Calibri"/>
                <w:b/>
                <w:bCs/>
                <w:color w:val="000000"/>
                <w:lang w:val="en-US" w:eastAsia="en-IN"/>
              </w:rPr>
              <w:t>3.55</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Prior Period Income</w:t>
            </w:r>
          </w:p>
        </w:tc>
        <w:tc>
          <w:tcPr>
            <w:tcW w:w="2340" w:type="dxa"/>
            <w:shd w:val="clear" w:color="000000" w:fill="FFFFFF"/>
            <w:noWrap/>
            <w:vAlign w:val="center"/>
            <w:hideMark/>
          </w:tcPr>
          <w:p w:rsidR="004C74C2" w:rsidRPr="00B53423" w:rsidRDefault="004C74C2" w:rsidP="0015232B">
            <w:pPr>
              <w:spacing w:before="0"/>
              <w:ind w:right="816"/>
              <w:jc w:val="right"/>
              <w:rPr>
                <w:rFonts w:cs="Calibri"/>
                <w:color w:val="000000"/>
                <w:lang w:val="en-IN" w:eastAsia="en-IN"/>
              </w:rPr>
            </w:pP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Arial"/>
                <w:sz w:val="20"/>
                <w:szCs w:val="20"/>
                <w:lang w:val="en-IN" w:eastAsia="en-IN"/>
              </w:rPr>
            </w:pPr>
            <w:r w:rsidRPr="00B53423">
              <w:rPr>
                <w:rFonts w:asciiTheme="minorHAnsi" w:hAnsiTheme="minorHAnsi" w:cs="Arial"/>
                <w:sz w:val="20"/>
                <w:szCs w:val="20"/>
                <w:lang w:val="en-IN" w:eastAsia="en-IN"/>
              </w:rPr>
              <w:t>Other Employees Cost</w:t>
            </w:r>
          </w:p>
        </w:tc>
        <w:tc>
          <w:tcPr>
            <w:tcW w:w="2340" w:type="dxa"/>
            <w:shd w:val="clear" w:color="auto" w:fill="auto"/>
            <w:noWrap/>
            <w:vAlign w:val="center"/>
            <w:hideMark/>
          </w:tcPr>
          <w:p w:rsidR="004C74C2" w:rsidRPr="00B53423" w:rsidRDefault="004C74C2" w:rsidP="0015232B">
            <w:pPr>
              <w:spacing w:before="0"/>
              <w:ind w:right="816"/>
              <w:jc w:val="right"/>
              <w:rPr>
                <w:rFonts w:cs="Calibri"/>
                <w:color w:val="000000"/>
                <w:lang w:val="en-IN" w:eastAsia="en-IN"/>
              </w:rPr>
            </w:pPr>
            <w:r w:rsidRPr="00B53423">
              <w:rPr>
                <w:rFonts w:cs="Calibri"/>
                <w:color w:val="000000"/>
                <w:lang w:val="en-US" w:eastAsia="en-IN"/>
              </w:rPr>
              <w:t>-</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Arial"/>
                <w:sz w:val="20"/>
                <w:szCs w:val="20"/>
                <w:lang w:val="en-IN" w:eastAsia="en-IN"/>
              </w:rPr>
            </w:pPr>
            <w:r w:rsidRPr="00B53423">
              <w:rPr>
                <w:rFonts w:asciiTheme="minorHAnsi" w:hAnsiTheme="minorHAnsi" w:cs="Arial"/>
                <w:sz w:val="20"/>
                <w:szCs w:val="20"/>
                <w:lang w:val="en-IN" w:eastAsia="en-IN"/>
              </w:rPr>
              <w:t>Reconnection and Disconnection Fee</w:t>
            </w:r>
          </w:p>
        </w:tc>
        <w:tc>
          <w:tcPr>
            <w:tcW w:w="2340" w:type="dxa"/>
            <w:shd w:val="clear" w:color="auto" w:fill="auto"/>
            <w:noWrap/>
            <w:vAlign w:val="center"/>
            <w:hideMark/>
          </w:tcPr>
          <w:p w:rsidR="004C74C2" w:rsidRPr="00B53423" w:rsidRDefault="004C74C2" w:rsidP="0015232B">
            <w:pPr>
              <w:spacing w:before="0"/>
              <w:ind w:right="816"/>
              <w:jc w:val="right"/>
              <w:rPr>
                <w:rFonts w:cs="Calibri"/>
                <w:color w:val="000000"/>
                <w:lang w:val="en-IN" w:eastAsia="en-IN"/>
              </w:rPr>
            </w:pPr>
            <w:r w:rsidRPr="00B53423">
              <w:rPr>
                <w:rFonts w:cs="Calibri"/>
                <w:color w:val="000000"/>
                <w:lang w:val="en-US" w:eastAsia="en-IN"/>
              </w:rPr>
              <w:t>0.00</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Arial"/>
                <w:sz w:val="20"/>
                <w:szCs w:val="20"/>
                <w:lang w:val="en-IN" w:eastAsia="en-IN"/>
              </w:rPr>
            </w:pPr>
            <w:r w:rsidRPr="00B53423">
              <w:rPr>
                <w:rFonts w:asciiTheme="minorHAnsi" w:hAnsiTheme="minorHAnsi" w:cs="Arial"/>
                <w:sz w:val="20"/>
                <w:szCs w:val="20"/>
                <w:lang w:val="en-IN" w:eastAsia="en-IN"/>
              </w:rPr>
              <w:t>Interest and Financial Charges</w:t>
            </w:r>
          </w:p>
        </w:tc>
        <w:tc>
          <w:tcPr>
            <w:tcW w:w="2340" w:type="dxa"/>
            <w:shd w:val="clear" w:color="auto" w:fill="auto"/>
            <w:noWrap/>
            <w:vAlign w:val="center"/>
            <w:hideMark/>
          </w:tcPr>
          <w:p w:rsidR="004C74C2" w:rsidRPr="00B53423" w:rsidRDefault="004C74C2" w:rsidP="0015232B">
            <w:pPr>
              <w:spacing w:before="0"/>
              <w:ind w:right="816"/>
              <w:jc w:val="right"/>
              <w:rPr>
                <w:rFonts w:cs="Calibri"/>
                <w:color w:val="000000"/>
                <w:lang w:val="en-IN" w:eastAsia="en-IN"/>
              </w:rPr>
            </w:pPr>
            <w:r w:rsidRPr="00B53423">
              <w:rPr>
                <w:rFonts w:cs="Calibri"/>
                <w:color w:val="000000"/>
                <w:lang w:val="en-US" w:eastAsia="en-IN"/>
              </w:rPr>
              <w:t>0.00</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 xml:space="preserve"> Sub Total of Prior Period Income</w:t>
            </w:r>
          </w:p>
        </w:tc>
        <w:tc>
          <w:tcPr>
            <w:tcW w:w="2340" w:type="dxa"/>
            <w:shd w:val="clear" w:color="000000" w:fill="FFFFFF"/>
            <w:noWrap/>
            <w:vAlign w:val="center"/>
            <w:hideMark/>
          </w:tcPr>
          <w:p w:rsidR="004C74C2" w:rsidRPr="00B53423" w:rsidRDefault="004C74C2" w:rsidP="0015232B">
            <w:pPr>
              <w:spacing w:before="0"/>
              <w:ind w:right="816"/>
              <w:jc w:val="right"/>
              <w:rPr>
                <w:rFonts w:cs="Calibri"/>
                <w:b/>
                <w:bCs/>
                <w:color w:val="000000"/>
                <w:lang w:val="en-IN" w:eastAsia="en-IN"/>
              </w:rPr>
            </w:pPr>
            <w:r w:rsidRPr="00B53423">
              <w:rPr>
                <w:rFonts w:cs="Calibri"/>
                <w:b/>
                <w:bCs/>
                <w:color w:val="000000"/>
                <w:lang w:val="en-IN" w:eastAsia="en-IN"/>
              </w:rPr>
              <w:t>0.00</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Net Prior Period Expenditure</w:t>
            </w:r>
          </w:p>
        </w:tc>
        <w:tc>
          <w:tcPr>
            <w:tcW w:w="2340" w:type="dxa"/>
            <w:shd w:val="clear" w:color="000000" w:fill="FFFFFF"/>
            <w:noWrap/>
            <w:vAlign w:val="center"/>
            <w:hideMark/>
          </w:tcPr>
          <w:p w:rsidR="004C74C2" w:rsidRPr="00B53423" w:rsidRDefault="004C74C2" w:rsidP="0015232B">
            <w:pPr>
              <w:spacing w:before="0"/>
              <w:ind w:right="816"/>
              <w:jc w:val="right"/>
              <w:rPr>
                <w:rFonts w:cs="Calibri"/>
                <w:b/>
                <w:bCs/>
                <w:color w:val="000000"/>
                <w:lang w:val="en-IN" w:eastAsia="en-IN"/>
              </w:rPr>
            </w:pPr>
            <w:r w:rsidRPr="00B53423">
              <w:rPr>
                <w:rFonts w:cs="Calibri"/>
                <w:b/>
                <w:bCs/>
                <w:color w:val="000000"/>
                <w:lang w:val="en-US" w:eastAsia="en-IN"/>
              </w:rPr>
              <w:t>3.55</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regards the prior period expenses</w:t>
      </w:r>
      <w:r w:rsidR="003E399E" w:rsidRPr="00B53423">
        <w:t xml:space="preserve"> / incomes </w:t>
      </w:r>
      <w:r w:rsidRPr="00B53423">
        <w:t>the Commission vide its deficiency note has asked the Petitioner to submit the detailed breakup of prior period expenses</w:t>
      </w:r>
      <w:r w:rsidR="003E399E" w:rsidRPr="00B53423">
        <w:t xml:space="preserve"> / incomes</w:t>
      </w:r>
      <w:r w:rsidRPr="00B53423">
        <w:t xml:space="preserve"> along with the details of year to which they pertain and the justification for not booking such amount in the annual account of the respective years. In its reply the Petitioner has submitted the year wise breakup of prior period expenses </w:t>
      </w:r>
      <w:r w:rsidR="003E399E" w:rsidRPr="00B53423">
        <w:t xml:space="preserve">/ incomes </w:t>
      </w:r>
      <w:r w:rsidRPr="00B53423">
        <w:t>however the submission does not provide clarification regarding the heads under which these expenses have been booked.</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It is to be clarified that the Prior period expenses and incomes are the outcomes of omissions / errors in recording the transactions in the accounting statements. Further, the items booked under the prior period expenses are essentially ARR items like power purchase expenses, O&amp;M expenses, interest and finance charges, etc. Each item of ARR has a distinct methodology of treatment in the ARR and True-up determination.</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 </w:t>
      </w:r>
      <w:bookmarkStart w:id="436" w:name="_Ref396854096"/>
      <w:r w:rsidRPr="00B53423">
        <w:t>In the absence of clarity and details of each item booked under prior period expenses with respect to heads for each financial year to which they pertain, the Commission has not allowed any claims towards such items.</w:t>
      </w:r>
      <w:bookmarkEnd w:id="436"/>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 It is to be noted that the Commission while doing Truing-up of any year allows certain expenses like O&amp;M expenses, Interest expenses, depreciation etc. on normative basis. The Petitioner should in its Petition clearly indicate that the impact of such prior period expenses/ incomes along with actual O&amp;M expenses does not exceed the normative expense for that year. For example, if the Commission while doing Truing-up of certain year has approved actual O&amp;M expenses of Rs. 38 Core which is lower than the normative O&amp;M expenses of Rs. 40 Crore for that particular year. Further, the Petitioner in some future year claims prior period O&amp;M expenses of Rs. 4 Crore, thus the total O&amp;M expenses would be Rs. 42 Crore (Rs. 38 Crore actual + Rs. 4 Crore prior period). As per the Distribution Tariff Regulations, 2006 the Commission can allow only Rs. 40 Crore towards O&amp;M expenses which is equivalent to normative O&amp;M expenses. In such a case the Commission can allow maximum of Rs. 2 Crore expenses towards prior period O&amp;M expenses after scrutiny and prudence check, as Rs. 38 Crore of actual O&amp;M has already been allowed and the total amount of O&amp;M expenses cannot exceed the normative O&amp;M expense of Rs. 40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bookmarkStart w:id="437" w:name="_Ref396854112"/>
      <w:r w:rsidRPr="00B53423">
        <w:t xml:space="preserve">Thus, </w:t>
      </w:r>
      <w:r w:rsidRPr="00B53423">
        <w:rPr>
          <w:b/>
        </w:rPr>
        <w:t>the Petitioner is</w:t>
      </w:r>
      <w:r w:rsidRPr="00B53423">
        <w:t xml:space="preserve"> </w:t>
      </w:r>
      <w:r w:rsidRPr="00B53423">
        <w:rPr>
          <w:b/>
        </w:rPr>
        <w:t>directed to submit a separate Petition for approval of prior period expenses / incomes. The Petition should clearly indicate the head wise year wise bifurcation of prior period expenses / incomes clearly indicating the impact of such expenses / incomes on various ARR components and such impact should not exceed the normative expenses for any particular year</w:t>
      </w:r>
      <w:r w:rsidRPr="00B53423">
        <w:t>. Based on the data submitted by the Petitioner, the Commission after scrutiny and prudence check shall allow / disallow the prior period expenses / incomes as it may deem necessary.</w:t>
      </w:r>
      <w:bookmarkEnd w:id="437"/>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The summary of the prior period expenses approved in the Tariff Order, claimed by the Petitioner and that approved by the Commission in this Order for Truing up of FY 2008-09 is shown in the Table below:</w:t>
      </w:r>
    </w:p>
    <w:p w:rsidR="004C74C2" w:rsidRPr="00B53423" w:rsidRDefault="004C74C2" w:rsidP="0015232B">
      <w:pPr>
        <w:pStyle w:val="ListParagraph"/>
        <w:ind w:left="180"/>
      </w:pPr>
    </w:p>
    <w:p w:rsidR="004C74C2" w:rsidRPr="00B53423" w:rsidRDefault="004C74C2" w:rsidP="0015232B">
      <w:pPr>
        <w:spacing w:before="240"/>
        <w:rPr>
          <w:rFonts w:asciiTheme="minorHAnsi" w:hAnsiTheme="minorHAnsi" w:cstheme="minorHAnsi"/>
          <w:b/>
        </w:rPr>
      </w:pPr>
      <w:r w:rsidRPr="00B53423">
        <w:tab/>
      </w:r>
      <w:bookmarkStart w:id="438" w:name="_Toc399626330"/>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19</w:t>
      </w:r>
      <w:r w:rsidR="005D68E7" w:rsidRPr="00B53423">
        <w:rPr>
          <w:rFonts w:asciiTheme="minorHAnsi" w:hAnsiTheme="minorHAnsi" w:cstheme="minorHAnsi"/>
          <w:b/>
        </w:rPr>
        <w:fldChar w:fldCharType="end"/>
      </w:r>
      <w:r w:rsidRPr="00B53423">
        <w:rPr>
          <w:rFonts w:asciiTheme="minorHAnsi" w:hAnsiTheme="minorHAnsi" w:cstheme="minorHAnsi"/>
          <w:b/>
        </w:rPr>
        <w:t>: PRIOR PERIOD EXPENSES</w:t>
      </w:r>
      <w:r w:rsidR="00AB4B5B" w:rsidRPr="00B53423">
        <w:rPr>
          <w:rFonts w:asciiTheme="minorHAnsi" w:hAnsiTheme="minorHAnsi" w:cstheme="minorHAnsi"/>
          <w:b/>
        </w:rPr>
        <w:t xml:space="preserve"> / INCOMES </w:t>
      </w:r>
      <w:r w:rsidRPr="00B53423">
        <w:rPr>
          <w:rFonts w:asciiTheme="minorHAnsi" w:hAnsiTheme="minorHAnsi" w:cstheme="minorHAnsi"/>
          <w:b/>
        </w:rPr>
        <w:t>FOR FY 2008-09 (Rs. Crore)</w:t>
      </w:r>
      <w:bookmarkEnd w:id="438"/>
    </w:p>
    <w:tbl>
      <w:tblPr>
        <w:tblW w:w="8500" w:type="dxa"/>
        <w:tblInd w:w="103" w:type="dxa"/>
        <w:tblLook w:val="04A0"/>
      </w:tblPr>
      <w:tblGrid>
        <w:gridCol w:w="3620"/>
        <w:gridCol w:w="1220"/>
        <w:gridCol w:w="1220"/>
        <w:gridCol w:w="1220"/>
        <w:gridCol w:w="1220"/>
      </w:tblGrid>
      <w:tr w:rsidR="004C74C2" w:rsidRPr="00B53423" w:rsidTr="009268E4">
        <w:trPr>
          <w:trHeight w:val="900"/>
          <w:tblHeader/>
        </w:trPr>
        <w:tc>
          <w:tcPr>
            <w:tcW w:w="362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62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xml:space="preserve">Prior Period </w:t>
            </w:r>
            <w:r w:rsidR="00AB4B5B" w:rsidRPr="00B53423">
              <w:rPr>
                <w:rFonts w:cs="Calibri"/>
                <w:color w:val="000000"/>
                <w:lang w:val="en-US"/>
              </w:rPr>
              <w:t>Expenses</w:t>
            </w:r>
          </w:p>
        </w:tc>
        <w:tc>
          <w:tcPr>
            <w:tcW w:w="122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0.00</w:t>
            </w:r>
          </w:p>
        </w:tc>
        <w:tc>
          <w:tcPr>
            <w:tcW w:w="122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3.55</w:t>
            </w:r>
          </w:p>
        </w:tc>
        <w:tc>
          <w:tcPr>
            <w:tcW w:w="122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3.55</w:t>
            </w:r>
          </w:p>
        </w:tc>
        <w:tc>
          <w:tcPr>
            <w:tcW w:w="122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0.00</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439" w:name="_Toc399626171"/>
      <w:r w:rsidRPr="00B53423">
        <w:t>OTHER EXPENSES</w:t>
      </w:r>
      <w:bookmarkEnd w:id="439"/>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ind w:hanging="1080"/>
      </w:pPr>
      <w:r w:rsidRPr="00B53423">
        <w:t>The Petitioner submitted that there are certain other expenses which cannot be claimed under any specific head of the ARR. The Petitioner further submitted that such minor expenses have been bundled together under the nomenclature of ‘Other Miscellaneous Expenses’ and the impact of such expenses is only Rs. 0.37 Crore in FY 2008-09.</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bookmarkStart w:id="440" w:name="_Ref396854156"/>
      <w:r w:rsidRPr="00B53423">
        <w:t>As such expenses were not approved in the Tariff Order 9</w:t>
      </w:r>
      <w:r w:rsidRPr="00B53423">
        <w:rPr>
          <w:vertAlign w:val="superscript"/>
        </w:rPr>
        <w:t>th</w:t>
      </w:r>
      <w:r w:rsidRPr="00B53423">
        <w:t xml:space="preserve"> July, 2008 in Petition No. 487 and 510 of 2007 for FY 2008-09, and in line with the approach adopted in the previous Turing up Order dated 21</w:t>
      </w:r>
      <w:r w:rsidRPr="00B53423">
        <w:rPr>
          <w:vertAlign w:val="superscript"/>
        </w:rPr>
        <w:t>st</w:t>
      </w:r>
      <w:r w:rsidRPr="00B53423">
        <w:t xml:space="preserve"> May, 2013 the Commission has not considered such expenses for admissibility in the True-up as well. The summary of other expenses approved in the Tariff Order, claimed by the Petitioner and that approved by the Commission in this Order for Truing up of FY 2008-09 is shown in the Table below:</w:t>
      </w:r>
      <w:bookmarkEnd w:id="440"/>
    </w:p>
    <w:p w:rsidR="004C74C2" w:rsidRPr="00B53423" w:rsidRDefault="004C74C2" w:rsidP="0015232B">
      <w:pPr>
        <w:pStyle w:val="ListParagraph"/>
        <w:ind w:left="180"/>
      </w:pPr>
    </w:p>
    <w:p w:rsidR="004C74C2" w:rsidRPr="00B53423" w:rsidRDefault="004C74C2" w:rsidP="0015232B">
      <w:pPr>
        <w:spacing w:before="240"/>
        <w:jc w:val="center"/>
        <w:rPr>
          <w:rFonts w:asciiTheme="minorHAnsi" w:hAnsiTheme="minorHAnsi" w:cstheme="minorHAnsi"/>
          <w:b/>
        </w:rPr>
      </w:pPr>
      <w:bookmarkStart w:id="441" w:name="_Toc399626331"/>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20</w:t>
      </w:r>
      <w:r w:rsidR="005D68E7" w:rsidRPr="00B53423">
        <w:rPr>
          <w:rFonts w:asciiTheme="minorHAnsi" w:hAnsiTheme="minorHAnsi" w:cstheme="minorHAnsi"/>
          <w:b/>
        </w:rPr>
        <w:fldChar w:fldCharType="end"/>
      </w:r>
      <w:r w:rsidRPr="00B53423">
        <w:rPr>
          <w:rFonts w:asciiTheme="minorHAnsi" w:hAnsiTheme="minorHAnsi" w:cstheme="minorHAnsi"/>
          <w:b/>
        </w:rPr>
        <w:t>: OTHER EXPENSES FOR FY 2008-09 (Rs. Crore)</w:t>
      </w:r>
      <w:bookmarkEnd w:id="441"/>
    </w:p>
    <w:tbl>
      <w:tblPr>
        <w:tblW w:w="8140"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25"/>
        <w:gridCol w:w="1055"/>
        <w:gridCol w:w="1220"/>
        <w:gridCol w:w="1220"/>
        <w:gridCol w:w="1220"/>
      </w:tblGrid>
      <w:tr w:rsidR="004C74C2" w:rsidRPr="00B53423" w:rsidTr="009268E4">
        <w:trPr>
          <w:trHeight w:val="900"/>
        </w:trPr>
        <w:tc>
          <w:tcPr>
            <w:tcW w:w="3425" w:type="dxa"/>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055"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20"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20"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20"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425" w:type="dxa"/>
            <w:shd w:val="clear" w:color="auto" w:fill="auto"/>
            <w:noWrap/>
            <w:vAlign w:val="center"/>
            <w:hideMark/>
          </w:tcPr>
          <w:p w:rsidR="004C74C2" w:rsidRPr="00B53423" w:rsidRDefault="004C74C2" w:rsidP="0015232B">
            <w:pPr>
              <w:spacing w:before="0" w:line="240" w:lineRule="auto"/>
              <w:jc w:val="left"/>
              <w:rPr>
                <w:rFonts w:asciiTheme="minorHAnsi" w:hAnsiTheme="minorHAnsi" w:cstheme="minorHAnsi"/>
                <w:lang w:val="en-US"/>
              </w:rPr>
            </w:pPr>
            <w:r w:rsidRPr="00B53423">
              <w:rPr>
                <w:rFonts w:asciiTheme="minorHAnsi" w:hAnsiTheme="minorHAnsi" w:cstheme="minorHAnsi"/>
                <w:lang w:val="en-US"/>
              </w:rPr>
              <w:t>Provision for Fringe benefit tax for FY 2008-09</w:t>
            </w:r>
          </w:p>
        </w:tc>
        <w:tc>
          <w:tcPr>
            <w:tcW w:w="1055" w:type="dxa"/>
            <w:shd w:val="clear" w:color="auto" w:fill="auto"/>
            <w:noWrap/>
            <w:vAlign w:val="center"/>
            <w:hideMark/>
          </w:tcPr>
          <w:p w:rsidR="004C74C2" w:rsidRPr="00B53423" w:rsidRDefault="004C74C2" w:rsidP="0015232B">
            <w:pPr>
              <w:spacing w:before="0" w:line="240" w:lineRule="auto"/>
              <w:ind w:right="19"/>
              <w:jc w:val="center"/>
              <w:rPr>
                <w:rFonts w:cs="Calibri"/>
                <w:color w:val="000000"/>
                <w:lang w:val="en-US"/>
              </w:rPr>
            </w:pPr>
            <w:r w:rsidRPr="00B53423">
              <w:rPr>
                <w:rFonts w:cs="Calibri"/>
                <w:color w:val="000000"/>
                <w:lang w:val="en-US"/>
              </w:rPr>
              <w:t> </w:t>
            </w:r>
          </w:p>
        </w:tc>
        <w:tc>
          <w:tcPr>
            <w:tcW w:w="1220" w:type="dxa"/>
            <w:shd w:val="clear" w:color="auto" w:fill="auto"/>
            <w:noWrap/>
            <w:vAlign w:val="center"/>
            <w:hideMark/>
          </w:tcPr>
          <w:p w:rsidR="004C74C2" w:rsidRPr="00B53423" w:rsidRDefault="004C74C2" w:rsidP="0015232B">
            <w:pPr>
              <w:spacing w:before="0" w:line="240" w:lineRule="auto"/>
              <w:ind w:right="184"/>
              <w:jc w:val="right"/>
              <w:rPr>
                <w:rFonts w:cs="Calibri"/>
                <w:color w:val="000000"/>
                <w:lang w:val="en-US"/>
              </w:rPr>
            </w:pPr>
            <w:r w:rsidRPr="00B53423">
              <w:rPr>
                <w:rFonts w:cs="Calibri"/>
                <w:color w:val="000000"/>
                <w:lang w:val="en-US"/>
              </w:rPr>
              <w:t> 0.07</w:t>
            </w:r>
          </w:p>
        </w:tc>
        <w:tc>
          <w:tcPr>
            <w:tcW w:w="1220" w:type="dxa"/>
            <w:shd w:val="clear" w:color="auto" w:fill="auto"/>
            <w:noWrap/>
            <w:vAlign w:val="center"/>
            <w:hideMark/>
          </w:tcPr>
          <w:p w:rsidR="004C74C2" w:rsidRPr="00B53423" w:rsidRDefault="004C74C2" w:rsidP="0015232B">
            <w:pPr>
              <w:spacing w:before="0" w:line="240" w:lineRule="auto"/>
              <w:ind w:right="147"/>
              <w:jc w:val="right"/>
              <w:rPr>
                <w:rFonts w:cs="Calibri"/>
                <w:color w:val="000000"/>
                <w:lang w:val="en-US"/>
              </w:rPr>
            </w:pPr>
            <w:r w:rsidRPr="00B53423">
              <w:rPr>
                <w:rFonts w:cs="Calibri"/>
                <w:color w:val="000000"/>
                <w:lang w:val="en-US"/>
              </w:rPr>
              <w:t>0.07 </w:t>
            </w:r>
          </w:p>
        </w:tc>
        <w:tc>
          <w:tcPr>
            <w:tcW w:w="1220" w:type="dxa"/>
            <w:shd w:val="clear" w:color="auto" w:fill="auto"/>
            <w:noWrap/>
            <w:vAlign w:val="center"/>
            <w:hideMark/>
          </w:tcPr>
          <w:p w:rsidR="004C74C2" w:rsidRPr="00B53423" w:rsidRDefault="004C74C2" w:rsidP="0015232B">
            <w:pPr>
              <w:spacing w:before="0" w:line="240" w:lineRule="auto"/>
              <w:ind w:right="184"/>
              <w:jc w:val="right"/>
              <w:rPr>
                <w:rFonts w:cs="Calibri"/>
                <w:color w:val="000000"/>
                <w:lang w:val="en-US"/>
              </w:rPr>
            </w:pPr>
            <w:r w:rsidRPr="00B53423">
              <w:rPr>
                <w:rFonts w:cs="Calibri"/>
                <w:color w:val="000000"/>
                <w:lang w:val="en-US"/>
              </w:rPr>
              <w:t>0.00 </w:t>
            </w:r>
          </w:p>
        </w:tc>
      </w:tr>
      <w:tr w:rsidR="004C74C2" w:rsidRPr="00B53423" w:rsidTr="009268E4">
        <w:trPr>
          <w:trHeight w:val="300"/>
        </w:trPr>
        <w:tc>
          <w:tcPr>
            <w:tcW w:w="34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On line billing charges</w:t>
            </w:r>
          </w:p>
        </w:tc>
        <w:tc>
          <w:tcPr>
            <w:tcW w:w="1055" w:type="dxa"/>
            <w:shd w:val="clear" w:color="auto" w:fill="auto"/>
            <w:noWrap/>
            <w:vAlign w:val="center"/>
            <w:hideMark/>
          </w:tcPr>
          <w:p w:rsidR="004C74C2" w:rsidRPr="00B53423" w:rsidRDefault="004C74C2" w:rsidP="0015232B">
            <w:pPr>
              <w:spacing w:before="0" w:line="240" w:lineRule="auto"/>
              <w:ind w:right="19"/>
              <w:jc w:val="center"/>
              <w:rPr>
                <w:rFonts w:cs="Calibri"/>
                <w:color w:val="000000"/>
                <w:lang w:val="en-US"/>
              </w:rPr>
            </w:pPr>
            <w:r w:rsidRPr="00B53423">
              <w:rPr>
                <w:rFonts w:cs="Calibri"/>
                <w:color w:val="000000"/>
                <w:lang w:val="en-US"/>
              </w:rPr>
              <w:t> </w:t>
            </w:r>
          </w:p>
        </w:tc>
        <w:tc>
          <w:tcPr>
            <w:tcW w:w="1220" w:type="dxa"/>
            <w:shd w:val="clear" w:color="auto" w:fill="auto"/>
            <w:noWrap/>
            <w:vAlign w:val="center"/>
            <w:hideMark/>
          </w:tcPr>
          <w:p w:rsidR="004C74C2" w:rsidRPr="00B53423" w:rsidRDefault="004C74C2" w:rsidP="0015232B">
            <w:pPr>
              <w:spacing w:before="0" w:line="240" w:lineRule="auto"/>
              <w:ind w:right="184"/>
              <w:jc w:val="right"/>
              <w:rPr>
                <w:rFonts w:cs="Calibri"/>
                <w:color w:val="000000"/>
                <w:lang w:val="en-US"/>
              </w:rPr>
            </w:pPr>
            <w:r w:rsidRPr="00B53423">
              <w:rPr>
                <w:rFonts w:cs="Calibri"/>
                <w:color w:val="000000"/>
                <w:lang w:val="en-US"/>
              </w:rPr>
              <w:t>0.30</w:t>
            </w:r>
          </w:p>
        </w:tc>
        <w:tc>
          <w:tcPr>
            <w:tcW w:w="1220" w:type="dxa"/>
            <w:shd w:val="clear" w:color="auto" w:fill="auto"/>
            <w:noWrap/>
            <w:vAlign w:val="center"/>
            <w:hideMark/>
          </w:tcPr>
          <w:p w:rsidR="004C74C2" w:rsidRPr="00B53423" w:rsidRDefault="004C74C2" w:rsidP="0015232B">
            <w:pPr>
              <w:spacing w:before="0" w:line="240" w:lineRule="auto"/>
              <w:ind w:right="147"/>
              <w:jc w:val="right"/>
              <w:rPr>
                <w:rFonts w:cs="Calibri"/>
                <w:color w:val="000000"/>
                <w:lang w:val="en-US"/>
              </w:rPr>
            </w:pPr>
            <w:r w:rsidRPr="00B53423">
              <w:rPr>
                <w:rFonts w:cs="Calibri"/>
                <w:color w:val="000000"/>
                <w:lang w:val="en-US"/>
              </w:rPr>
              <w:t>0.30</w:t>
            </w:r>
          </w:p>
        </w:tc>
        <w:tc>
          <w:tcPr>
            <w:tcW w:w="1220" w:type="dxa"/>
            <w:shd w:val="clear" w:color="auto" w:fill="auto"/>
            <w:noWrap/>
            <w:vAlign w:val="center"/>
            <w:hideMark/>
          </w:tcPr>
          <w:p w:rsidR="004C74C2" w:rsidRPr="00B53423" w:rsidRDefault="004C74C2" w:rsidP="0015232B">
            <w:pPr>
              <w:spacing w:before="0" w:line="240" w:lineRule="auto"/>
              <w:ind w:right="184"/>
              <w:jc w:val="right"/>
              <w:rPr>
                <w:rFonts w:cs="Calibri"/>
                <w:color w:val="000000"/>
                <w:lang w:val="en-US"/>
              </w:rPr>
            </w:pPr>
            <w:r w:rsidRPr="00B53423">
              <w:rPr>
                <w:rFonts w:cs="Calibri"/>
                <w:color w:val="000000"/>
                <w:lang w:val="en-US"/>
              </w:rPr>
              <w:t>0.00</w:t>
            </w:r>
          </w:p>
        </w:tc>
      </w:tr>
      <w:tr w:rsidR="004C74C2" w:rsidRPr="00B53423" w:rsidTr="009268E4">
        <w:trPr>
          <w:trHeight w:val="300"/>
        </w:trPr>
        <w:tc>
          <w:tcPr>
            <w:tcW w:w="3425"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w:t>
            </w:r>
          </w:p>
        </w:tc>
        <w:tc>
          <w:tcPr>
            <w:tcW w:w="1055" w:type="dxa"/>
            <w:shd w:val="clear" w:color="auto" w:fill="auto"/>
            <w:noWrap/>
            <w:vAlign w:val="center"/>
            <w:hideMark/>
          </w:tcPr>
          <w:p w:rsidR="004C74C2" w:rsidRPr="00B53423" w:rsidRDefault="004C74C2" w:rsidP="0015232B">
            <w:pPr>
              <w:spacing w:before="0" w:line="240" w:lineRule="auto"/>
              <w:ind w:right="19"/>
              <w:jc w:val="right"/>
              <w:rPr>
                <w:rFonts w:cs="Calibri"/>
                <w:b/>
                <w:bCs/>
                <w:color w:val="000000"/>
                <w:lang w:val="en-US"/>
              </w:rPr>
            </w:pPr>
            <w:r w:rsidRPr="00B53423">
              <w:rPr>
                <w:rFonts w:cs="Calibri"/>
                <w:b/>
                <w:bCs/>
                <w:color w:val="000000"/>
                <w:lang w:val="en-US"/>
              </w:rPr>
              <w:t>0.00</w:t>
            </w:r>
          </w:p>
        </w:tc>
        <w:tc>
          <w:tcPr>
            <w:tcW w:w="1220" w:type="dxa"/>
            <w:shd w:val="clear" w:color="auto" w:fill="auto"/>
            <w:noWrap/>
            <w:vAlign w:val="center"/>
            <w:hideMark/>
          </w:tcPr>
          <w:p w:rsidR="004C74C2" w:rsidRPr="00B53423" w:rsidRDefault="004C74C2" w:rsidP="0015232B">
            <w:pPr>
              <w:spacing w:before="0" w:line="240" w:lineRule="auto"/>
              <w:ind w:right="184"/>
              <w:jc w:val="right"/>
              <w:rPr>
                <w:rFonts w:cs="Calibri"/>
                <w:b/>
                <w:bCs/>
                <w:color w:val="000000"/>
                <w:lang w:val="en-US"/>
              </w:rPr>
            </w:pPr>
            <w:r w:rsidRPr="00B53423">
              <w:rPr>
                <w:rFonts w:cs="Calibri"/>
                <w:b/>
                <w:bCs/>
                <w:color w:val="000000"/>
                <w:lang w:val="en-US"/>
              </w:rPr>
              <w:t>0.37</w:t>
            </w:r>
          </w:p>
        </w:tc>
        <w:tc>
          <w:tcPr>
            <w:tcW w:w="1220" w:type="dxa"/>
            <w:shd w:val="clear" w:color="auto" w:fill="auto"/>
            <w:noWrap/>
            <w:vAlign w:val="center"/>
            <w:hideMark/>
          </w:tcPr>
          <w:p w:rsidR="004C74C2" w:rsidRPr="00B53423" w:rsidRDefault="004C74C2" w:rsidP="0015232B">
            <w:pPr>
              <w:spacing w:before="0" w:line="240" w:lineRule="auto"/>
              <w:ind w:right="147"/>
              <w:jc w:val="right"/>
              <w:rPr>
                <w:rFonts w:cs="Calibri"/>
                <w:b/>
                <w:bCs/>
                <w:color w:val="000000"/>
                <w:lang w:val="en-US"/>
              </w:rPr>
            </w:pPr>
            <w:r w:rsidRPr="00B53423">
              <w:rPr>
                <w:rFonts w:cs="Calibri"/>
                <w:b/>
                <w:bCs/>
                <w:color w:val="000000"/>
                <w:lang w:val="en-US"/>
              </w:rPr>
              <w:t>0.37</w:t>
            </w:r>
          </w:p>
        </w:tc>
        <w:tc>
          <w:tcPr>
            <w:tcW w:w="1220" w:type="dxa"/>
            <w:shd w:val="clear" w:color="auto" w:fill="auto"/>
            <w:noWrap/>
            <w:vAlign w:val="center"/>
            <w:hideMark/>
          </w:tcPr>
          <w:p w:rsidR="004C74C2" w:rsidRPr="00B53423" w:rsidRDefault="004C74C2" w:rsidP="0015232B">
            <w:pPr>
              <w:spacing w:before="0" w:line="240" w:lineRule="auto"/>
              <w:ind w:right="184"/>
              <w:jc w:val="right"/>
              <w:rPr>
                <w:rFonts w:cs="Calibri"/>
                <w:b/>
                <w:bCs/>
                <w:color w:val="000000"/>
                <w:lang w:val="en-US"/>
              </w:rPr>
            </w:pPr>
            <w:r w:rsidRPr="00B53423">
              <w:rPr>
                <w:rFonts w:cs="Calibri"/>
                <w:b/>
                <w:bCs/>
                <w:color w:val="000000"/>
                <w:lang w:val="en-US"/>
              </w:rPr>
              <w:t>0.00</w:t>
            </w:r>
          </w:p>
        </w:tc>
      </w:tr>
    </w:tbl>
    <w:p w:rsidR="004C74C2" w:rsidRPr="00B53423" w:rsidRDefault="004C74C2" w:rsidP="0015232B">
      <w:pPr>
        <w:pStyle w:val="Heading2"/>
        <w:keepNext w:val="0"/>
        <w:numPr>
          <w:ilvl w:val="0"/>
          <w:numId w:val="0"/>
        </w:numPr>
        <w:ind w:left="450"/>
      </w:pPr>
    </w:p>
    <w:p w:rsidR="004C74C2" w:rsidRPr="00B53423" w:rsidRDefault="004C74C2" w:rsidP="0015232B">
      <w:pPr>
        <w:pStyle w:val="Heading2"/>
        <w:keepNext w:val="0"/>
        <w:numPr>
          <w:ilvl w:val="0"/>
          <w:numId w:val="0"/>
        </w:numPr>
        <w:ind w:left="450"/>
      </w:pPr>
    </w:p>
    <w:p w:rsidR="004C74C2" w:rsidRPr="00B53423" w:rsidRDefault="004C74C2" w:rsidP="0015232B">
      <w:pPr>
        <w:pStyle w:val="Heading2"/>
        <w:keepNext w:val="0"/>
        <w:ind w:left="720" w:hanging="1080"/>
      </w:pPr>
      <w:bookmarkStart w:id="442" w:name="_Toc399626172"/>
      <w:r w:rsidRPr="00B53423">
        <w:t>PROVISION FOR BAD AND DOUBTFUL DEBT</w:t>
      </w:r>
      <w:bookmarkEnd w:id="442"/>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ind w:hanging="1080"/>
      </w:pPr>
      <w:r w:rsidRPr="00B53423">
        <w:t>The Petitioner submitted that the Commission has not allowed any amounts towards Provision for Bad and Doubtful Debts in the Tariff Order dated 9</w:t>
      </w:r>
      <w:r w:rsidRPr="00B53423">
        <w:rPr>
          <w:vertAlign w:val="superscript"/>
        </w:rPr>
        <w:t>th</w:t>
      </w:r>
      <w:r w:rsidRPr="00B53423">
        <w:t xml:space="preserve"> July, 2008 in Petition No. 487 and 510 of 2007 for FY 2008-09 even though Distribution Tariff Regulations, 2006 provide for allowing 2% provision in respect of revenue receivables.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such expenses are legitimate business expenses and are accepted accounting principle even in sectors like Banking where the provisioning of un-collectable dues is considered as a normal commercial practice.</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 xml:space="preserve">The Petitioner submitted that it has computed the entitlement towards provision for bad and doubtful debts as 2% of the closing revenue receivables as per Audited Accounts of the relevant financial year for distribution business. </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The Petitioner has claimed Rs. 48.27 Crore towards provision for bad and doubtful debts for FY 2008-09.</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As regards provision for bad and doubtful debts the Commission in its previous Orders has directed as follows:</w:t>
      </w:r>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numPr>
          <w:ilvl w:val="0"/>
          <w:numId w:val="0"/>
        </w:numPr>
        <w:ind w:left="450"/>
        <w:rPr>
          <w:b/>
        </w:rPr>
      </w:pPr>
      <w:r w:rsidRPr="00B53423">
        <w:rPr>
          <w:b/>
        </w:rPr>
        <w:t>True up Order for FY 2000-01 to FY 2007-08 dated 21</w:t>
      </w:r>
      <w:r w:rsidRPr="00B53423">
        <w:rPr>
          <w:b/>
          <w:vertAlign w:val="superscript"/>
        </w:rPr>
        <w:t>st</w:t>
      </w:r>
      <w:r w:rsidRPr="00B53423">
        <w:rPr>
          <w:b/>
        </w:rPr>
        <w:t xml:space="preserve"> May, 2013</w:t>
      </w:r>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numPr>
          <w:ilvl w:val="0"/>
          <w:numId w:val="0"/>
        </w:numPr>
        <w:ind w:left="1440"/>
        <w:rPr>
          <w:i/>
        </w:rPr>
      </w:pPr>
      <w:r w:rsidRPr="00B53423">
        <w:rPr>
          <w:i/>
        </w:rPr>
        <w:t xml:space="preserve">“The Commission directs the Petitioner to formulate a policy for identifying and writing off fictitious arrears and submit a copy of such report before the Commission.” </w:t>
      </w:r>
      <w:r w:rsidRPr="00B53423">
        <w:t>(</w:t>
      </w:r>
      <w:proofErr w:type="gramStart"/>
      <w:r w:rsidRPr="00B53423">
        <w:t>within</w:t>
      </w:r>
      <w:proofErr w:type="gramEnd"/>
      <w:r w:rsidRPr="00B53423">
        <w:t xml:space="preserve"> six months from the date of issue of True-up Order).</w:t>
      </w:r>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numPr>
          <w:ilvl w:val="0"/>
          <w:numId w:val="0"/>
        </w:numPr>
        <w:ind w:left="450"/>
        <w:rPr>
          <w:b/>
        </w:rPr>
      </w:pPr>
      <w:r w:rsidRPr="00B53423">
        <w:rPr>
          <w:b/>
        </w:rPr>
        <w:t>Tariff Order for FY 2013-14 dated 31</w:t>
      </w:r>
      <w:r w:rsidRPr="00B53423">
        <w:rPr>
          <w:b/>
          <w:vertAlign w:val="superscript"/>
        </w:rPr>
        <w:t>st</w:t>
      </w:r>
      <w:r w:rsidRPr="00B53423">
        <w:rPr>
          <w:b/>
        </w:rPr>
        <w:t xml:space="preserve"> May, 2013</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1440"/>
      </w:pPr>
      <w:r w:rsidRPr="00B53423">
        <w:rPr>
          <w:i/>
        </w:rPr>
        <w:t>“As lack of approved transparent policy on identifying and writing off bad debts is hindering allowance of bad debts as an ARR component; the Commission directs the Licensee to submit ten sample cases of LT &amp; HT consumers where orders have been issued for writing off bad debts, clearly depicting the procedure adopted for writing off bad debts along with policy framework for managing bad debts for the Commission’s perusal.”</w:t>
      </w:r>
      <w:r w:rsidRPr="00B53423">
        <w:t xml:space="preserve"> (</w:t>
      </w:r>
      <w:proofErr w:type="gramStart"/>
      <w:r w:rsidRPr="00B53423">
        <w:t>within</w:t>
      </w:r>
      <w:proofErr w:type="gramEnd"/>
      <w:r w:rsidRPr="00B53423">
        <w:t xml:space="preserve"> one month from the date of issuance of the Order.)</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Commission vide its deficiency note has enquired from the Petitioner about the policy followed by it to identify and write off bad debts. In its reply, the Petitioner submitted that it has provided for provision for bad and doubtful debts at 15% of the incremental receivables. However, it was observed that the Petitioner has submitted the approach for creation of provision of bad debts instead of the policy followed by it for identification of actual bad debts and writing off the same. The Commission in its additional queries reiterated that the Petitioner is required to submit the policy followed by it for identification and writing off actual bad debts at the earliest. In reply to the same the Petitioner submitted that it has recently framed a policy for identifying and writing off old arrears which has been provided to the Commission along with the replies and appropriate directions have been issued to the field units to compile the sample cases based on this recently issued Order of the Petitioner. However, from the Regulations it is ample clear that the Petitioner is required to submit its policy for identifying and writing off doubtful debts to the Commission for prior approval which the Petitioner has not done.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Regulation 4.4 of the Distribution Tariff Regulations, 2006 specifies as follows:</w:t>
      </w:r>
    </w:p>
    <w:p w:rsidR="004C74C2" w:rsidRPr="00B53423" w:rsidRDefault="004C74C2" w:rsidP="0015232B">
      <w:pPr>
        <w:pStyle w:val="Heading3"/>
        <w:keepNext w:val="0"/>
        <w:numPr>
          <w:ilvl w:val="0"/>
          <w:numId w:val="0"/>
        </w:numPr>
        <w:ind w:left="720"/>
        <w:rPr>
          <w:i/>
        </w:rPr>
      </w:pPr>
    </w:p>
    <w:p w:rsidR="004C74C2" w:rsidRPr="00B53423" w:rsidRDefault="004C74C2" w:rsidP="0015232B">
      <w:pPr>
        <w:pStyle w:val="Heading3"/>
        <w:keepNext w:val="0"/>
        <w:numPr>
          <w:ilvl w:val="0"/>
          <w:numId w:val="0"/>
        </w:numPr>
        <w:ind w:left="1440"/>
        <w:rPr>
          <w:b/>
          <w:i/>
        </w:rPr>
      </w:pPr>
      <w:r w:rsidRPr="00B53423">
        <w:rPr>
          <w:b/>
          <w:i/>
        </w:rPr>
        <w:t>“4.4 Bad and Doubtful Debts:</w:t>
      </w:r>
    </w:p>
    <w:p w:rsidR="004C74C2" w:rsidRPr="00B53423" w:rsidRDefault="004C74C2" w:rsidP="0015232B">
      <w:pPr>
        <w:pStyle w:val="Heading3"/>
        <w:keepNext w:val="0"/>
        <w:numPr>
          <w:ilvl w:val="0"/>
          <w:numId w:val="0"/>
        </w:numPr>
        <w:ind w:left="1440"/>
        <w:rPr>
          <w:i/>
        </w:rPr>
      </w:pPr>
    </w:p>
    <w:p w:rsidR="004C74C2" w:rsidRPr="00B53423" w:rsidRDefault="004C74C2" w:rsidP="0015232B">
      <w:pPr>
        <w:pStyle w:val="Heading3"/>
        <w:keepNext w:val="0"/>
        <w:numPr>
          <w:ilvl w:val="0"/>
          <w:numId w:val="0"/>
        </w:numPr>
        <w:ind w:left="1440"/>
        <w:rPr>
          <w:i/>
        </w:rPr>
      </w:pPr>
      <w:r w:rsidRPr="00B53423">
        <w:rPr>
          <w:i/>
        </w:rPr>
        <w:t xml:space="preserve">Bad and Doubtful Debts shall be allowed as a legitimate business expense with the ceiling limit of 2% of the revenue receivables provided the distribution licensee actually identifies and writes off bad debts </w:t>
      </w:r>
      <w:r w:rsidRPr="00B53423">
        <w:rPr>
          <w:b/>
          <w:i/>
        </w:rPr>
        <w:t>as per the transparent policy approved by the Commission</w:t>
      </w:r>
      <w:r w:rsidRPr="00B53423">
        <w:rPr>
          <w:i/>
        </w:rPr>
        <w:t>. In case there is any recovery of bad debts already written off, the recovered bad debt will be treated as other income.”</w:t>
      </w:r>
      <w:r w:rsidRPr="00B53423">
        <w:rPr>
          <w:b/>
          <w:i/>
        </w:rPr>
        <w:t>(Emphasis added)</w:t>
      </w:r>
    </w:p>
    <w:p w:rsidR="004C74C2" w:rsidRPr="00B53423" w:rsidRDefault="004C74C2" w:rsidP="0015232B">
      <w:pPr>
        <w:pStyle w:val="Heading3"/>
        <w:keepNext w:val="0"/>
        <w:numPr>
          <w:ilvl w:val="0"/>
          <w:numId w:val="0"/>
        </w:numPr>
        <w:ind w:left="720"/>
        <w:rPr>
          <w:i/>
        </w:rPr>
      </w:pPr>
    </w:p>
    <w:p w:rsidR="004C74C2" w:rsidRPr="00B53423" w:rsidRDefault="004C74C2" w:rsidP="0015232B">
      <w:pPr>
        <w:pStyle w:val="Heading3"/>
        <w:keepNext w:val="0"/>
        <w:ind w:hanging="1080"/>
      </w:pPr>
      <w:r w:rsidRPr="00B53423">
        <w:t>The Commission in the Tariff Order dated 9</w:t>
      </w:r>
      <w:r w:rsidRPr="00B53423">
        <w:rPr>
          <w:vertAlign w:val="superscript"/>
        </w:rPr>
        <w:t>th</w:t>
      </w:r>
      <w:r w:rsidRPr="00B53423">
        <w:t xml:space="preserve"> July, 2008 in Petition No. 487 and 510 of 2007 for FY 2008-09 had disallowed the claims towards provision for bad and doubtful debts due to the absence of a clear policy and procedure for identifying and writing off receivables. Any provisioning towards bad and doubtful debts needs to be backed up with processes to identify consumers who are not paying up and then making adequate attempts to collect from such consumers. Further, the above Regulations provide for prior approval of the Commission of the transparent policy for identification of bad and doubtful debts, which the Petitioner has not taken.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bookmarkStart w:id="443" w:name="_Ref396854191"/>
      <w:r w:rsidRPr="00B53423">
        <w:t>Thus, in accordance with the Distribution Tariff Regulations, 2006, guidelines and procedures for identifying, physically verifying and writing off the bad debts is a must for approval of provision for bad debts. Since, the Petitioner is yet to satisfy the Commission of the sincere and concerted efforts to comply with the Commission’s directives in this regards, hence, the Commission is not giving any allowance for bad debts for FY 2008-09 during the final truing up exercise for FY 2008-09.</w:t>
      </w:r>
      <w:bookmarkEnd w:id="443"/>
    </w:p>
    <w:p w:rsidR="004C74C2" w:rsidRPr="00B53423" w:rsidRDefault="004C74C2" w:rsidP="0015232B">
      <w:pPr>
        <w:pStyle w:val="ListParagraph"/>
        <w:ind w:left="180"/>
      </w:pPr>
    </w:p>
    <w:p w:rsidR="004C74C2" w:rsidRPr="00B53423" w:rsidRDefault="004C74C2" w:rsidP="0015232B">
      <w:pPr>
        <w:pStyle w:val="Heading3"/>
        <w:keepNext w:val="0"/>
        <w:ind w:hanging="1080"/>
      </w:pPr>
      <w:bookmarkStart w:id="444" w:name="_Ref396852059"/>
      <w:r w:rsidRPr="00B53423">
        <w:t>Therefore, in the absence of proper policy in place for identifying and writing off receivables, the Commission disallows the claims towards provision for bad and doubtful debts as shown in the Table below:</w:t>
      </w:r>
      <w:bookmarkEnd w:id="444"/>
    </w:p>
    <w:p w:rsidR="004C74C2" w:rsidRPr="00B53423" w:rsidRDefault="004C74C2" w:rsidP="0015232B">
      <w:pPr>
        <w:pStyle w:val="ListParagraph"/>
        <w:ind w:left="180"/>
      </w:pPr>
    </w:p>
    <w:p w:rsidR="004C74C2" w:rsidRPr="00B53423" w:rsidRDefault="004C74C2" w:rsidP="0015232B">
      <w:pPr>
        <w:spacing w:before="240"/>
        <w:jc w:val="center"/>
        <w:rPr>
          <w:rFonts w:asciiTheme="minorHAnsi" w:hAnsiTheme="minorHAnsi" w:cstheme="minorHAnsi"/>
          <w:b/>
        </w:rPr>
      </w:pPr>
      <w:bookmarkStart w:id="445" w:name="_Toc399626332"/>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21</w:t>
      </w:r>
      <w:r w:rsidR="005D68E7" w:rsidRPr="00B53423">
        <w:rPr>
          <w:rFonts w:asciiTheme="minorHAnsi" w:hAnsiTheme="minorHAnsi" w:cstheme="minorHAnsi"/>
          <w:b/>
        </w:rPr>
        <w:fldChar w:fldCharType="end"/>
      </w:r>
      <w:r w:rsidRPr="00B53423">
        <w:rPr>
          <w:rFonts w:asciiTheme="minorHAnsi" w:hAnsiTheme="minorHAnsi" w:cstheme="minorHAnsi"/>
          <w:b/>
        </w:rPr>
        <w:t>: PROVISION FOR BAD AND DOUBTFUL DEBT FOR FY 2008-09 (Rs. Crore)</w:t>
      </w:r>
      <w:bookmarkEnd w:id="445"/>
    </w:p>
    <w:tbl>
      <w:tblPr>
        <w:tblW w:w="8735" w:type="dxa"/>
        <w:tblInd w:w="103" w:type="dxa"/>
        <w:tblLook w:val="04A0"/>
      </w:tblPr>
      <w:tblGrid>
        <w:gridCol w:w="3695"/>
        <w:gridCol w:w="1080"/>
        <w:gridCol w:w="1350"/>
        <w:gridCol w:w="1170"/>
        <w:gridCol w:w="1440"/>
      </w:tblGrid>
      <w:tr w:rsidR="004C74C2" w:rsidRPr="00B53423" w:rsidTr="009268E4">
        <w:trPr>
          <w:trHeight w:val="900"/>
          <w:tblHeader/>
        </w:trPr>
        <w:tc>
          <w:tcPr>
            <w:tcW w:w="3695"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08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35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4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695"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Provision for Bad and Doubtful Debts</w:t>
            </w:r>
          </w:p>
        </w:tc>
        <w:tc>
          <w:tcPr>
            <w:tcW w:w="108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0.00</w:t>
            </w:r>
          </w:p>
        </w:tc>
        <w:tc>
          <w:tcPr>
            <w:tcW w:w="135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43.15</w:t>
            </w:r>
          </w:p>
        </w:tc>
        <w:tc>
          <w:tcPr>
            <w:tcW w:w="117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48.27</w:t>
            </w:r>
          </w:p>
        </w:tc>
        <w:tc>
          <w:tcPr>
            <w:tcW w:w="14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0.00</w:t>
            </w:r>
          </w:p>
        </w:tc>
      </w:tr>
    </w:tbl>
    <w:p w:rsidR="004C74C2" w:rsidRPr="00B53423" w:rsidRDefault="004C74C2" w:rsidP="0015232B">
      <w:pPr>
        <w:pStyle w:val="Heading2"/>
        <w:keepNext w:val="0"/>
        <w:numPr>
          <w:ilvl w:val="0"/>
          <w:numId w:val="0"/>
        </w:numPr>
        <w:ind w:left="450"/>
      </w:pPr>
    </w:p>
    <w:p w:rsidR="004C74C2" w:rsidRPr="00B53423" w:rsidRDefault="004C74C2" w:rsidP="0015232B">
      <w:pPr>
        <w:pStyle w:val="Heading2"/>
        <w:keepNext w:val="0"/>
        <w:ind w:left="720" w:hanging="1080"/>
        <w:rPr>
          <w:caps/>
        </w:rPr>
      </w:pPr>
      <w:bookmarkStart w:id="446" w:name="_Toc399626173"/>
      <w:r w:rsidRPr="00B53423">
        <w:rPr>
          <w:caps/>
        </w:rPr>
        <w:t>Return on equity</w:t>
      </w:r>
      <w:bookmarkEnd w:id="446"/>
    </w:p>
    <w:p w:rsidR="004C74C2" w:rsidRPr="00B53423" w:rsidRDefault="004C74C2" w:rsidP="0015232B">
      <w:pPr>
        <w:pStyle w:val="Heading2"/>
        <w:keepNext w:val="0"/>
        <w:numPr>
          <w:ilvl w:val="0"/>
          <w:numId w:val="0"/>
        </w:numPr>
        <w:ind w:left="450"/>
        <w:rPr>
          <w:caps/>
        </w:rPr>
      </w:pPr>
    </w:p>
    <w:p w:rsidR="004C74C2" w:rsidRPr="00B53423" w:rsidRDefault="004C74C2" w:rsidP="0015232B">
      <w:pPr>
        <w:pStyle w:val="Heading3"/>
        <w:keepNext w:val="0"/>
        <w:ind w:hanging="1080"/>
        <w:rPr>
          <w:rFonts w:cs="Arial"/>
          <w:szCs w:val="26"/>
        </w:rPr>
      </w:pPr>
      <w:bookmarkStart w:id="447" w:name="_Toc357349099"/>
      <w:bookmarkStart w:id="448" w:name="_Toc357356158"/>
      <w:r w:rsidRPr="00B53423">
        <w:t>The Petitioner has not claimed any return on equity for the year under review. The Petitioner has stated that it does not want to burden the consumers by proposing return on equity as it will further increase the gap. Hence, agreeing with the Petitioner’s submission in this regards, the Commission has also not allowed any amounts towards return on equity for FY 2008-09</w:t>
      </w:r>
      <w:r w:rsidRPr="00B53423">
        <w:rPr>
          <w:rFonts w:cs="Arial"/>
          <w:szCs w:val="26"/>
        </w:rPr>
        <w:t>.</w:t>
      </w:r>
      <w:bookmarkEnd w:id="447"/>
      <w:bookmarkEnd w:id="448"/>
    </w:p>
    <w:p w:rsidR="004C74C2" w:rsidRPr="00B53423" w:rsidRDefault="004C74C2" w:rsidP="0015232B">
      <w:pPr>
        <w:pStyle w:val="Heading3"/>
        <w:keepNext w:val="0"/>
        <w:numPr>
          <w:ilvl w:val="0"/>
          <w:numId w:val="0"/>
        </w:numPr>
        <w:ind w:left="720"/>
        <w:rPr>
          <w:rFonts w:cs="Arial"/>
          <w:szCs w:val="26"/>
        </w:rPr>
      </w:pPr>
    </w:p>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449" w:name="_Toc399626174"/>
      <w:r w:rsidRPr="00B53423">
        <w:t>REVENUE SIDE TRUING UP</w:t>
      </w:r>
      <w:bookmarkEnd w:id="449"/>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numPr>
          <w:ilvl w:val="0"/>
          <w:numId w:val="0"/>
        </w:numPr>
        <w:ind w:left="450" w:firstLine="270"/>
        <w:rPr>
          <w:b/>
        </w:rPr>
      </w:pPr>
      <w:r w:rsidRPr="00B53423">
        <w:rPr>
          <w:b/>
        </w:rPr>
        <w:t>NON TARIFF INCOMES</w:t>
      </w:r>
    </w:p>
    <w:p w:rsidR="004C74C2" w:rsidRPr="00B53423" w:rsidRDefault="004C74C2" w:rsidP="0015232B">
      <w:pPr>
        <w:pStyle w:val="Heading3"/>
        <w:keepNext w:val="0"/>
        <w:numPr>
          <w:ilvl w:val="0"/>
          <w:numId w:val="0"/>
        </w:numPr>
        <w:ind w:left="450" w:hanging="450"/>
        <w:rPr>
          <w:b/>
        </w:rPr>
      </w:pPr>
    </w:p>
    <w:p w:rsidR="004C74C2" w:rsidRPr="00B53423" w:rsidRDefault="004C74C2" w:rsidP="0015232B">
      <w:pPr>
        <w:pStyle w:val="Heading3"/>
        <w:keepNext w:val="0"/>
        <w:ind w:hanging="1080"/>
      </w:pPr>
      <w:r w:rsidRPr="00B53423">
        <w:t>The Petitioner submitted that the actual Non-Tariff income earned by it in FY 2008-09 is Rs. 4.74 Crore against the projection of Rs. 3.03 Crore approved by the Commission in the Tariff Order dated 9</w:t>
      </w:r>
      <w:r w:rsidRPr="00B53423">
        <w:rPr>
          <w:vertAlign w:val="superscript"/>
        </w:rPr>
        <w:t>th</w:t>
      </w:r>
      <w:r w:rsidRPr="00B53423">
        <w:t xml:space="preserve"> July, 2008 in Petition No. 487 and 510 of 2007.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regards the Commission’s query regarding detailed break-up of Non-Tariff Income the Petitioner has submitted as follows:</w:t>
      </w:r>
    </w:p>
    <w:p w:rsidR="004C74C2" w:rsidRPr="00B53423" w:rsidRDefault="004C74C2" w:rsidP="0015232B">
      <w:pPr>
        <w:rPr>
          <w:rFonts w:cs="Arial"/>
          <w:szCs w:val="26"/>
        </w:rPr>
      </w:pPr>
    </w:p>
    <w:p w:rsidR="004C74C2" w:rsidRPr="00B53423" w:rsidRDefault="004C74C2" w:rsidP="0015232B">
      <w:pPr>
        <w:spacing w:before="240"/>
        <w:ind w:left="450"/>
        <w:jc w:val="center"/>
        <w:rPr>
          <w:rFonts w:asciiTheme="minorHAnsi" w:hAnsiTheme="minorHAnsi" w:cstheme="minorHAnsi"/>
          <w:b/>
        </w:rPr>
      </w:pPr>
      <w:bookmarkStart w:id="450" w:name="_Toc399626333"/>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22</w:t>
      </w:r>
      <w:r w:rsidR="005D68E7" w:rsidRPr="00B53423">
        <w:rPr>
          <w:rFonts w:asciiTheme="minorHAnsi" w:hAnsiTheme="minorHAnsi" w:cstheme="minorHAnsi"/>
          <w:b/>
        </w:rPr>
        <w:fldChar w:fldCharType="end"/>
      </w:r>
      <w:r w:rsidRPr="00B53423">
        <w:rPr>
          <w:rFonts w:asciiTheme="minorHAnsi" w:hAnsiTheme="minorHAnsi" w:cstheme="minorHAnsi"/>
          <w:b/>
        </w:rPr>
        <w:t>: NON TARIFF INCOME (Rs. Crore)</w:t>
      </w:r>
      <w:bookmarkEnd w:id="450"/>
    </w:p>
    <w:tbl>
      <w:tblPr>
        <w:tblW w:w="7690" w:type="dxa"/>
        <w:jc w:val="center"/>
        <w:tblInd w:w="-15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584"/>
        <w:gridCol w:w="2106"/>
      </w:tblGrid>
      <w:tr w:rsidR="004C74C2" w:rsidRPr="00B53423" w:rsidTr="009268E4">
        <w:trPr>
          <w:trHeight w:val="300"/>
          <w:tblHeader/>
          <w:jc w:val="center"/>
        </w:trPr>
        <w:tc>
          <w:tcPr>
            <w:tcW w:w="5584" w:type="dxa"/>
            <w:shd w:val="clear" w:color="auto" w:fill="DBE5F1" w:themeFill="accent1" w:themeFillTint="33"/>
            <w:vAlign w:val="center"/>
            <w:hideMark/>
          </w:tcPr>
          <w:p w:rsidR="004C74C2" w:rsidRPr="00B53423" w:rsidRDefault="004C74C2" w:rsidP="0015232B">
            <w:pPr>
              <w:spacing w:before="0" w:line="240" w:lineRule="auto"/>
              <w:jc w:val="center"/>
              <w:rPr>
                <w:b/>
                <w:bCs/>
              </w:rPr>
            </w:pPr>
            <w:r w:rsidRPr="00B53423">
              <w:rPr>
                <w:b/>
                <w:bCs/>
              </w:rPr>
              <w:t>Particulars</w:t>
            </w:r>
          </w:p>
        </w:tc>
        <w:tc>
          <w:tcPr>
            <w:tcW w:w="2106" w:type="dxa"/>
            <w:shd w:val="clear" w:color="auto" w:fill="DBE5F1" w:themeFill="accent1" w:themeFillTint="33"/>
            <w:noWrap/>
            <w:vAlign w:val="center"/>
            <w:hideMark/>
          </w:tcPr>
          <w:p w:rsidR="004C74C2" w:rsidRPr="00B53423" w:rsidRDefault="004C74C2" w:rsidP="0015232B">
            <w:pPr>
              <w:spacing w:before="0" w:line="240" w:lineRule="auto"/>
              <w:jc w:val="center"/>
              <w:rPr>
                <w:b/>
                <w:bCs/>
              </w:rPr>
            </w:pPr>
            <w:r w:rsidRPr="00B53423">
              <w:rPr>
                <w:b/>
                <w:bCs/>
              </w:rPr>
              <w:t>FY 2008-09</w:t>
            </w:r>
          </w:p>
        </w:tc>
      </w:tr>
      <w:tr w:rsidR="004C74C2" w:rsidRPr="00B53423" w:rsidTr="009268E4">
        <w:trPr>
          <w:trHeight w:val="288"/>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Interest from FDR including TDS amount</w:t>
            </w:r>
          </w:p>
        </w:tc>
        <w:tc>
          <w:tcPr>
            <w:tcW w:w="2106" w:type="dxa"/>
            <w:shd w:val="clear" w:color="auto" w:fill="auto"/>
            <w:noWrap/>
            <w:vAlign w:val="center"/>
            <w:hideMark/>
          </w:tcPr>
          <w:p w:rsidR="004C74C2" w:rsidRPr="00B53423" w:rsidRDefault="004C74C2" w:rsidP="0015232B">
            <w:pPr>
              <w:spacing w:before="0" w:line="240" w:lineRule="auto"/>
              <w:ind w:right="691"/>
              <w:jc w:val="right"/>
              <w:rPr>
                <w:rFonts w:cs="Arial"/>
                <w:b/>
                <w:bCs/>
                <w:color w:val="333399"/>
                <w:kern w:val="32"/>
                <w:szCs w:val="26"/>
              </w:rPr>
            </w:pPr>
            <w:r w:rsidRPr="00B53423">
              <w:rPr>
                <w:rFonts w:cs="Arial"/>
                <w:szCs w:val="26"/>
              </w:rPr>
              <w:t>0.33</w:t>
            </w:r>
          </w:p>
        </w:tc>
      </w:tr>
      <w:tr w:rsidR="004C74C2" w:rsidRPr="00B53423" w:rsidTr="009268E4">
        <w:trPr>
          <w:trHeight w:val="144"/>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Reconnection and Disconnection Fees</w:t>
            </w:r>
          </w:p>
        </w:tc>
        <w:tc>
          <w:tcPr>
            <w:tcW w:w="2106" w:type="dxa"/>
            <w:shd w:val="clear" w:color="auto" w:fill="auto"/>
            <w:noWrap/>
            <w:vAlign w:val="center"/>
            <w:hideMark/>
          </w:tcPr>
          <w:p w:rsidR="004C74C2" w:rsidRPr="00B53423" w:rsidRDefault="004C74C2" w:rsidP="0015232B">
            <w:pPr>
              <w:spacing w:before="0" w:line="240" w:lineRule="auto"/>
              <w:ind w:right="691"/>
              <w:jc w:val="right"/>
              <w:rPr>
                <w:rFonts w:cs="Arial"/>
                <w:b/>
                <w:bCs/>
                <w:color w:val="333399"/>
                <w:kern w:val="32"/>
                <w:szCs w:val="26"/>
              </w:rPr>
            </w:pPr>
            <w:r w:rsidRPr="00B53423">
              <w:rPr>
                <w:rFonts w:cs="Arial"/>
                <w:szCs w:val="26"/>
              </w:rPr>
              <w:t>-</w:t>
            </w:r>
          </w:p>
        </w:tc>
      </w:tr>
      <w:tr w:rsidR="004C74C2" w:rsidRPr="00B53423" w:rsidTr="009268E4">
        <w:trPr>
          <w:trHeight w:val="26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Other Recoveries from consumers</w:t>
            </w:r>
          </w:p>
        </w:tc>
        <w:tc>
          <w:tcPr>
            <w:tcW w:w="2106" w:type="dxa"/>
            <w:shd w:val="clear" w:color="auto" w:fill="auto"/>
            <w:noWrap/>
            <w:vAlign w:val="center"/>
            <w:hideMark/>
          </w:tcPr>
          <w:p w:rsidR="004C74C2" w:rsidRPr="00B53423" w:rsidRDefault="004C74C2" w:rsidP="0015232B">
            <w:pPr>
              <w:spacing w:before="0" w:line="240" w:lineRule="auto"/>
              <w:ind w:right="691"/>
              <w:jc w:val="right"/>
              <w:rPr>
                <w:rFonts w:cs="Arial"/>
                <w:b/>
                <w:bCs/>
                <w:color w:val="333399"/>
                <w:kern w:val="32"/>
                <w:szCs w:val="26"/>
              </w:rPr>
            </w:pPr>
            <w:r w:rsidRPr="00B53423">
              <w:rPr>
                <w:rFonts w:cs="Arial"/>
                <w:szCs w:val="26"/>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Recoveries from Theft/Malpractices</w:t>
            </w:r>
          </w:p>
        </w:tc>
        <w:tc>
          <w:tcPr>
            <w:tcW w:w="2106" w:type="dxa"/>
            <w:shd w:val="clear" w:color="auto" w:fill="auto"/>
            <w:noWrap/>
            <w:vAlign w:val="center"/>
            <w:hideMark/>
          </w:tcPr>
          <w:p w:rsidR="004C74C2" w:rsidRPr="00B53423" w:rsidRDefault="004C74C2" w:rsidP="0015232B">
            <w:pPr>
              <w:spacing w:before="0" w:line="240" w:lineRule="auto"/>
              <w:ind w:right="691"/>
              <w:jc w:val="right"/>
              <w:rPr>
                <w:rFonts w:cs="Arial"/>
                <w:b/>
                <w:bCs/>
                <w:color w:val="333399"/>
                <w:kern w:val="32"/>
                <w:szCs w:val="26"/>
              </w:rPr>
            </w:pPr>
            <w:r w:rsidRPr="00B53423">
              <w:rPr>
                <w:rFonts w:cs="Arial"/>
                <w:szCs w:val="26"/>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Other Charges from Consumers</w:t>
            </w:r>
          </w:p>
        </w:tc>
        <w:tc>
          <w:tcPr>
            <w:tcW w:w="2106" w:type="dxa"/>
            <w:shd w:val="clear" w:color="auto" w:fill="auto"/>
            <w:noWrap/>
            <w:vAlign w:val="center"/>
            <w:hideMark/>
          </w:tcPr>
          <w:p w:rsidR="004C74C2" w:rsidRPr="00B53423" w:rsidRDefault="004C74C2" w:rsidP="0015232B">
            <w:pPr>
              <w:spacing w:before="0" w:line="240" w:lineRule="auto"/>
              <w:ind w:right="691"/>
              <w:jc w:val="right"/>
              <w:rPr>
                <w:rFonts w:cs="Arial"/>
                <w:b/>
                <w:bCs/>
                <w:color w:val="333399"/>
                <w:kern w:val="32"/>
                <w:szCs w:val="26"/>
              </w:rPr>
            </w:pPr>
            <w:r w:rsidRPr="00B53423">
              <w:rPr>
                <w:rFonts w:cs="Arial"/>
                <w:szCs w:val="26"/>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Misc Income</w:t>
            </w:r>
          </w:p>
        </w:tc>
        <w:tc>
          <w:tcPr>
            <w:tcW w:w="2106" w:type="dxa"/>
            <w:shd w:val="clear" w:color="auto" w:fill="auto"/>
            <w:noWrap/>
            <w:vAlign w:val="center"/>
            <w:hideMark/>
          </w:tcPr>
          <w:p w:rsidR="004C74C2" w:rsidRPr="00B53423" w:rsidRDefault="004C74C2" w:rsidP="0015232B">
            <w:pPr>
              <w:spacing w:before="0" w:line="240" w:lineRule="auto"/>
              <w:ind w:right="691"/>
              <w:jc w:val="right"/>
              <w:rPr>
                <w:rFonts w:cs="Arial"/>
                <w:b/>
                <w:bCs/>
                <w:color w:val="333399"/>
                <w:kern w:val="32"/>
                <w:szCs w:val="26"/>
              </w:rPr>
            </w:pPr>
            <w:r w:rsidRPr="00B53423">
              <w:rPr>
                <w:rFonts w:cs="Arial"/>
                <w:szCs w:val="26"/>
              </w:rPr>
              <w:t>4.41</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Other Non-Operating Income</w:t>
            </w:r>
          </w:p>
        </w:tc>
        <w:tc>
          <w:tcPr>
            <w:tcW w:w="2106" w:type="dxa"/>
            <w:shd w:val="clear" w:color="auto" w:fill="auto"/>
            <w:noWrap/>
            <w:vAlign w:val="center"/>
            <w:hideMark/>
          </w:tcPr>
          <w:p w:rsidR="004C74C2" w:rsidRPr="00B53423" w:rsidRDefault="004C74C2" w:rsidP="0015232B">
            <w:pPr>
              <w:spacing w:before="0" w:line="240" w:lineRule="auto"/>
              <w:ind w:right="691"/>
              <w:jc w:val="right"/>
              <w:rPr>
                <w:rFonts w:cs="Arial"/>
                <w:b/>
                <w:bCs/>
                <w:color w:val="333399"/>
                <w:kern w:val="32"/>
                <w:szCs w:val="26"/>
              </w:rPr>
            </w:pPr>
            <w:r w:rsidRPr="00B53423">
              <w:rPr>
                <w:rFonts w:cs="Arial"/>
                <w:szCs w:val="26"/>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b/>
                <w:color w:val="000000"/>
              </w:rPr>
            </w:pPr>
            <w:r w:rsidRPr="00B53423">
              <w:rPr>
                <w:color w:val="000000"/>
              </w:rPr>
              <w:t> </w:t>
            </w:r>
            <w:r w:rsidRPr="00B53423">
              <w:rPr>
                <w:b/>
                <w:color w:val="000000"/>
              </w:rPr>
              <w:t>Total NTI</w:t>
            </w:r>
          </w:p>
        </w:tc>
        <w:tc>
          <w:tcPr>
            <w:tcW w:w="2106" w:type="dxa"/>
            <w:shd w:val="clear" w:color="auto" w:fill="auto"/>
            <w:noWrap/>
            <w:vAlign w:val="center"/>
            <w:hideMark/>
          </w:tcPr>
          <w:p w:rsidR="004C74C2" w:rsidRPr="00B53423" w:rsidRDefault="004C74C2" w:rsidP="0015232B">
            <w:pPr>
              <w:spacing w:before="0" w:line="240" w:lineRule="auto"/>
              <w:ind w:right="691"/>
              <w:jc w:val="right"/>
              <w:rPr>
                <w:b/>
                <w:bCs/>
                <w:color w:val="000000"/>
                <w:kern w:val="32"/>
                <w:szCs w:val="32"/>
              </w:rPr>
            </w:pPr>
            <w:r w:rsidRPr="00B53423">
              <w:rPr>
                <w:b/>
                <w:bCs/>
                <w:color w:val="000000"/>
              </w:rPr>
              <w:t>4.74</w:t>
            </w:r>
          </w:p>
        </w:tc>
      </w:tr>
    </w:tbl>
    <w:p w:rsidR="004C74C2" w:rsidRPr="00B53423" w:rsidRDefault="004C74C2" w:rsidP="0015232B">
      <w:pPr>
        <w:spacing w:before="0"/>
        <w:rPr>
          <w:rFonts w:cs="Arial"/>
        </w:rPr>
      </w:pPr>
    </w:p>
    <w:p w:rsidR="004C74C2" w:rsidRPr="00B53423" w:rsidRDefault="004C74C2" w:rsidP="0015232B">
      <w:pPr>
        <w:pStyle w:val="Heading3"/>
        <w:keepNext w:val="0"/>
        <w:ind w:hanging="1080"/>
      </w:pPr>
      <w:r w:rsidRPr="00B53423">
        <w:t>The Commission has accepted the submission of the Petitioner, under this head and has accordingly approved Non-Tariff Income of Rs. 4.47 Crore for Truing up of FY 2008-09.</w:t>
      </w:r>
    </w:p>
    <w:p w:rsidR="004C74C2" w:rsidRPr="00B53423" w:rsidRDefault="004C74C2" w:rsidP="0015232B">
      <w:pPr>
        <w:spacing w:before="240"/>
      </w:pPr>
    </w:p>
    <w:p w:rsidR="004C74C2" w:rsidRPr="00B53423" w:rsidRDefault="004C74C2" w:rsidP="0015232B">
      <w:pPr>
        <w:pStyle w:val="Heading3"/>
        <w:keepNext w:val="0"/>
        <w:numPr>
          <w:ilvl w:val="0"/>
          <w:numId w:val="0"/>
        </w:numPr>
        <w:ind w:left="720"/>
        <w:rPr>
          <w:b/>
        </w:rPr>
      </w:pPr>
      <w:r w:rsidRPr="00B53423">
        <w:rPr>
          <w:b/>
        </w:rPr>
        <w:t>REVENUE FROM SALE OF POWER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Audited Accounts, the delayed payment surcharge has been included as part of Other Incomes, however for the purpose of True-up it has included delayed payment surcharge as part of revenue from sale of power.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for FY 2008-09 the Commission had projected revenue from sale of power of Rs. 785.73 Crore for FY 2008-09. The Petitioner further submitted that as per the Audited Accounts the actual revenue from sale of power is Rs. 841.12 Crore (including Rs. 43.44 Crore towards delayed payment surcharge) towards electricity sales of 1,964.42 MU.</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The Commission has accepted the revenue from sale of power as submitted by the Petitioner after verifying the same from the Audited Accounts of FY 2008-09 and has accordingly approved actual revenue of Rs. 841.12 Crore including delayed payment surcharge towards sales of 1964.42 MU. The summary of revenue approved in the Tariff Order, that claimed by the Petitioner and that approved by the Commission in this Order for Truing up of FY 2008-09 is shown in the Table below:</w:t>
      </w:r>
    </w:p>
    <w:p w:rsidR="004C74C2" w:rsidRPr="00B53423" w:rsidRDefault="004C74C2" w:rsidP="0015232B">
      <w:pPr>
        <w:rPr>
          <w:rFonts w:cs="Arial"/>
          <w:szCs w:val="26"/>
        </w:rPr>
      </w:pPr>
    </w:p>
    <w:p w:rsidR="004C74C2" w:rsidRPr="00B53423" w:rsidRDefault="004C74C2" w:rsidP="0015232B">
      <w:pPr>
        <w:spacing w:before="240"/>
        <w:ind w:firstLine="720"/>
        <w:jc w:val="center"/>
        <w:rPr>
          <w:rFonts w:asciiTheme="minorHAnsi" w:hAnsiTheme="minorHAnsi" w:cstheme="minorHAnsi"/>
          <w:b/>
        </w:rPr>
      </w:pPr>
      <w:bookmarkStart w:id="451" w:name="_Toc399626334"/>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23</w:t>
      </w:r>
      <w:r w:rsidR="005D68E7" w:rsidRPr="00B53423">
        <w:rPr>
          <w:rFonts w:asciiTheme="minorHAnsi" w:hAnsiTheme="minorHAnsi" w:cstheme="minorHAnsi"/>
          <w:b/>
        </w:rPr>
        <w:fldChar w:fldCharType="end"/>
      </w:r>
      <w:r w:rsidRPr="00B53423">
        <w:rPr>
          <w:rFonts w:asciiTheme="minorHAnsi" w:hAnsiTheme="minorHAnsi" w:cstheme="minorHAnsi"/>
          <w:b/>
        </w:rPr>
        <w:t>: REVENUE FOR FY 2008-09 (Rs. Crore)</w:t>
      </w:r>
      <w:bookmarkEnd w:id="451"/>
    </w:p>
    <w:tbl>
      <w:tblPr>
        <w:tblW w:w="7720" w:type="dxa"/>
        <w:tblInd w:w="720" w:type="dxa"/>
        <w:tblLook w:val="04A0"/>
      </w:tblPr>
      <w:tblGrid>
        <w:gridCol w:w="2760"/>
        <w:gridCol w:w="1240"/>
        <w:gridCol w:w="1240"/>
        <w:gridCol w:w="1240"/>
        <w:gridCol w:w="1240"/>
      </w:tblGrid>
      <w:tr w:rsidR="004C74C2" w:rsidRPr="00B53423" w:rsidTr="009268E4">
        <w:trPr>
          <w:trHeight w:val="900"/>
          <w:tblHeader/>
        </w:trPr>
        <w:tc>
          <w:tcPr>
            <w:tcW w:w="276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Revenue from Tariff</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ind w:right="94"/>
              <w:jc w:val="right"/>
              <w:rPr>
                <w:rFonts w:cs="Calibri"/>
                <w:color w:val="000000"/>
                <w:lang w:val="en-US"/>
              </w:rPr>
            </w:pPr>
            <w:r w:rsidRPr="00B53423">
              <w:rPr>
                <w:rFonts w:cs="Calibri"/>
                <w:color w:val="000000"/>
                <w:lang w:val="en-US"/>
              </w:rPr>
              <w:t>876.76</w:t>
            </w:r>
          </w:p>
          <w:p w:rsidR="004C74C2" w:rsidRPr="00B53423" w:rsidRDefault="004C74C2" w:rsidP="0015232B">
            <w:pPr>
              <w:spacing w:line="240" w:lineRule="auto"/>
              <w:ind w:right="94"/>
              <w:jc w:val="left"/>
              <w:rPr>
                <w:rFonts w:cs="Calibri"/>
                <w:color w:val="000000"/>
                <w:lang w:val="en-US"/>
              </w:rPr>
            </w:pPr>
            <w:r w:rsidRPr="00B53423">
              <w:rPr>
                <w:rFonts w:cs="Calibri"/>
                <w:color w:val="000000"/>
                <w:lang w:val="en-US"/>
              </w:rPr>
              <w:t> </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ind w:right="94"/>
              <w:jc w:val="right"/>
              <w:rPr>
                <w:rFonts w:cs="Calibri"/>
                <w:color w:val="000000"/>
                <w:lang w:val="en-US"/>
              </w:rPr>
            </w:pPr>
            <w:r w:rsidRPr="00B53423">
              <w:rPr>
                <w:rFonts w:cs="Calibri"/>
                <w:color w:val="000000"/>
                <w:lang w:val="en-US"/>
              </w:rPr>
              <w:t>841.12</w:t>
            </w:r>
          </w:p>
          <w:p w:rsidR="004C74C2" w:rsidRPr="00B53423" w:rsidRDefault="004C74C2" w:rsidP="0015232B">
            <w:pPr>
              <w:spacing w:line="240" w:lineRule="auto"/>
              <w:ind w:right="94"/>
              <w:jc w:val="left"/>
              <w:rPr>
                <w:rFonts w:cs="Calibri"/>
                <w:color w:val="000000"/>
                <w:lang w:val="en-US"/>
              </w:rPr>
            </w:pPr>
            <w:r w:rsidRPr="00B53423">
              <w:rPr>
                <w:rFonts w:cs="Calibri"/>
                <w:color w:val="000000"/>
                <w:lang w:val="en-US"/>
              </w:rPr>
              <w:t> </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ind w:right="94"/>
              <w:jc w:val="right"/>
              <w:rPr>
                <w:rFonts w:cs="Calibri"/>
                <w:color w:val="000000"/>
                <w:lang w:val="en-US"/>
              </w:rPr>
            </w:pPr>
            <w:r w:rsidRPr="00B53423">
              <w:rPr>
                <w:rFonts w:cs="Calibri"/>
                <w:color w:val="000000"/>
                <w:lang w:val="en-US"/>
              </w:rPr>
              <w:t>841.12</w:t>
            </w:r>
          </w:p>
          <w:p w:rsidR="004C74C2" w:rsidRPr="00B53423" w:rsidRDefault="004C74C2" w:rsidP="0015232B">
            <w:pPr>
              <w:spacing w:line="240" w:lineRule="auto"/>
              <w:ind w:right="94"/>
              <w:jc w:val="left"/>
              <w:rPr>
                <w:rFonts w:cs="Calibri"/>
                <w:color w:val="000000"/>
                <w:lang w:val="en-US"/>
              </w:rPr>
            </w:pPr>
            <w:r w:rsidRPr="00B53423">
              <w:rPr>
                <w:rFonts w:cs="Calibri"/>
                <w:color w:val="000000"/>
                <w:lang w:val="en-US"/>
              </w:rPr>
              <w:t> </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ind w:right="94"/>
              <w:jc w:val="right"/>
              <w:rPr>
                <w:rFonts w:cs="Calibri"/>
                <w:color w:val="000000"/>
                <w:lang w:val="en-US"/>
              </w:rPr>
            </w:pPr>
            <w:r w:rsidRPr="00B53423">
              <w:rPr>
                <w:rFonts w:cs="Calibri"/>
                <w:color w:val="000000"/>
                <w:lang w:val="en-US"/>
              </w:rPr>
              <w:t>841.12</w:t>
            </w:r>
          </w:p>
          <w:p w:rsidR="004C74C2" w:rsidRPr="00B53423" w:rsidRDefault="004C74C2" w:rsidP="0015232B">
            <w:pPr>
              <w:spacing w:line="240" w:lineRule="auto"/>
              <w:ind w:right="94"/>
              <w:jc w:val="left"/>
              <w:rPr>
                <w:rFonts w:cs="Calibri"/>
                <w:color w:val="000000"/>
                <w:lang w:val="en-US"/>
              </w:rPr>
            </w:pPr>
            <w:r w:rsidRPr="00B53423">
              <w:rPr>
                <w:rFonts w:cs="Calibri"/>
                <w:color w:val="000000"/>
                <w:lang w:val="en-US"/>
              </w:rPr>
              <w:t> </w:t>
            </w: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Delayed Payment Surcharge</w:t>
            </w: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94"/>
              <w:jc w:val="left"/>
              <w:rPr>
                <w:rFonts w:cs="Calibri"/>
                <w:color w:val="000000"/>
                <w:lang w:val="en-US"/>
              </w:rPr>
            </w:pP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94"/>
              <w:jc w:val="left"/>
              <w:rPr>
                <w:rFonts w:cs="Calibri"/>
                <w:color w:val="000000"/>
                <w:lang w:val="en-US"/>
              </w:rPr>
            </w:pP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94"/>
              <w:jc w:val="left"/>
              <w:rPr>
                <w:rFonts w:cs="Calibri"/>
                <w:color w:val="000000"/>
                <w:lang w:val="en-US"/>
              </w:rPr>
            </w:pP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94"/>
              <w:jc w:val="left"/>
              <w:rPr>
                <w:rFonts w:cs="Calibri"/>
                <w:color w:val="000000"/>
                <w:lang w:val="en-US"/>
              </w:rPr>
            </w:pP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Non Tariff Income</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ind w:right="94"/>
              <w:jc w:val="right"/>
              <w:rPr>
                <w:rFonts w:cs="Calibri"/>
                <w:color w:val="000000"/>
                <w:lang w:val="en-US"/>
              </w:rPr>
            </w:pPr>
            <w:r w:rsidRPr="00B53423">
              <w:rPr>
                <w:rFonts w:cs="Calibri"/>
                <w:color w:val="000000"/>
                <w:lang w:val="en-US"/>
              </w:rPr>
              <w:t>3.03</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ind w:right="94"/>
              <w:jc w:val="right"/>
              <w:rPr>
                <w:rFonts w:cs="Calibri"/>
                <w:color w:val="000000"/>
                <w:lang w:val="en-US"/>
              </w:rPr>
            </w:pPr>
            <w:r w:rsidRPr="00B53423">
              <w:rPr>
                <w:rFonts w:cs="Calibri"/>
                <w:color w:val="000000"/>
                <w:lang w:val="en-US"/>
              </w:rPr>
              <w:t>4.74</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ind w:right="94"/>
              <w:jc w:val="right"/>
              <w:rPr>
                <w:rFonts w:cs="Calibri"/>
                <w:color w:val="000000"/>
                <w:lang w:val="en-US"/>
              </w:rPr>
            </w:pPr>
            <w:r w:rsidRPr="00B53423">
              <w:rPr>
                <w:rFonts w:cs="Calibri"/>
                <w:color w:val="000000"/>
                <w:lang w:val="en-US"/>
              </w:rPr>
              <w:t>4.74</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ind w:right="94"/>
              <w:jc w:val="right"/>
              <w:rPr>
                <w:rFonts w:cs="Calibri"/>
                <w:color w:val="000000"/>
                <w:lang w:val="en-US"/>
              </w:rPr>
            </w:pPr>
            <w:r w:rsidRPr="00B53423">
              <w:rPr>
                <w:rFonts w:cs="Calibri"/>
                <w:color w:val="000000"/>
                <w:lang w:val="en-US"/>
              </w:rPr>
              <w:t>4.74</w:t>
            </w: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Revenue</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94"/>
              <w:jc w:val="right"/>
              <w:rPr>
                <w:rFonts w:cs="Calibri"/>
                <w:b/>
                <w:bCs/>
                <w:color w:val="000000"/>
                <w:lang w:val="en-US"/>
              </w:rPr>
            </w:pPr>
            <w:r w:rsidRPr="00B53423">
              <w:rPr>
                <w:rFonts w:cs="Calibri"/>
                <w:b/>
                <w:bCs/>
                <w:color w:val="000000"/>
                <w:lang w:val="en-US"/>
              </w:rPr>
              <w:t>879.79</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94"/>
              <w:jc w:val="right"/>
              <w:rPr>
                <w:rFonts w:cs="Calibri"/>
                <w:b/>
                <w:bCs/>
                <w:color w:val="000000"/>
                <w:lang w:val="en-US"/>
              </w:rPr>
            </w:pPr>
            <w:r w:rsidRPr="00B53423">
              <w:rPr>
                <w:rFonts w:cs="Calibri"/>
                <w:b/>
                <w:bCs/>
                <w:color w:val="000000"/>
                <w:lang w:val="en-US"/>
              </w:rPr>
              <w:t>845.86</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94"/>
              <w:jc w:val="right"/>
              <w:rPr>
                <w:rFonts w:cs="Calibri"/>
                <w:b/>
                <w:bCs/>
                <w:color w:val="000000"/>
                <w:lang w:val="en-US"/>
              </w:rPr>
            </w:pPr>
            <w:r w:rsidRPr="00B53423">
              <w:rPr>
                <w:rFonts w:cs="Calibri"/>
                <w:b/>
                <w:bCs/>
                <w:color w:val="000000"/>
                <w:lang w:val="en-US"/>
              </w:rPr>
              <w:t>845.86</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94"/>
              <w:jc w:val="right"/>
              <w:rPr>
                <w:rFonts w:cs="Calibri"/>
                <w:b/>
                <w:bCs/>
                <w:color w:val="000000"/>
                <w:lang w:val="en-US"/>
              </w:rPr>
            </w:pPr>
            <w:r w:rsidRPr="00B53423">
              <w:rPr>
                <w:rFonts w:cs="Calibri"/>
                <w:b/>
                <w:bCs/>
                <w:color w:val="000000"/>
                <w:lang w:val="en-US"/>
              </w:rPr>
              <w:t>845.86</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rPr>
          <w:caps/>
        </w:rPr>
      </w:pPr>
      <w:bookmarkStart w:id="452" w:name="_Toc399626175"/>
      <w:r w:rsidRPr="00B53423">
        <w:rPr>
          <w:caps/>
        </w:rPr>
        <w:t>AGGREGATE REVenue requirement and revenue gap/ (surplus) for fY 2008-09 after truing up</w:t>
      </w:r>
      <w:bookmarkEnd w:id="452"/>
    </w:p>
    <w:p w:rsidR="004C74C2" w:rsidRPr="00B53423" w:rsidRDefault="004C74C2" w:rsidP="0015232B">
      <w:pPr>
        <w:pStyle w:val="Heading2"/>
        <w:keepNext w:val="0"/>
        <w:numPr>
          <w:ilvl w:val="0"/>
          <w:numId w:val="0"/>
        </w:numPr>
        <w:ind w:left="450"/>
        <w:rPr>
          <w:caps/>
        </w:rPr>
      </w:pPr>
    </w:p>
    <w:p w:rsidR="004C74C2" w:rsidRPr="00B53423" w:rsidRDefault="004C74C2" w:rsidP="0015232B">
      <w:pPr>
        <w:pStyle w:val="Heading3"/>
        <w:keepNext w:val="0"/>
        <w:ind w:hanging="1080"/>
      </w:pPr>
      <w:r w:rsidRPr="00B53423">
        <w:t>The Aggregate Revenue Requirement for FY 2008-09 after final Truing-up is summarised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rPr>
          <w:rFonts w:asciiTheme="minorHAnsi" w:hAnsiTheme="minorHAnsi" w:cstheme="minorHAnsi"/>
          <w:b/>
        </w:rPr>
      </w:pPr>
      <w:bookmarkStart w:id="453" w:name="_Toc399626335"/>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24</w:t>
      </w:r>
      <w:r w:rsidR="005D68E7" w:rsidRPr="00B53423">
        <w:rPr>
          <w:rFonts w:asciiTheme="minorHAnsi" w:hAnsiTheme="minorHAnsi" w:cstheme="minorHAnsi"/>
          <w:b/>
        </w:rPr>
        <w:fldChar w:fldCharType="end"/>
      </w:r>
      <w:r w:rsidRPr="00B53423">
        <w:rPr>
          <w:rFonts w:asciiTheme="minorHAnsi" w:hAnsiTheme="minorHAnsi" w:cstheme="minorHAnsi"/>
          <w:b/>
        </w:rPr>
        <w:t>: ARR, REVENUE AND GAP SUMMARY FOR FY 2008-09 (Rs. Crore)</w:t>
      </w:r>
      <w:bookmarkEnd w:id="453"/>
    </w:p>
    <w:tbl>
      <w:tblPr>
        <w:tblW w:w="8920" w:type="dxa"/>
        <w:tblInd w:w="103" w:type="dxa"/>
        <w:tblLook w:val="04A0"/>
      </w:tblPr>
      <w:tblGrid>
        <w:gridCol w:w="3103"/>
        <w:gridCol w:w="1339"/>
        <w:gridCol w:w="1756"/>
        <w:gridCol w:w="1380"/>
        <w:gridCol w:w="1342"/>
      </w:tblGrid>
      <w:tr w:rsidR="004C74C2" w:rsidRPr="00B53423" w:rsidTr="009268E4">
        <w:trPr>
          <w:trHeight w:val="900"/>
          <w:tblHeader/>
        </w:trPr>
        <w:tc>
          <w:tcPr>
            <w:tcW w:w="3103" w:type="dxa"/>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Particulars</w:t>
            </w:r>
          </w:p>
        </w:tc>
        <w:tc>
          <w:tcPr>
            <w:tcW w:w="1339"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Approved</w:t>
            </w:r>
          </w:p>
        </w:tc>
        <w:tc>
          <w:tcPr>
            <w:tcW w:w="1756"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Actuals as per Audited Accounts</w:t>
            </w:r>
          </w:p>
        </w:tc>
        <w:tc>
          <w:tcPr>
            <w:tcW w:w="138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True-up Petition</w:t>
            </w:r>
          </w:p>
        </w:tc>
        <w:tc>
          <w:tcPr>
            <w:tcW w:w="1342"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Allowable</w:t>
            </w:r>
          </w:p>
        </w:tc>
      </w:tr>
      <w:tr w:rsidR="004C74C2" w:rsidRPr="00B53423" w:rsidTr="009268E4">
        <w:trPr>
          <w:trHeight w:val="300"/>
          <w:tblHeader/>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(b)</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(c)</w:t>
            </w:r>
          </w:p>
        </w:tc>
        <w:tc>
          <w:tcPr>
            <w:tcW w:w="1380" w:type="dxa"/>
            <w:tcBorders>
              <w:top w:val="nil"/>
              <w:left w:val="nil"/>
              <w:bottom w:val="dotted" w:sz="4" w:space="0" w:color="auto"/>
              <w:right w:val="dotted" w:sz="4" w:space="0" w:color="auto"/>
            </w:tcBorders>
            <w:shd w:val="clear" w:color="000000" w:fill="FFFFFF"/>
            <w:noWrap/>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(d)</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(e)</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 Expenses</w:t>
            </w:r>
          </w:p>
        </w:tc>
        <w:tc>
          <w:tcPr>
            <w:tcW w:w="1339"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737.56</w:t>
            </w:r>
          </w:p>
        </w:tc>
        <w:tc>
          <w:tcPr>
            <w:tcW w:w="1756"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709.25</w:t>
            </w:r>
          </w:p>
        </w:tc>
        <w:tc>
          <w:tcPr>
            <w:tcW w:w="138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686.06</w:t>
            </w:r>
          </w:p>
        </w:tc>
        <w:tc>
          <w:tcPr>
            <w:tcW w:w="1342"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728.21</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Employee Expenses</w:t>
            </w:r>
          </w:p>
        </w:tc>
        <w:tc>
          <w:tcPr>
            <w:tcW w:w="1339"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63.40</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103.25</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103.25</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103.25</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Repair and Maintenance Expenses</w:t>
            </w:r>
          </w:p>
        </w:tc>
        <w:tc>
          <w:tcPr>
            <w:tcW w:w="1339"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11.50</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14.01</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14.01</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14.01</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A&amp;G Expenses</w:t>
            </w:r>
          </w:p>
        </w:tc>
        <w:tc>
          <w:tcPr>
            <w:tcW w:w="1339"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10.49</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7.84</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7.84</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7.84</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Gross Interest on Long Term Loans</w:t>
            </w:r>
          </w:p>
        </w:tc>
        <w:tc>
          <w:tcPr>
            <w:tcW w:w="1339"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11.45</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8.73</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1.61</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1.62</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Finance Charges</w:t>
            </w:r>
          </w:p>
        </w:tc>
        <w:tc>
          <w:tcPr>
            <w:tcW w:w="1339"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8.54</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23.95</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23.95</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4.96</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Interest on Working Capital</w:t>
            </w:r>
          </w:p>
        </w:tc>
        <w:tc>
          <w:tcPr>
            <w:tcW w:w="1339"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6.62</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10.12</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9.02</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9.02</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Discount to Consumers</w:t>
            </w:r>
          </w:p>
        </w:tc>
        <w:tc>
          <w:tcPr>
            <w:tcW w:w="1339"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0.00</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0.00</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0.00</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0.00</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Depreciation</w:t>
            </w:r>
          </w:p>
        </w:tc>
        <w:tc>
          <w:tcPr>
            <w:tcW w:w="1339"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39.63</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14.11</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25.20</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25.20</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Prior Period Expenses</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0.00</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3.55</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3.55</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0.00</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Other Misc Expenses</w:t>
            </w:r>
            <w:r w:rsidR="00B4098C" w:rsidRPr="00B53423">
              <w:rPr>
                <w:rFonts w:cs="Calibri"/>
                <w:color w:val="000000"/>
                <w:lang w:val="en-US"/>
              </w:rPr>
              <w:t xml:space="preserve"> / Incomes</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0.00</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0.3</w:t>
            </w:r>
            <w:r w:rsidR="002B3D6B" w:rsidRPr="00B53423">
              <w:rPr>
                <w:rFonts w:asciiTheme="minorHAnsi" w:hAnsiTheme="minorHAnsi" w:cstheme="minorHAnsi"/>
              </w:rPr>
              <w:t>7</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0.3</w:t>
            </w:r>
            <w:r w:rsidR="002B3D6B" w:rsidRPr="00B53423">
              <w:rPr>
                <w:rFonts w:asciiTheme="minorHAnsi" w:hAnsiTheme="minorHAnsi" w:cstheme="minorHAnsi"/>
              </w:rPr>
              <w:t>7</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0.00</w:t>
            </w:r>
          </w:p>
        </w:tc>
      </w:tr>
      <w:tr w:rsidR="004C74C2" w:rsidRPr="00B53423" w:rsidTr="009268E4">
        <w:trPr>
          <w:trHeight w:val="6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Provision for Bad and Doubtful Debts</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0.00</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43.22</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48.27</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0.00</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Gross Expenditure</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b/>
                <w:bCs/>
                <w:color w:val="000000"/>
              </w:rPr>
            </w:pPr>
            <w:r w:rsidRPr="00B53423">
              <w:rPr>
                <w:rFonts w:asciiTheme="minorHAnsi" w:hAnsiTheme="minorHAnsi" w:cstheme="minorHAnsi"/>
                <w:b/>
                <w:bCs/>
                <w:color w:val="000000"/>
              </w:rPr>
              <w:t>889.19</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b/>
                <w:bCs/>
                <w:color w:val="000000"/>
              </w:rPr>
            </w:pPr>
            <w:r w:rsidRPr="00B53423">
              <w:rPr>
                <w:rFonts w:asciiTheme="minorHAnsi" w:hAnsiTheme="minorHAnsi" w:cstheme="minorHAnsi"/>
                <w:b/>
                <w:bCs/>
                <w:color w:val="000000"/>
              </w:rPr>
              <w:t>938.32</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b/>
                <w:bCs/>
                <w:color w:val="000000"/>
              </w:rPr>
            </w:pPr>
            <w:r w:rsidRPr="00B53423">
              <w:rPr>
                <w:rFonts w:asciiTheme="minorHAnsi" w:hAnsiTheme="minorHAnsi" w:cstheme="minorHAnsi"/>
                <w:b/>
                <w:bCs/>
                <w:color w:val="000000"/>
              </w:rPr>
              <w:t>923.05</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b/>
                <w:bCs/>
                <w:color w:val="000000"/>
              </w:rPr>
            </w:pPr>
            <w:r w:rsidRPr="00B53423">
              <w:rPr>
                <w:rFonts w:asciiTheme="minorHAnsi" w:hAnsiTheme="minorHAnsi" w:cstheme="minorHAnsi"/>
                <w:b/>
                <w:bCs/>
                <w:color w:val="000000"/>
              </w:rPr>
              <w:t>894.10</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Employee Capitalisation</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color w:val="000000"/>
              </w:rPr>
            </w:pPr>
            <w:r w:rsidRPr="00B53423">
              <w:rPr>
                <w:rFonts w:asciiTheme="minorHAnsi" w:hAnsiTheme="minorHAnsi" w:cstheme="minorHAnsi"/>
                <w:color w:val="000000"/>
              </w:rPr>
              <w:t>9.51</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color w:val="000000"/>
              </w:rPr>
            </w:pPr>
            <w:r w:rsidRPr="00B53423">
              <w:rPr>
                <w:rFonts w:asciiTheme="minorHAnsi" w:hAnsiTheme="minorHAnsi" w:cstheme="minorHAnsi"/>
                <w:color w:val="000000"/>
              </w:rPr>
              <w:t>2.66</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color w:val="000000"/>
              </w:rPr>
            </w:pPr>
            <w:r w:rsidRPr="00B53423">
              <w:rPr>
                <w:rFonts w:asciiTheme="minorHAnsi" w:hAnsiTheme="minorHAnsi" w:cstheme="minorHAnsi"/>
                <w:color w:val="000000"/>
              </w:rPr>
              <w:t>2.66</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color w:val="000000"/>
              </w:rPr>
            </w:pPr>
            <w:r w:rsidRPr="00B53423">
              <w:rPr>
                <w:rFonts w:asciiTheme="minorHAnsi" w:hAnsiTheme="minorHAnsi" w:cstheme="minorHAnsi"/>
                <w:color w:val="000000"/>
              </w:rPr>
              <w:t>2.66</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A&amp;G Capitalisation</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color w:val="000000"/>
              </w:rPr>
            </w:pPr>
            <w:r w:rsidRPr="00B53423">
              <w:rPr>
                <w:rFonts w:asciiTheme="minorHAnsi" w:hAnsiTheme="minorHAnsi" w:cstheme="minorHAnsi"/>
                <w:color w:val="000000"/>
              </w:rPr>
              <w:t>1.57</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color w:val="000000"/>
              </w:rPr>
            </w:pPr>
            <w:r w:rsidRPr="00B53423">
              <w:rPr>
                <w:rFonts w:asciiTheme="minorHAnsi" w:hAnsiTheme="minorHAnsi" w:cstheme="minorHAnsi"/>
                <w:color w:val="000000"/>
              </w:rPr>
              <w:t>0.00</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color w:val="000000"/>
              </w:rPr>
            </w:pPr>
            <w:r w:rsidRPr="00B53423">
              <w:rPr>
                <w:rFonts w:asciiTheme="minorHAnsi" w:hAnsiTheme="minorHAnsi" w:cstheme="minorHAnsi"/>
                <w:color w:val="000000"/>
              </w:rPr>
              <w:t>0.00</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color w:val="000000"/>
              </w:rPr>
            </w:pPr>
            <w:r w:rsidRPr="00B53423">
              <w:rPr>
                <w:rFonts w:asciiTheme="minorHAnsi" w:hAnsiTheme="minorHAnsi" w:cstheme="minorHAnsi"/>
                <w:color w:val="000000"/>
              </w:rPr>
              <w:t>0.00</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Interest Capitalisation</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color w:val="000000"/>
              </w:rPr>
            </w:pPr>
            <w:r w:rsidRPr="00B53423">
              <w:rPr>
                <w:rFonts w:asciiTheme="minorHAnsi" w:hAnsiTheme="minorHAnsi" w:cstheme="minorHAnsi"/>
                <w:color w:val="000000"/>
              </w:rPr>
              <w:t>2.63</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color w:val="000000"/>
              </w:rPr>
            </w:pPr>
            <w:r w:rsidRPr="00B53423">
              <w:rPr>
                <w:rFonts w:asciiTheme="minorHAnsi" w:hAnsiTheme="minorHAnsi" w:cstheme="minorHAnsi"/>
                <w:color w:val="000000"/>
              </w:rPr>
              <w:t>8.73</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color w:val="000000"/>
              </w:rPr>
            </w:pPr>
            <w:r w:rsidRPr="00B53423">
              <w:rPr>
                <w:rFonts w:asciiTheme="minorHAnsi" w:hAnsiTheme="minorHAnsi" w:cstheme="minorHAnsi"/>
                <w:color w:val="000000"/>
              </w:rPr>
              <w:t>1.61</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color w:val="000000"/>
              </w:rPr>
            </w:pPr>
            <w:r w:rsidRPr="00B53423">
              <w:rPr>
                <w:rFonts w:asciiTheme="minorHAnsi" w:hAnsiTheme="minorHAnsi" w:cstheme="minorHAnsi"/>
                <w:color w:val="000000"/>
              </w:rPr>
              <w:t>1.62</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Capitalisation</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b/>
                <w:bCs/>
                <w:color w:val="000000"/>
              </w:rPr>
            </w:pPr>
            <w:r w:rsidRPr="00B53423">
              <w:rPr>
                <w:rFonts w:asciiTheme="minorHAnsi" w:hAnsiTheme="minorHAnsi" w:cstheme="minorHAnsi"/>
                <w:b/>
                <w:bCs/>
                <w:color w:val="000000"/>
              </w:rPr>
              <w:t>13.71</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b/>
                <w:bCs/>
                <w:color w:val="000000"/>
              </w:rPr>
            </w:pPr>
            <w:r w:rsidRPr="00B53423">
              <w:rPr>
                <w:rFonts w:asciiTheme="minorHAnsi" w:hAnsiTheme="minorHAnsi" w:cstheme="minorHAnsi"/>
                <w:b/>
                <w:bCs/>
                <w:color w:val="000000"/>
              </w:rPr>
              <w:t>11.39</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b/>
                <w:bCs/>
                <w:color w:val="000000"/>
              </w:rPr>
            </w:pPr>
            <w:r w:rsidRPr="00B53423">
              <w:rPr>
                <w:rFonts w:asciiTheme="minorHAnsi" w:hAnsiTheme="minorHAnsi" w:cstheme="minorHAnsi"/>
                <w:b/>
                <w:bCs/>
                <w:color w:val="000000"/>
              </w:rPr>
              <w:t>4.27</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b/>
                <w:bCs/>
                <w:color w:val="000000"/>
              </w:rPr>
            </w:pPr>
            <w:r w:rsidRPr="00B53423">
              <w:rPr>
                <w:rFonts w:asciiTheme="minorHAnsi" w:hAnsiTheme="minorHAnsi" w:cstheme="minorHAnsi"/>
                <w:b/>
                <w:bCs/>
                <w:color w:val="000000"/>
              </w:rPr>
              <w:t>4.29</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Expenditure</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b/>
                <w:bCs/>
                <w:color w:val="000000"/>
              </w:rPr>
            </w:pPr>
            <w:r w:rsidRPr="00B53423">
              <w:rPr>
                <w:rFonts w:asciiTheme="minorHAnsi" w:hAnsiTheme="minorHAnsi" w:cstheme="minorHAnsi"/>
                <w:b/>
                <w:bCs/>
                <w:color w:val="000000"/>
              </w:rPr>
              <w:t>875.48</w:t>
            </w:r>
          </w:p>
        </w:tc>
        <w:tc>
          <w:tcPr>
            <w:tcW w:w="1756"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325"/>
              <w:jc w:val="right"/>
              <w:rPr>
                <w:rFonts w:asciiTheme="minorHAnsi" w:hAnsiTheme="minorHAnsi" w:cstheme="minorHAnsi"/>
                <w:b/>
                <w:bCs/>
                <w:color w:val="000000"/>
              </w:rPr>
            </w:pPr>
            <w:r w:rsidRPr="00B53423">
              <w:rPr>
                <w:rFonts w:asciiTheme="minorHAnsi" w:hAnsiTheme="minorHAnsi" w:cstheme="minorHAnsi"/>
                <w:b/>
                <w:bCs/>
                <w:color w:val="000000"/>
              </w:rPr>
              <w:t>926.93</w:t>
            </w:r>
          </w:p>
        </w:tc>
        <w:tc>
          <w:tcPr>
            <w:tcW w:w="138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ind w:right="175"/>
              <w:jc w:val="right"/>
              <w:rPr>
                <w:rFonts w:asciiTheme="minorHAnsi" w:hAnsiTheme="minorHAnsi" w:cstheme="minorHAnsi"/>
                <w:b/>
                <w:bCs/>
                <w:color w:val="000000"/>
              </w:rPr>
            </w:pPr>
            <w:r w:rsidRPr="00B53423">
              <w:rPr>
                <w:rFonts w:asciiTheme="minorHAnsi" w:hAnsiTheme="minorHAnsi" w:cstheme="minorHAnsi"/>
                <w:b/>
                <w:bCs/>
                <w:color w:val="000000"/>
              </w:rPr>
              <w:t>918.77</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b/>
                <w:bCs/>
                <w:color w:val="000000"/>
              </w:rPr>
            </w:pPr>
            <w:r w:rsidRPr="00B53423">
              <w:rPr>
                <w:rFonts w:asciiTheme="minorHAnsi" w:hAnsiTheme="minorHAnsi" w:cstheme="minorHAnsi"/>
                <w:b/>
                <w:bCs/>
                <w:color w:val="000000"/>
              </w:rPr>
              <w:t>889.82</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Add: Return on Equity</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 </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 </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 </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 </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Non-tariff Incomes</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3.03</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4.74</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4.74</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4.74</w:t>
            </w:r>
          </w:p>
        </w:tc>
      </w:tr>
      <w:tr w:rsidR="004C74C2" w:rsidRPr="00B53423" w:rsidTr="009268E4">
        <w:trPr>
          <w:trHeight w:val="6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Add: Efficiency Gain</w:t>
            </w:r>
            <w:r w:rsidR="00F512B9" w:rsidRPr="00B53423">
              <w:rPr>
                <w:rFonts w:cs="Calibri"/>
                <w:color w:val="000000"/>
                <w:lang w:val="en-US"/>
              </w:rPr>
              <w:t>s</w:t>
            </w:r>
            <w:r w:rsidRPr="00B53423">
              <w:rPr>
                <w:rFonts w:cs="Calibri"/>
                <w:color w:val="000000"/>
                <w:lang w:val="en-US"/>
              </w:rPr>
              <w:t xml:space="preserve"> </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 </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 </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0.54</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8.42</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Annual Revenue Requirement</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b/>
                <w:bCs/>
                <w:color w:val="000000"/>
              </w:rPr>
            </w:pPr>
            <w:r w:rsidRPr="00B53423">
              <w:rPr>
                <w:rFonts w:asciiTheme="minorHAnsi" w:hAnsiTheme="minorHAnsi" w:cstheme="minorHAnsi"/>
                <w:b/>
                <w:bCs/>
                <w:color w:val="000000"/>
              </w:rPr>
              <w:t>872.45</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b/>
                <w:bCs/>
                <w:color w:val="000000"/>
              </w:rPr>
            </w:pPr>
            <w:r w:rsidRPr="00B53423">
              <w:rPr>
                <w:rFonts w:asciiTheme="minorHAnsi" w:hAnsiTheme="minorHAnsi" w:cstheme="minorHAnsi"/>
                <w:b/>
                <w:bCs/>
                <w:color w:val="000000"/>
              </w:rPr>
              <w:t>922.19</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b/>
                <w:bCs/>
                <w:color w:val="000000"/>
              </w:rPr>
            </w:pPr>
            <w:r w:rsidRPr="00B53423">
              <w:rPr>
                <w:rFonts w:asciiTheme="minorHAnsi" w:hAnsiTheme="minorHAnsi" w:cstheme="minorHAnsi"/>
                <w:b/>
                <w:bCs/>
                <w:color w:val="000000"/>
              </w:rPr>
              <w:t>914.57</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b/>
                <w:bCs/>
                <w:color w:val="000000"/>
              </w:rPr>
            </w:pPr>
            <w:r w:rsidRPr="00B53423">
              <w:rPr>
                <w:rFonts w:asciiTheme="minorHAnsi" w:hAnsiTheme="minorHAnsi" w:cstheme="minorHAnsi"/>
                <w:b/>
                <w:bCs/>
                <w:color w:val="000000"/>
              </w:rPr>
              <w:t>893.49</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Revenue from Tariff incl DPS</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876.76</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r w:rsidRPr="00B53423">
              <w:rPr>
                <w:rFonts w:asciiTheme="minorHAnsi" w:hAnsiTheme="minorHAnsi" w:cstheme="minorHAnsi"/>
              </w:rPr>
              <w:t>841.12</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r w:rsidRPr="00B53423">
              <w:rPr>
                <w:rFonts w:asciiTheme="minorHAnsi" w:hAnsiTheme="minorHAnsi" w:cstheme="minorHAnsi"/>
              </w:rPr>
              <w:t>841.12</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r w:rsidRPr="00B53423">
              <w:rPr>
                <w:rFonts w:asciiTheme="minorHAnsi" w:hAnsiTheme="minorHAnsi" w:cstheme="minorHAnsi"/>
              </w:rPr>
              <w:t>841.12</w:t>
            </w: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Revenue gap from previous years</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89"/>
              <w:jc w:val="right"/>
              <w:rPr>
                <w:rFonts w:asciiTheme="minorHAnsi" w:hAnsiTheme="minorHAnsi" w:cstheme="minorHAnsi"/>
              </w:rPr>
            </w:pPr>
            <w:r w:rsidRPr="00B53423">
              <w:rPr>
                <w:rFonts w:asciiTheme="minorHAnsi" w:hAnsiTheme="minorHAnsi" w:cstheme="minorHAnsi"/>
              </w:rPr>
              <w:t>80.46</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325"/>
              <w:jc w:val="right"/>
              <w:rPr>
                <w:rFonts w:asciiTheme="minorHAnsi" w:hAnsiTheme="minorHAnsi" w:cstheme="minorHAnsi"/>
              </w:rPr>
            </w:pP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75"/>
              <w:jc w:val="right"/>
              <w:rPr>
                <w:rFonts w:asciiTheme="minorHAnsi" w:hAnsiTheme="minorHAnsi" w:cstheme="minorHAnsi"/>
              </w:rPr>
            </w:pP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ind w:right="167"/>
              <w:jc w:val="right"/>
              <w:rPr>
                <w:rFonts w:asciiTheme="minorHAnsi" w:hAnsiTheme="minorHAnsi" w:cstheme="minorHAnsi"/>
              </w:rPr>
            </w:pPr>
          </w:p>
        </w:tc>
      </w:tr>
      <w:tr w:rsidR="004C74C2" w:rsidRPr="00B53423" w:rsidTr="009268E4">
        <w:trPr>
          <w:trHeight w:val="300"/>
        </w:trPr>
        <w:tc>
          <w:tcPr>
            <w:tcW w:w="3103"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Revenue Gap</w:t>
            </w:r>
          </w:p>
        </w:tc>
        <w:tc>
          <w:tcPr>
            <w:tcW w:w="133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ind w:right="189"/>
              <w:jc w:val="right"/>
              <w:rPr>
                <w:rFonts w:cs="Calibri"/>
                <w:b/>
                <w:bCs/>
                <w:color w:val="000000"/>
              </w:rPr>
            </w:pPr>
            <w:r w:rsidRPr="00B53423">
              <w:rPr>
                <w:rFonts w:cs="Calibri"/>
                <w:b/>
                <w:bCs/>
                <w:color w:val="000000"/>
              </w:rPr>
              <w:t>-4.31</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ind w:right="325"/>
              <w:jc w:val="right"/>
              <w:rPr>
                <w:rFonts w:cs="Calibri"/>
                <w:b/>
                <w:bCs/>
                <w:color w:val="000000"/>
              </w:rPr>
            </w:pPr>
            <w:r w:rsidRPr="00B53423">
              <w:rPr>
                <w:rFonts w:cs="Calibri"/>
                <w:b/>
                <w:bCs/>
                <w:color w:val="000000"/>
              </w:rPr>
              <w:t>81.07</w:t>
            </w:r>
          </w:p>
        </w:tc>
        <w:tc>
          <w:tcPr>
            <w:tcW w:w="138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ind w:right="175"/>
              <w:jc w:val="right"/>
              <w:rPr>
                <w:rFonts w:cs="Calibri"/>
                <w:b/>
                <w:bCs/>
                <w:color w:val="000000"/>
              </w:rPr>
            </w:pPr>
            <w:r w:rsidRPr="00B53423">
              <w:rPr>
                <w:rFonts w:cs="Calibri"/>
                <w:b/>
                <w:bCs/>
                <w:color w:val="000000"/>
              </w:rPr>
              <w:t>73.46</w:t>
            </w:r>
          </w:p>
        </w:tc>
        <w:tc>
          <w:tcPr>
            <w:tcW w:w="1342"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ind w:right="167"/>
              <w:jc w:val="right"/>
              <w:rPr>
                <w:rFonts w:cs="Calibri"/>
                <w:b/>
                <w:bCs/>
                <w:color w:val="000000"/>
              </w:rPr>
            </w:pPr>
            <w:r w:rsidRPr="00B53423">
              <w:rPr>
                <w:rFonts w:cs="Calibri"/>
                <w:b/>
                <w:bCs/>
                <w:color w:val="000000"/>
              </w:rPr>
              <w:t>52.37</w:t>
            </w:r>
          </w:p>
        </w:tc>
      </w:tr>
    </w:tbl>
    <w:p w:rsidR="004C74C2" w:rsidRPr="00B53423" w:rsidRDefault="004C74C2" w:rsidP="0015232B">
      <w:pPr>
        <w:spacing w:before="0"/>
      </w:pPr>
    </w:p>
    <w:p w:rsidR="004C74C2" w:rsidRPr="00B53423" w:rsidRDefault="004C74C2" w:rsidP="0015232B">
      <w:pPr>
        <w:pStyle w:val="Heading3"/>
        <w:keepNext w:val="0"/>
        <w:ind w:hanging="1080"/>
      </w:pPr>
      <w:r w:rsidRPr="00B53423">
        <w:t>The Petitioner requested the Commission to consider the revenue side True-up and expense side True-up as per the aforementioned Sections wherein the net revenue gap has been computed at Rs.</w:t>
      </w:r>
      <w:r w:rsidRPr="00B53423">
        <w:rPr>
          <w:rFonts w:ascii="Calibri" w:hAnsi="Calibri" w:cs="Times New Roman"/>
          <w:bCs w:val="0"/>
          <w:color w:val="auto"/>
        </w:rPr>
        <w:t xml:space="preserve">72.92 </w:t>
      </w:r>
      <w:r w:rsidRPr="00B53423">
        <w:t xml:space="preserve">Crore before considering any efficiency gains. The Petitioner further submitted that it is also entitled for efficiency gains of Rs. 0.54 Crore; thereby the net entitlement under True-up for FY 2008-09 is Rs.  </w:t>
      </w:r>
      <w:r w:rsidRPr="00B53423">
        <w:rPr>
          <w:rFonts w:ascii="Calibri" w:hAnsi="Calibri" w:cs="Times New Roman"/>
          <w:bCs w:val="0"/>
          <w:color w:val="auto"/>
        </w:rPr>
        <w:t xml:space="preserve">73.46 </w:t>
      </w:r>
      <w:r w:rsidRPr="00B53423">
        <w:t xml:space="preserve">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However, as observed from the above Table, against the gap of Rs. </w:t>
      </w:r>
      <w:r w:rsidRPr="00B53423">
        <w:rPr>
          <w:rFonts w:ascii="Calibri" w:hAnsi="Calibri" w:cs="Times New Roman"/>
          <w:bCs w:val="0"/>
          <w:color w:val="auto"/>
        </w:rPr>
        <w:t xml:space="preserve">73.46 </w:t>
      </w:r>
      <w:r w:rsidRPr="00B53423">
        <w:t>Crore claimed by the Petitioner for Truing up of FY 2008-09, the Commission has worked out gap of Rs</w:t>
      </w:r>
      <w:r w:rsidRPr="00B53423">
        <w:rPr>
          <w:rFonts w:ascii="Calibri" w:hAnsi="Calibri" w:cs="Times New Roman"/>
          <w:bCs w:val="0"/>
          <w:color w:val="auto"/>
        </w:rPr>
        <w:t xml:space="preserve">. 52.37 </w:t>
      </w:r>
      <w:r w:rsidRPr="00B53423">
        <w:t>Crore while carrying out the Truing-up on the basis of the Audited Accounts. The Commission has discussed the treatment of above revenue gap subsequently in this Order.</w:t>
      </w:r>
    </w:p>
    <w:p w:rsidR="004C74C2" w:rsidRPr="00B53423" w:rsidRDefault="004C74C2" w:rsidP="0015232B">
      <w:pPr>
        <w:pStyle w:val="Heading3"/>
        <w:keepNext w:val="0"/>
        <w:numPr>
          <w:ilvl w:val="0"/>
          <w:numId w:val="0"/>
        </w:numPr>
        <w:ind w:left="450"/>
      </w:pPr>
    </w:p>
    <w:p w:rsidR="004C74C2" w:rsidRPr="00B53423" w:rsidRDefault="004C74C2" w:rsidP="0015232B">
      <w:pPr>
        <w:rPr>
          <w:rFonts w:cs="Arial"/>
          <w:szCs w:val="26"/>
        </w:rPr>
      </w:pPr>
    </w:p>
    <w:p w:rsidR="004C74C2" w:rsidRPr="00B53423" w:rsidRDefault="004C74C2" w:rsidP="0015232B">
      <w:pPr>
        <w:rPr>
          <w:rFonts w:cs="Arial"/>
          <w:szCs w:val="26"/>
        </w:rPr>
      </w:pPr>
      <w:r w:rsidRPr="00B53423">
        <w:rPr>
          <w:rFonts w:cs="Arial"/>
          <w:szCs w:val="26"/>
        </w:rPr>
        <w:br w:type="page"/>
      </w:r>
    </w:p>
    <w:p w:rsidR="004C74C2" w:rsidRPr="00B53423" w:rsidRDefault="003A6B3B" w:rsidP="0015232B">
      <w:pPr>
        <w:pStyle w:val="Heading1"/>
        <w:keepNext w:val="0"/>
        <w:numPr>
          <w:ilvl w:val="0"/>
          <w:numId w:val="1"/>
        </w:numPr>
        <w:ind w:left="720" w:hanging="1080"/>
        <w:rPr>
          <w:color w:val="auto"/>
        </w:rPr>
      </w:pPr>
      <w:bookmarkStart w:id="454" w:name="_Toc399626176"/>
      <w:r w:rsidRPr="00B53423">
        <w:rPr>
          <w:color w:val="auto"/>
        </w:rPr>
        <w:t>TRUING UP OF AGGREGATE REVENUE REQUIREMENT FOR FY 2009-10</w:t>
      </w:r>
      <w:bookmarkEnd w:id="454"/>
      <w:r w:rsidRPr="00B53423">
        <w:rPr>
          <w:color w:val="auto"/>
        </w:rPr>
        <w:t xml:space="preserve"> </w:t>
      </w:r>
    </w:p>
    <w:p w:rsidR="00DE7726" w:rsidRPr="00B53423" w:rsidRDefault="00E126A4" w:rsidP="0015232B">
      <w:pPr>
        <w:pStyle w:val="Heading2"/>
        <w:keepNext w:val="0"/>
        <w:ind w:left="720" w:hanging="1080"/>
      </w:pPr>
      <w:bookmarkStart w:id="455" w:name="_Toc399626177"/>
      <w:r w:rsidRPr="00B53423">
        <w:t>INTRODUCTION</w:t>
      </w:r>
      <w:bookmarkEnd w:id="455"/>
    </w:p>
    <w:p w:rsidR="00DE7726" w:rsidRPr="00B53423" w:rsidRDefault="00DE7726"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has sought the final Truing-up of expenditure and revenue for FY 2008-09 to FY 2011-12 based on actual expenditure and revenue as per Audited Accounts. In this Section, the Commission has analysed all the elements of actual revenue and expenses for FY 2009-10 and has undertaken the truing up of expenses and revenue after prudence check on the data made available by the Petitioner.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456" w:name="_Toc399626178"/>
      <w:r w:rsidRPr="00B53423">
        <w:t>POWER PURCHASE QUANTUM AND COST FOR FY 2009-10</w:t>
      </w:r>
      <w:bookmarkEnd w:id="456"/>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14</w:t>
      </w:r>
      <w:r w:rsidRPr="00B53423">
        <w:rPr>
          <w:vertAlign w:val="superscript"/>
        </w:rPr>
        <w:t>th</w:t>
      </w:r>
      <w:r w:rsidRPr="00B53423">
        <w:t xml:space="preserve"> October, 2009 in Petition No. 634 of 2009 for FY 2009-10, the Commission had approved the power purchase cost of Rs. 697.22 Crore towards projected purchase of 2645.30 MU. The Petitioner submitted that the actual power purchase in FY 200</w:t>
      </w:r>
      <w:r w:rsidR="00F126DD" w:rsidRPr="00B53423">
        <w:t>9-10</w:t>
      </w:r>
      <w:r w:rsidRPr="00B53423">
        <w:t xml:space="preserve"> was 2740.21 MU at a cost of Rs. 723.42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it has considered the following philosophy for computing the allowable power purchase cost:</w:t>
      </w:r>
    </w:p>
    <w:p w:rsidR="004C74C2" w:rsidRPr="00B53423" w:rsidRDefault="004C74C2" w:rsidP="0015232B">
      <w:pPr>
        <w:pStyle w:val="Heading3"/>
        <w:keepNext w:val="0"/>
        <w:numPr>
          <w:ilvl w:val="0"/>
          <w:numId w:val="0"/>
        </w:numPr>
        <w:ind w:left="720"/>
      </w:pPr>
      <w:r w:rsidRPr="00B53423">
        <w:t xml:space="preserve"> </w:t>
      </w:r>
    </w:p>
    <w:p w:rsidR="004C74C2" w:rsidRPr="00B53423" w:rsidRDefault="004C74C2" w:rsidP="0015232B">
      <w:pPr>
        <w:pStyle w:val="Heading3"/>
        <w:keepNext w:val="0"/>
        <w:numPr>
          <w:ilvl w:val="0"/>
          <w:numId w:val="4"/>
        </w:numPr>
      </w:pPr>
      <w:r w:rsidRPr="00B53423">
        <w:t>The Petitioner has first calculated the allowable power purchase input which has been calculated by grossing up the actual energy sales by the approved T&amp;D loss target of FY 2009-10.</w:t>
      </w:r>
    </w:p>
    <w:p w:rsidR="004C74C2" w:rsidRPr="00B53423" w:rsidRDefault="004C74C2" w:rsidP="0015232B">
      <w:pPr>
        <w:pStyle w:val="Heading3"/>
        <w:keepNext w:val="0"/>
        <w:numPr>
          <w:ilvl w:val="0"/>
          <w:numId w:val="0"/>
        </w:numPr>
        <w:ind w:left="1170"/>
      </w:pPr>
    </w:p>
    <w:p w:rsidR="004C74C2" w:rsidRPr="00B53423" w:rsidRDefault="004C74C2" w:rsidP="0015232B">
      <w:pPr>
        <w:pStyle w:val="Heading3"/>
        <w:keepNext w:val="0"/>
        <w:numPr>
          <w:ilvl w:val="0"/>
          <w:numId w:val="4"/>
        </w:numPr>
      </w:pPr>
      <w:r w:rsidRPr="00B53423">
        <w:t>The allowable power purchase cost has been computed by multiplying the derived allowable power purchase input by the actual power purchase rate as per Audited Accounts.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Thus, considering the above philosophy the Petitioner has claimed an allowable power purchase expenses of Rs. 580.82 Crore in FY 2009-10.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in its Order dated 21</w:t>
      </w:r>
      <w:r w:rsidRPr="00B53423">
        <w:rPr>
          <w:vertAlign w:val="superscript"/>
        </w:rPr>
        <w:t>st</w:t>
      </w:r>
      <w:r w:rsidRPr="00B53423">
        <w:t xml:space="preserve"> May, 2013 has concurred with the philosophy considered by the Petitioner, wherein the efficiency target of T&amp;D loss level, was considered as controllable parameter, and thereupon the power purchase cost consequent to under-achievement of T&amp;D loss was disallowed. The Commission in its </w:t>
      </w:r>
      <w:r w:rsidR="00F126DD" w:rsidRPr="00B53423">
        <w:t xml:space="preserve">Tariff </w:t>
      </w:r>
      <w:r w:rsidRPr="00B53423">
        <w:t>Order</w:t>
      </w:r>
      <w:r w:rsidR="00F126DD" w:rsidRPr="00B53423">
        <w:t xml:space="preserve"> of DVVNL for FY 2014-15 </w:t>
      </w:r>
      <w:r w:rsidRPr="00B53423">
        <w:t xml:space="preserve">has determined the </w:t>
      </w:r>
      <w:r w:rsidR="00CE6562" w:rsidRPr="00B53423">
        <w:t>T</w:t>
      </w:r>
      <w:r w:rsidRPr="00B53423">
        <w:t xml:space="preserve">rued-up </w:t>
      </w:r>
      <w:r w:rsidR="00CE6562" w:rsidRPr="00B53423">
        <w:t>B</w:t>
      </w:r>
      <w:r w:rsidRPr="00B53423">
        <w:t xml:space="preserve">ulk </w:t>
      </w:r>
      <w:r w:rsidR="00CE6562" w:rsidRPr="00B53423">
        <w:t>S</w:t>
      </w:r>
      <w:r w:rsidRPr="00B53423">
        <w:t xml:space="preserve">upply </w:t>
      </w:r>
      <w:r w:rsidR="00CE6562" w:rsidRPr="00B53423">
        <w:t>T</w:t>
      </w:r>
      <w:r w:rsidRPr="00B53423">
        <w:t>ariff of Rs. 3.05 per kWh for FY 2009-10.</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 xml:space="preserve">Considering the allowable power purchase quantum of 2200.07 MU and the trued up power purchase rate of Rs. 3.05 per kWh, the allowable power purchase cost has been assessed at Rs. 670.90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Table below summarises the sales, distribution losses, energy balance, power purchase quantum and cost approved in the Tariff Order, as submitted by the Petitioner in the Truing up Petition and as approved by the Commission in this Order:</w:t>
      </w:r>
    </w:p>
    <w:p w:rsidR="004C74C2" w:rsidRPr="00B53423" w:rsidRDefault="004C74C2" w:rsidP="0015232B">
      <w:pPr>
        <w:pStyle w:val="ListParagraph"/>
        <w:ind w:left="180"/>
      </w:pPr>
    </w:p>
    <w:p w:rsidR="004C74C2" w:rsidRPr="00B53423" w:rsidRDefault="004C74C2" w:rsidP="0015232B">
      <w:pPr>
        <w:spacing w:before="0"/>
        <w:jc w:val="center"/>
        <w:rPr>
          <w:rFonts w:asciiTheme="minorHAnsi" w:hAnsiTheme="minorHAnsi" w:cstheme="minorHAnsi"/>
          <w:b/>
        </w:rPr>
      </w:pPr>
      <w:bookmarkStart w:id="457" w:name="_Toc399626336"/>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w:t>
      </w:r>
      <w:r w:rsidR="005D68E7" w:rsidRPr="00B53423">
        <w:rPr>
          <w:rFonts w:asciiTheme="minorHAnsi" w:hAnsiTheme="minorHAnsi" w:cstheme="minorHAnsi"/>
          <w:b/>
        </w:rPr>
        <w:fldChar w:fldCharType="end"/>
      </w:r>
      <w:r w:rsidRPr="00B53423">
        <w:rPr>
          <w:rFonts w:asciiTheme="minorHAnsi" w:hAnsiTheme="minorHAnsi" w:cstheme="minorHAnsi"/>
          <w:b/>
        </w:rPr>
        <w:t>: ALLOWABLE POWER PURCHASE COST FOR FY 2009-10</w:t>
      </w:r>
      <w:bookmarkEnd w:id="457"/>
    </w:p>
    <w:tbl>
      <w:tblPr>
        <w:tblW w:w="9522" w:type="dxa"/>
        <w:tblInd w:w="-522" w:type="dxa"/>
        <w:tblLayout w:type="fixed"/>
        <w:tblLook w:val="04A0"/>
      </w:tblPr>
      <w:tblGrid>
        <w:gridCol w:w="3240"/>
        <w:gridCol w:w="1170"/>
        <w:gridCol w:w="1080"/>
        <w:gridCol w:w="1440"/>
        <w:gridCol w:w="1350"/>
        <w:gridCol w:w="1242"/>
      </w:tblGrid>
      <w:tr w:rsidR="004C74C2" w:rsidRPr="00B53423" w:rsidTr="002B3D6B">
        <w:trPr>
          <w:trHeight w:val="288"/>
        </w:trPr>
        <w:tc>
          <w:tcPr>
            <w:tcW w:w="3240" w:type="dxa"/>
            <w:vMerge w:val="restart"/>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Particulars</w:t>
            </w:r>
          </w:p>
        </w:tc>
        <w:tc>
          <w:tcPr>
            <w:tcW w:w="1170" w:type="dxa"/>
            <w:vMerge w:val="restart"/>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Unit</w:t>
            </w:r>
          </w:p>
        </w:tc>
        <w:tc>
          <w:tcPr>
            <w:tcW w:w="1080" w:type="dxa"/>
            <w:vMerge w:val="restart"/>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Tariff Order</w:t>
            </w:r>
          </w:p>
        </w:tc>
        <w:tc>
          <w:tcPr>
            <w:tcW w:w="1440" w:type="dxa"/>
            <w:vMerge w:val="restart"/>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sz w:val="20"/>
                <w:szCs w:val="20"/>
                <w:lang w:val="en-US"/>
              </w:rPr>
            </w:pPr>
            <w:r w:rsidRPr="00B53423">
              <w:rPr>
                <w:rFonts w:cs="Calibri"/>
                <w:b/>
                <w:bCs/>
                <w:sz w:val="20"/>
                <w:szCs w:val="20"/>
                <w:lang w:val="en-US"/>
              </w:rPr>
              <w:t>Actuals as per Audited Accounts</w:t>
            </w:r>
          </w:p>
        </w:tc>
        <w:tc>
          <w:tcPr>
            <w:tcW w:w="1350" w:type="dxa"/>
            <w:vMerge w:val="restart"/>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1242" w:type="dxa"/>
            <w:vMerge w:val="restart"/>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2B3D6B">
        <w:trPr>
          <w:trHeight w:val="244"/>
        </w:trPr>
        <w:tc>
          <w:tcPr>
            <w:tcW w:w="3240"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170"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080"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440"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sz w:val="20"/>
                <w:szCs w:val="20"/>
                <w:lang w:val="en-US"/>
              </w:rPr>
            </w:pPr>
          </w:p>
        </w:tc>
        <w:tc>
          <w:tcPr>
            <w:tcW w:w="1350"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242"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r>
      <w:tr w:rsidR="004C74C2" w:rsidRPr="00B53423" w:rsidTr="002B3D6B">
        <w:trPr>
          <w:trHeight w:val="20"/>
        </w:trPr>
        <w:tc>
          <w:tcPr>
            <w:tcW w:w="324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MU</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2645.30</w:t>
            </w:r>
          </w:p>
        </w:tc>
        <w:tc>
          <w:tcPr>
            <w:tcW w:w="144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2740.21</w:t>
            </w:r>
          </w:p>
        </w:tc>
        <w:tc>
          <w:tcPr>
            <w:tcW w:w="135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2740.21</w:t>
            </w:r>
          </w:p>
        </w:tc>
        <w:tc>
          <w:tcPr>
            <w:tcW w:w="124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2740.21</w:t>
            </w:r>
          </w:p>
        </w:tc>
      </w:tr>
      <w:tr w:rsidR="004C74C2" w:rsidRPr="00B53423" w:rsidTr="002B3D6B">
        <w:trPr>
          <w:trHeight w:val="144"/>
        </w:trPr>
        <w:tc>
          <w:tcPr>
            <w:tcW w:w="324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Energy Sales</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MU</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2082.60</w:t>
            </w:r>
          </w:p>
        </w:tc>
        <w:tc>
          <w:tcPr>
            <w:tcW w:w="144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1732.08</w:t>
            </w:r>
          </w:p>
        </w:tc>
        <w:tc>
          <w:tcPr>
            <w:tcW w:w="135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1732.08</w:t>
            </w:r>
          </w:p>
        </w:tc>
        <w:tc>
          <w:tcPr>
            <w:tcW w:w="124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1732.08</w:t>
            </w:r>
          </w:p>
        </w:tc>
      </w:tr>
      <w:tr w:rsidR="004C74C2" w:rsidRPr="00B53423" w:rsidTr="002B3D6B">
        <w:trPr>
          <w:trHeight w:val="300"/>
        </w:trPr>
        <w:tc>
          <w:tcPr>
            <w:tcW w:w="324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w:t>
            </w:r>
            <w:r w:rsidR="003E399E" w:rsidRPr="00B53423">
              <w:rPr>
                <w:rFonts w:cs="Calibri"/>
                <w:color w:val="000000"/>
                <w:lang w:val="en-US"/>
              </w:rPr>
              <w:t xml:space="preserve">istribution </w:t>
            </w:r>
            <w:r w:rsidRPr="00B53423">
              <w:rPr>
                <w:rFonts w:cs="Calibri"/>
                <w:color w:val="000000"/>
                <w:lang w:val="en-US"/>
              </w:rPr>
              <w:t>Loss</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Arial" w:hAnsi="Arial" w:cs="Arial"/>
                <w:sz w:val="20"/>
                <w:szCs w:val="20"/>
              </w:rPr>
            </w:pPr>
            <w:r w:rsidRPr="00B53423">
              <w:rPr>
                <w:rFonts w:ascii="Arial" w:hAnsi="Arial" w:cs="Arial"/>
                <w:sz w:val="20"/>
                <w:szCs w:val="20"/>
              </w:rPr>
              <w:t>21.27%</w:t>
            </w:r>
          </w:p>
        </w:tc>
        <w:tc>
          <w:tcPr>
            <w:tcW w:w="144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Arial" w:hAnsi="Arial" w:cs="Arial"/>
                <w:sz w:val="20"/>
                <w:szCs w:val="20"/>
              </w:rPr>
            </w:pPr>
            <w:r w:rsidRPr="00B53423">
              <w:rPr>
                <w:rFonts w:ascii="Arial" w:hAnsi="Arial" w:cs="Arial"/>
                <w:sz w:val="20"/>
                <w:szCs w:val="20"/>
              </w:rPr>
              <w:t>36.79%</w:t>
            </w:r>
          </w:p>
        </w:tc>
        <w:tc>
          <w:tcPr>
            <w:tcW w:w="1350" w:type="dxa"/>
            <w:tcBorders>
              <w:top w:val="nil"/>
              <w:left w:val="nil"/>
              <w:bottom w:val="dotted" w:sz="4" w:space="0" w:color="auto"/>
              <w:right w:val="dotted" w:sz="4" w:space="0" w:color="auto"/>
            </w:tcBorders>
            <w:shd w:val="clear" w:color="000000" w:fill="FFFFFF"/>
            <w:noWrap/>
            <w:vAlign w:val="bottom"/>
            <w:hideMark/>
          </w:tcPr>
          <w:p w:rsidR="004C74C2" w:rsidRPr="00B53423" w:rsidRDefault="002B3D6B" w:rsidP="0015232B">
            <w:pPr>
              <w:spacing w:before="0" w:line="240" w:lineRule="auto"/>
              <w:jc w:val="right"/>
              <w:rPr>
                <w:rFonts w:ascii="Arial" w:hAnsi="Arial" w:cs="Arial"/>
                <w:sz w:val="20"/>
                <w:szCs w:val="20"/>
              </w:rPr>
            </w:pPr>
            <w:r w:rsidRPr="00B53423">
              <w:rPr>
                <w:rFonts w:ascii="Arial" w:hAnsi="Arial" w:cs="Arial"/>
                <w:sz w:val="20"/>
                <w:szCs w:val="20"/>
              </w:rPr>
              <w:t>21.27%</w:t>
            </w:r>
          </w:p>
        </w:tc>
        <w:tc>
          <w:tcPr>
            <w:tcW w:w="124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Arial" w:hAnsi="Arial" w:cs="Arial"/>
                <w:sz w:val="20"/>
                <w:szCs w:val="20"/>
              </w:rPr>
            </w:pPr>
            <w:r w:rsidRPr="00B53423">
              <w:rPr>
                <w:rFonts w:ascii="Arial" w:hAnsi="Arial" w:cs="Arial"/>
                <w:sz w:val="20"/>
                <w:szCs w:val="20"/>
              </w:rPr>
              <w:t>21.27%</w:t>
            </w:r>
          </w:p>
        </w:tc>
      </w:tr>
      <w:tr w:rsidR="004C74C2" w:rsidRPr="00B53423" w:rsidTr="002B3D6B">
        <w:trPr>
          <w:trHeight w:val="300"/>
        </w:trPr>
        <w:tc>
          <w:tcPr>
            <w:tcW w:w="324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 Cost</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Rs. Crore</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697.22</w:t>
            </w:r>
          </w:p>
        </w:tc>
        <w:tc>
          <w:tcPr>
            <w:tcW w:w="144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723.42</w:t>
            </w:r>
          </w:p>
        </w:tc>
        <w:tc>
          <w:tcPr>
            <w:tcW w:w="135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723.42</w:t>
            </w:r>
          </w:p>
        </w:tc>
        <w:tc>
          <w:tcPr>
            <w:tcW w:w="124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r>
      <w:tr w:rsidR="004C74C2" w:rsidRPr="00B53423" w:rsidTr="002B3D6B">
        <w:trPr>
          <w:trHeight w:val="300"/>
        </w:trPr>
        <w:tc>
          <w:tcPr>
            <w:tcW w:w="324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 Cost per unit</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Rs. /kWh</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2.636</w:t>
            </w:r>
          </w:p>
        </w:tc>
        <w:tc>
          <w:tcPr>
            <w:tcW w:w="144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2.640</w:t>
            </w:r>
          </w:p>
        </w:tc>
        <w:tc>
          <w:tcPr>
            <w:tcW w:w="135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2.640</w:t>
            </w:r>
          </w:p>
        </w:tc>
        <w:tc>
          <w:tcPr>
            <w:tcW w:w="124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3.049</w:t>
            </w:r>
          </w:p>
        </w:tc>
      </w:tr>
      <w:tr w:rsidR="004C74C2" w:rsidRPr="00B53423" w:rsidTr="002B3D6B">
        <w:trPr>
          <w:trHeight w:val="300"/>
        </w:trPr>
        <w:tc>
          <w:tcPr>
            <w:tcW w:w="324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Allowable Power Purchase Input</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MU</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c>
          <w:tcPr>
            <w:tcW w:w="144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c>
          <w:tcPr>
            <w:tcW w:w="135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2200.07</w:t>
            </w:r>
          </w:p>
        </w:tc>
        <w:tc>
          <w:tcPr>
            <w:tcW w:w="124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2200.07</w:t>
            </w:r>
          </w:p>
        </w:tc>
      </w:tr>
      <w:tr w:rsidR="004C74C2" w:rsidRPr="00B53423" w:rsidTr="002B3D6B">
        <w:trPr>
          <w:trHeight w:val="377"/>
        </w:trPr>
        <w:tc>
          <w:tcPr>
            <w:tcW w:w="324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Allowable Power Purchase Cost at BST</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lang w:val="en-US"/>
              </w:rPr>
              <w:t xml:space="preserve">Rs. </w:t>
            </w:r>
            <w:r w:rsidR="002B3D6B" w:rsidRPr="00B53423">
              <w:rPr>
                <w:rFonts w:cs="Calibri"/>
                <w:color w:val="000000"/>
                <w:lang w:val="en-US"/>
              </w:rPr>
              <w:t>Crore</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c>
          <w:tcPr>
            <w:tcW w:w="144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c>
          <w:tcPr>
            <w:tcW w:w="135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580.82</w:t>
            </w:r>
            <w:r w:rsidR="002B3D6B" w:rsidRPr="00B53423">
              <w:rPr>
                <w:rFonts w:cs="Calibri"/>
                <w:color w:val="000000"/>
              </w:rPr>
              <w:t>*</w:t>
            </w:r>
          </w:p>
        </w:tc>
        <w:tc>
          <w:tcPr>
            <w:tcW w:w="1242"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670.90</w:t>
            </w:r>
          </w:p>
        </w:tc>
      </w:tr>
    </w:tbl>
    <w:p w:rsidR="004C74C2" w:rsidRPr="00B53423" w:rsidRDefault="003A6B3B" w:rsidP="0015232B">
      <w:pPr>
        <w:pStyle w:val="Heading3"/>
        <w:keepNext w:val="0"/>
        <w:numPr>
          <w:ilvl w:val="0"/>
          <w:numId w:val="0"/>
        </w:numPr>
        <w:ind w:left="720"/>
        <w:rPr>
          <w:i/>
          <w:sz w:val="20"/>
          <w:szCs w:val="20"/>
        </w:rPr>
      </w:pPr>
      <w:r w:rsidRPr="00B53423">
        <w:rPr>
          <w:i/>
          <w:sz w:val="20"/>
          <w:szCs w:val="20"/>
        </w:rPr>
        <w:t>*Power Purchase Cost at pooled cost a</w:t>
      </w:r>
      <w:r w:rsidR="003E399E" w:rsidRPr="00B53423">
        <w:rPr>
          <w:b/>
          <w:i/>
          <w:sz w:val="20"/>
          <w:szCs w:val="20"/>
        </w:rPr>
        <w:t>s</w:t>
      </w:r>
      <w:r w:rsidRPr="00B53423">
        <w:rPr>
          <w:i/>
          <w:sz w:val="20"/>
          <w:szCs w:val="20"/>
        </w:rPr>
        <w:t xml:space="preserve"> submitted by the Petitioner</w:t>
      </w:r>
    </w:p>
    <w:p w:rsidR="00564993" w:rsidRPr="00B53423" w:rsidRDefault="00564993" w:rsidP="0015232B">
      <w:pPr>
        <w:pStyle w:val="Heading2"/>
        <w:keepNext w:val="0"/>
        <w:numPr>
          <w:ilvl w:val="0"/>
          <w:numId w:val="0"/>
        </w:numPr>
        <w:ind w:left="720"/>
      </w:pPr>
    </w:p>
    <w:p w:rsidR="004C74C2" w:rsidRPr="00B53423" w:rsidRDefault="004C74C2" w:rsidP="0015232B">
      <w:pPr>
        <w:pStyle w:val="Heading2"/>
        <w:keepNext w:val="0"/>
        <w:ind w:left="720" w:hanging="1080"/>
      </w:pPr>
      <w:bookmarkStart w:id="458" w:name="_Toc399626179"/>
      <w:r w:rsidRPr="00B53423">
        <w:t>TRANSMISSION CHARGES</w:t>
      </w:r>
      <w:bookmarkEnd w:id="458"/>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14</w:t>
      </w:r>
      <w:r w:rsidRPr="00B53423">
        <w:rPr>
          <w:vertAlign w:val="superscript"/>
        </w:rPr>
        <w:t>th</w:t>
      </w:r>
      <w:r w:rsidRPr="00B53423">
        <w:t xml:space="preserve"> October, 2010 in Petition No. 634 of 2009 in the matter of ARR and Tariff Determination for FY 2009-10, the Commission had approved the Transmission Charges of Rs. 33.22 Crore towards a projected power purchase of 2645.30 MU. The Petitioner submitted that the actual Power Purchase in FY 2009-10 was 2740.21 MU incurring transmission charges to the tune of Rs. 34.53 Crore as per the Audited Accounts. The Petitioner further submitted that the allowable power purchase input for FY 2009-10 works out to 2200.07 MU and therefore for the purpose of claiming the trued of transmission charges this allowable power purchase input has been taken into consideration. The Petitioner further submitted that the per unit rate of Transmission charge at Rs. 0.1516 per kWh has been considered equivalent to the rate submitted by UPPTCL in its True-up Petition filed before the Commission on 29</w:t>
      </w:r>
      <w:r w:rsidRPr="00B53423">
        <w:rPr>
          <w:vertAlign w:val="superscript"/>
        </w:rPr>
        <w:t>th</w:t>
      </w:r>
      <w:r w:rsidRPr="00B53423">
        <w:t xml:space="preserve"> November, 2013 for True up of FY 2009-10 which was subsequently admitted by the Commission in its Admittance Order dated 6</w:t>
      </w:r>
      <w:r w:rsidRPr="00B53423">
        <w:rPr>
          <w:vertAlign w:val="superscript"/>
        </w:rPr>
        <w:t>th</w:t>
      </w:r>
      <w:r w:rsidRPr="00B53423">
        <w:t xml:space="preserve"> May, 2013. The Petitioner further submitted that the allowable Transmission Charges for FY 2009-10 works out to Rs. 33.36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Accordingly, the Petitioner has claimed allowable Transmission Charges of Rs. 33.36 Crore against the actual Transmission Charges of Rs. 34.53 Crore.</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The Commission in its Tariff Order dated 14</w:t>
      </w:r>
      <w:r w:rsidRPr="00B53423">
        <w:rPr>
          <w:vertAlign w:val="superscript"/>
        </w:rPr>
        <w:t>th</w:t>
      </w:r>
      <w:r w:rsidRPr="00B53423">
        <w:t xml:space="preserve"> October, 2010 in Petition No. 634 of 2009 had prescribed the distribution loss targets for the Petitioner. The Commission has computed the allowable power purchase by grossing up the actual energy sales by the approved distribution loss target. It is observed that the Petitioner has considered Transmission Charges at the rate equivalent to the rate submitted by UPPTCL in its True-up Petition, however, the True-up Order in the matter of Petition No. 849 / 2012 and 883 / 2013 was issued by the Commission on 31</w:t>
      </w:r>
      <w:r w:rsidRPr="00B53423">
        <w:rPr>
          <w:vertAlign w:val="superscript"/>
        </w:rPr>
        <w:t>st</w:t>
      </w:r>
      <w:r w:rsidRPr="00B53423">
        <w:t xml:space="preserve"> May, 2013. Thus, to derive the allowable Transmission Charges the allowable power purchase input has been multiplied by the Trued-up transmission tariff for Truing-up.</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 xml:space="preserve">Accordingly, the </w:t>
      </w:r>
      <w:r w:rsidR="00CE6562" w:rsidRPr="00B53423">
        <w:t>T</w:t>
      </w:r>
      <w:r w:rsidRPr="00B53423">
        <w:t>able below provides the allowable Transmission Charges for the Petitioner for FY 2009-10:</w:t>
      </w:r>
    </w:p>
    <w:p w:rsidR="004C74C2" w:rsidRPr="00B53423" w:rsidRDefault="004C74C2" w:rsidP="0015232B">
      <w:pPr>
        <w:pStyle w:val="ListParagraph"/>
        <w:numPr>
          <w:ilvl w:val="2"/>
          <w:numId w:val="0"/>
        </w:numPr>
        <w:spacing w:before="240"/>
        <w:ind w:left="432" w:hanging="180"/>
        <w:rPr>
          <w:rFonts w:asciiTheme="minorHAnsi" w:hAnsiTheme="minorHAnsi" w:cstheme="minorHAnsi"/>
          <w:b/>
        </w:rPr>
      </w:pPr>
      <w:bookmarkStart w:id="459" w:name="_Toc399626337"/>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w:t>
      </w:r>
      <w:r w:rsidR="005D68E7" w:rsidRPr="00B53423">
        <w:rPr>
          <w:rFonts w:asciiTheme="minorHAnsi" w:hAnsiTheme="minorHAnsi" w:cstheme="minorHAnsi"/>
          <w:b/>
        </w:rPr>
        <w:fldChar w:fldCharType="end"/>
      </w:r>
      <w:r w:rsidRPr="00B53423">
        <w:rPr>
          <w:rFonts w:asciiTheme="minorHAnsi" w:hAnsiTheme="minorHAnsi" w:cstheme="minorHAnsi"/>
          <w:b/>
        </w:rPr>
        <w:t>: ALLOWABLE TRANSMISSION CHARGES FOR FY 2009-10 (Rs. Crore)</w:t>
      </w:r>
      <w:bookmarkEnd w:id="459"/>
    </w:p>
    <w:tbl>
      <w:tblPr>
        <w:tblW w:w="8266" w:type="dxa"/>
        <w:jc w:val="center"/>
        <w:tblInd w:w="90" w:type="dxa"/>
        <w:tblLook w:val="04A0"/>
      </w:tblPr>
      <w:tblGrid>
        <w:gridCol w:w="3980"/>
        <w:gridCol w:w="1061"/>
        <w:gridCol w:w="1040"/>
        <w:gridCol w:w="1140"/>
        <w:gridCol w:w="1053"/>
      </w:tblGrid>
      <w:tr w:rsidR="004C74C2" w:rsidRPr="00B53423" w:rsidTr="009268E4">
        <w:trPr>
          <w:trHeight w:val="300"/>
          <w:tblHeader/>
          <w:jc w:val="center"/>
        </w:trPr>
        <w:tc>
          <w:tcPr>
            <w:tcW w:w="398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b/>
                <w:bCs/>
                <w:color w:val="000000"/>
                <w:lang w:val="en-IN" w:eastAsia="en-IN"/>
              </w:rPr>
            </w:pPr>
            <w:r w:rsidRPr="00B53423">
              <w:rPr>
                <w:b/>
                <w:bCs/>
                <w:color w:val="000000"/>
                <w:lang w:val="en-IN" w:eastAsia="en-IN"/>
              </w:rPr>
              <w:t>Particulars</w:t>
            </w:r>
          </w:p>
        </w:tc>
        <w:tc>
          <w:tcPr>
            <w:tcW w:w="1053"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Tariff Order</w:t>
            </w:r>
          </w:p>
        </w:tc>
        <w:tc>
          <w:tcPr>
            <w:tcW w:w="10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sz w:val="20"/>
                <w:szCs w:val="20"/>
                <w:lang w:val="en-US"/>
              </w:rPr>
            </w:pPr>
            <w:r w:rsidRPr="00B53423">
              <w:rPr>
                <w:rFonts w:cs="Calibri"/>
                <w:b/>
                <w:bCs/>
                <w:sz w:val="20"/>
                <w:szCs w:val="20"/>
                <w:lang w:val="en-US"/>
              </w:rPr>
              <w:t>Actuals as per Audited Accounts</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1053"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9268E4">
        <w:trPr>
          <w:trHeight w:val="300"/>
          <w:jc w:val="center"/>
        </w:trPr>
        <w:tc>
          <w:tcPr>
            <w:tcW w:w="398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color w:val="000000"/>
                <w:lang w:val="en-IN" w:eastAsia="en-IN"/>
              </w:rPr>
            </w:pPr>
            <w:r w:rsidRPr="00B53423">
              <w:rPr>
                <w:color w:val="000000"/>
              </w:rPr>
              <w:t>Allowable Units Wheeled (MU)</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2645.30</w:t>
            </w:r>
          </w:p>
        </w:tc>
        <w:tc>
          <w:tcPr>
            <w:tcW w:w="10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w:t>
            </w:r>
          </w:p>
        </w:tc>
        <w:tc>
          <w:tcPr>
            <w:tcW w:w="11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580.82</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670.90</w:t>
            </w:r>
          </w:p>
        </w:tc>
      </w:tr>
      <w:tr w:rsidR="004C74C2" w:rsidRPr="00B53423" w:rsidTr="009268E4">
        <w:trPr>
          <w:trHeight w:val="300"/>
          <w:jc w:val="center"/>
        </w:trPr>
        <w:tc>
          <w:tcPr>
            <w:tcW w:w="398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color w:val="000000"/>
                <w:lang w:val="en-IN" w:eastAsia="en-IN"/>
              </w:rPr>
            </w:pPr>
            <w:r w:rsidRPr="00B53423">
              <w:rPr>
                <w:color w:val="000000"/>
              </w:rPr>
              <w:t>Trued up Transmission Charge (Rs/kWh)</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0.13</w:t>
            </w:r>
          </w:p>
        </w:tc>
        <w:tc>
          <w:tcPr>
            <w:tcW w:w="10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w:t>
            </w:r>
          </w:p>
        </w:tc>
        <w:tc>
          <w:tcPr>
            <w:tcW w:w="11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0.15</w:t>
            </w:r>
            <w:r w:rsidR="002B3D6B" w:rsidRPr="00B53423">
              <w:rPr>
                <w:rFonts w:asciiTheme="minorHAnsi" w:hAnsiTheme="minorHAnsi" w:cstheme="minorHAnsi"/>
              </w:rPr>
              <w:t>16</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0.1</w:t>
            </w:r>
            <w:r w:rsidR="002B3D6B" w:rsidRPr="00B53423">
              <w:rPr>
                <w:rFonts w:asciiTheme="minorHAnsi" w:hAnsiTheme="minorHAnsi" w:cstheme="minorHAnsi"/>
              </w:rPr>
              <w:t>278</w:t>
            </w:r>
          </w:p>
        </w:tc>
      </w:tr>
      <w:tr w:rsidR="004C74C2" w:rsidRPr="00B53423" w:rsidTr="009268E4">
        <w:trPr>
          <w:trHeight w:val="300"/>
          <w:jc w:val="center"/>
        </w:trPr>
        <w:tc>
          <w:tcPr>
            <w:tcW w:w="398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color w:val="000000"/>
                <w:lang w:val="en-IN" w:eastAsia="en-IN"/>
              </w:rPr>
            </w:pPr>
            <w:r w:rsidRPr="00B53423">
              <w:rPr>
                <w:b/>
                <w:bCs/>
                <w:color w:val="000000"/>
              </w:rPr>
              <w:t>Transmission Charges (Rs Crore)</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33.22</w:t>
            </w:r>
          </w:p>
        </w:tc>
        <w:tc>
          <w:tcPr>
            <w:tcW w:w="10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34.53</w:t>
            </w:r>
          </w:p>
        </w:tc>
        <w:tc>
          <w:tcPr>
            <w:tcW w:w="11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33.36</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b/>
              </w:rPr>
              <w:t>28.12</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460" w:name="_Toc399626180"/>
      <w:r w:rsidRPr="00B53423">
        <w:t>O&amp;M EXPENSES</w:t>
      </w:r>
      <w:bookmarkEnd w:id="460"/>
      <w:r w:rsidRPr="00B53423">
        <w:t xml:space="preserve"> </w:t>
      </w:r>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ind w:hanging="1080"/>
      </w:pPr>
      <w:r w:rsidRPr="00B53423">
        <w:t xml:space="preserve">Operation and Maintenance (O&amp;M) expenses comprise of employee related costs, A&amp;G expenses and R&amp;M expenditure.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Petitioner’s submissions on each of the heads of O&amp;M expenditure for FY 2009-10, and the Commission’s analysis on the Truing-up of O&amp;M expenditure heads are detailed below: </w:t>
      </w:r>
    </w:p>
    <w:p w:rsidR="004C74C2" w:rsidRPr="00B53423" w:rsidRDefault="004C74C2" w:rsidP="0015232B">
      <w:pPr>
        <w:spacing w:before="240"/>
        <w:rPr>
          <w:rFonts w:asciiTheme="minorHAnsi" w:hAnsiTheme="minorHAnsi" w:cstheme="minorHAnsi"/>
        </w:rPr>
      </w:pPr>
    </w:p>
    <w:p w:rsidR="004C74C2" w:rsidRPr="00B53423" w:rsidRDefault="004C74C2" w:rsidP="0015232B">
      <w:pPr>
        <w:pStyle w:val="Heading3"/>
        <w:keepNext w:val="0"/>
        <w:ind w:hanging="1080"/>
      </w:pPr>
      <w:r w:rsidRPr="00B53423">
        <w:t>The Petitioner submitted that the actual net employee expense for FY 2009-10 is Rs. 86.71 Crore as against approved expenses of Rs. 60.31 Crore. The Petitioner further submitted that the gross employee expense of Rs. 88.64 Crore include the impact of the growth in the salaries, grade pay and allowances consequent to the 6</w:t>
      </w:r>
      <w:r w:rsidRPr="00B53423">
        <w:rPr>
          <w:vertAlign w:val="superscript"/>
        </w:rPr>
        <w:t>th</w:t>
      </w:r>
      <w:r w:rsidRPr="00B53423">
        <w:t xml:space="preserve"> pay revision. The Petitioner submitted that it has through a separate submission dated 10</w:t>
      </w:r>
      <w:r w:rsidRPr="00B53423">
        <w:rPr>
          <w:vertAlign w:val="superscript"/>
        </w:rPr>
        <w:t>th</w:t>
      </w:r>
      <w:r w:rsidRPr="00B53423">
        <w:t xml:space="preserve"> May, 2013 (filed with the Commission on 13</w:t>
      </w:r>
      <w:r w:rsidRPr="00B53423">
        <w:rPr>
          <w:vertAlign w:val="superscript"/>
        </w:rPr>
        <w:t>th</w:t>
      </w:r>
      <w:r w:rsidRPr="00B53423">
        <w:t xml:space="preserve"> May, 2013) depicted the Commission that the impact of pay revision is to the tune of 51% in FY 2009-10 over normal employee expenses of FY 2008-09. The Petitioner requested the Commission to consider the Employee expenses as per its Audited Accounts.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actual net administrative and general expense for the FY 2009-10 is Rs. 14.75 Crore against the approved expenses of Rs. 11.86 Crore. The Petitioner requested the Commission to consider the A&amp;G expenses as per its Audited Accounts.</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The Petitioner submitted that the actual R&amp;M expense for FY 2009-10 is Rs. 18.71 Crore as against Rs. 19.51 Crore approved in the Tariff Order dated 19</w:t>
      </w:r>
      <w:r w:rsidRPr="00B53423">
        <w:rPr>
          <w:vertAlign w:val="superscript"/>
        </w:rPr>
        <w:t>th</w:t>
      </w:r>
      <w:r w:rsidRPr="00B53423">
        <w:t xml:space="preserve"> October, 2010 in Petition No. 634 of 2009 for FY 2009-10. The Petitioner further submitted that since the actual R&amp;M expenses are lower than the approved R&amp;M expenses thereby making it eligible for efficiency gain requested and has accordingly claimed Rs. 19.11 Crore towards net entitlement of R&amp;M expenses for FY 2009-10 against the approved expenses of Rs. 19.51 Crore.</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In reply to the Commission’s query regarding the basis of capitalization the Petitioner added that the capitalisation of Employee expenses and A&amp;G expenses for FY 2009-10 has been done on the basis of Audited Accounts of FY 2009-10.</w:t>
      </w:r>
    </w:p>
    <w:p w:rsidR="004C74C2" w:rsidRPr="00B53423" w:rsidRDefault="004C74C2" w:rsidP="0015232B">
      <w:pPr>
        <w:spacing w:before="240"/>
        <w:rPr>
          <w:rFonts w:asciiTheme="minorHAnsi" w:hAnsiTheme="minorHAnsi" w:cstheme="minorHAnsi"/>
        </w:rPr>
      </w:pPr>
    </w:p>
    <w:p w:rsidR="004C74C2" w:rsidRPr="00B53423" w:rsidRDefault="004C74C2" w:rsidP="0015232B">
      <w:pPr>
        <w:pStyle w:val="Heading3"/>
        <w:keepNext w:val="0"/>
        <w:ind w:hanging="1080"/>
      </w:pPr>
      <w:r w:rsidRPr="00B53423">
        <w:t>As discussed in</w:t>
      </w:r>
      <w:r w:rsidR="00CE6562" w:rsidRPr="00B53423">
        <w:t xml:space="preserve"> Para </w:t>
      </w:r>
      <w:fldSimple w:instr=" REF _Ref396853489 \r \h  \* MERGEFORMAT ">
        <w:r w:rsidR="00847C1B">
          <w:t>4.4.9</w:t>
        </w:r>
      </w:fldSimple>
      <w:r w:rsidRPr="00B53423">
        <w:t xml:space="preserve"> the Petitioner had adopted 6</w:t>
      </w:r>
      <w:r w:rsidRPr="00B53423">
        <w:rPr>
          <w:vertAlign w:val="superscript"/>
        </w:rPr>
        <w:t>th</w:t>
      </w:r>
      <w:r w:rsidRPr="00B53423">
        <w:t xml:space="preserve"> Pay Revision Committee Recommendations in the month of February 2009. In the True-up Petitions / Audited Accounts for FY 2008-09, </w:t>
      </w:r>
      <w:r w:rsidRPr="00B53423">
        <w:rPr>
          <w:rFonts w:cs="Calibri"/>
        </w:rPr>
        <w:t>2009-10, 2010-11 and 2011-12</w:t>
      </w:r>
      <w:r w:rsidRPr="00B53423">
        <w:t xml:space="preserve"> the Petitioner has submitted that the employee cost of FY 2008-09 includes pay revision provision of Rs. 17.74 Crore pertaining to the period from 1</w:t>
      </w:r>
      <w:r w:rsidRPr="00B53423">
        <w:rPr>
          <w:vertAlign w:val="superscript"/>
        </w:rPr>
        <w:t>st</w:t>
      </w:r>
      <w:r w:rsidRPr="00B53423">
        <w:t xml:space="preserve"> April, 2008 to 31</w:t>
      </w:r>
      <w:r w:rsidRPr="00B53423">
        <w:rPr>
          <w:vertAlign w:val="superscript"/>
        </w:rPr>
        <w:t>st</w:t>
      </w:r>
      <w:r w:rsidRPr="00B53423">
        <w:t xml:space="preserve"> March, 2009 and also includes a provision of Rs. 26.73 Crore towards change in accounting policy of earned leave encashment.</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rPr>
          <w:rFonts w:cs="Calibri"/>
        </w:rPr>
      </w:pPr>
      <w:r w:rsidRPr="00B53423">
        <w:rPr>
          <w:rFonts w:cs="Calibri"/>
        </w:rPr>
        <w:t>The normal increment in salaries was paid from April 2009 onwards. Hence the normal increase in employee costs would be reflected in the Audited Accounts of FY 2009-10.</w:t>
      </w:r>
    </w:p>
    <w:p w:rsidR="004C74C2" w:rsidRPr="00B53423" w:rsidRDefault="004C74C2" w:rsidP="0015232B">
      <w:pPr>
        <w:pStyle w:val="ListParagraph"/>
        <w:ind w:left="180"/>
        <w:rPr>
          <w:rFonts w:cs="Calibri"/>
        </w:rPr>
      </w:pPr>
    </w:p>
    <w:p w:rsidR="004C74C2" w:rsidRPr="00B53423" w:rsidRDefault="004C74C2" w:rsidP="0015232B">
      <w:pPr>
        <w:pStyle w:val="Heading3"/>
        <w:keepNext w:val="0"/>
        <w:ind w:hanging="1080"/>
        <w:rPr>
          <w:rFonts w:cs="Calibri"/>
        </w:rPr>
      </w:pPr>
      <w:r w:rsidRPr="00B53423">
        <w:rPr>
          <w:rFonts w:cs="Calibri"/>
        </w:rPr>
        <w:t xml:space="preserve">The Commission has estimated the percentage increase in normal employee expenses for FY 2009-10 by isolating the impact of pay revision arrear and change in accounting policy provision in 2008-09. The normal gross employee expenses increased from Rs. 58.78 Crore (excluding pay revision arrear and provision towards change in accounting policy of earned leave encashment) in FY 2008-09 to Rs. 88.64 Crore in FY 2009-10 consequent to pay revision, which translates to an increase of 50.79%. </w:t>
      </w:r>
    </w:p>
    <w:p w:rsidR="004C74C2" w:rsidRPr="00B53423" w:rsidRDefault="004C74C2" w:rsidP="0015232B">
      <w:pPr>
        <w:pStyle w:val="ListParagraph"/>
        <w:ind w:left="180"/>
        <w:rPr>
          <w:rFonts w:cs="Calibri"/>
        </w:rPr>
      </w:pPr>
    </w:p>
    <w:p w:rsidR="004C74C2" w:rsidRPr="00B53423" w:rsidRDefault="004C74C2" w:rsidP="0015232B">
      <w:pPr>
        <w:pStyle w:val="Heading3"/>
        <w:keepNext w:val="0"/>
        <w:ind w:hanging="1080"/>
      </w:pPr>
      <w:r w:rsidRPr="00B53423">
        <w:rPr>
          <w:rFonts w:cs="Calibri"/>
        </w:rPr>
        <w:t xml:space="preserve">The normative gross employee expenses for FY 2009-10 have been considered by escalating the component </w:t>
      </w:r>
      <w:r w:rsidRPr="00B53423">
        <w:t>wise</w:t>
      </w:r>
      <w:r w:rsidRPr="00B53423">
        <w:rPr>
          <w:rFonts w:cs="Calibri"/>
        </w:rPr>
        <w:t xml:space="preserve"> normative O&amp;M expenses for FY 2008-09 by 50.79% which is inclusive of the escalation index of 7.52% approved in </w:t>
      </w:r>
      <w:fldSimple w:instr=" REF _Ref395785845 \h  \* MERGEFORMAT ">
        <w:r w:rsidR="00847C1B" w:rsidRPr="00847C1B">
          <w:t xml:space="preserve">Table </w:t>
        </w:r>
        <w:r w:rsidR="00847C1B" w:rsidRPr="00847C1B">
          <w:rPr>
            <w:noProof/>
          </w:rPr>
          <w:t>4</w:t>
        </w:r>
        <w:r w:rsidR="00847C1B" w:rsidRPr="00847C1B">
          <w:rPr>
            <w:noProof/>
          </w:rPr>
          <w:noBreakHyphen/>
          <w:t>3</w:t>
        </w:r>
      </w:fldSimple>
      <w:r w:rsidRPr="00B53423">
        <w:rPr>
          <w:rFonts w:cs="Calibri"/>
        </w:rPr>
        <w:t xml:space="preserve"> above.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rPr>
          <w:i/>
        </w:rPr>
      </w:pPr>
      <w:r w:rsidRPr="00B53423">
        <w:t xml:space="preserve">Further, in addition to the normative O&amp;M cost based on inflationary indices based escalation, incremental O&amp;M expenses at 2.5% on addition of assets during previous year has also been computed in accordance with the Regulation 4.3 (3) of the Distribution Tariff Regulations 2006. </w:t>
      </w:r>
    </w:p>
    <w:p w:rsidR="004C74C2" w:rsidRPr="00B53423" w:rsidRDefault="004C74C2" w:rsidP="0015232B">
      <w:pPr>
        <w:pStyle w:val="Heading3"/>
        <w:keepNext w:val="0"/>
        <w:numPr>
          <w:ilvl w:val="0"/>
          <w:numId w:val="0"/>
        </w:numPr>
        <w:ind w:left="450"/>
        <w:rPr>
          <w:i/>
        </w:rPr>
      </w:pPr>
    </w:p>
    <w:p w:rsidR="004C74C2" w:rsidRPr="00B53423" w:rsidRDefault="004C74C2" w:rsidP="0015232B">
      <w:pPr>
        <w:pStyle w:val="Heading3"/>
        <w:keepNext w:val="0"/>
        <w:ind w:hanging="1080"/>
      </w:pPr>
      <w:r w:rsidRPr="00B53423">
        <w:t xml:space="preserve">Since the actual O&amp;M expenses are lower than the normative O&amp;M expenses, hence, as discussed in Para </w:t>
      </w:r>
      <w:fldSimple w:instr=" REF _Ref396853544 \r \h  \* MERGEFORMAT ">
        <w:r w:rsidR="00847C1B">
          <w:t>4.4.12</w:t>
        </w:r>
      </w:fldSimple>
      <w:r w:rsidRPr="00B53423">
        <w:t>, the Commission has approved the actual audited O&amp;M expenses claimed by the Petitioner for FY 2009-10.</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In reply to the Commission’s query regarding whether CGRF expenses have been included in O&amp;M expenses the Petitioner submitted that the CGRF expenses are part of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CGRF framework approved by the Commission. As detailed in Para</w:t>
      </w:r>
      <w:r w:rsidR="00CE6562" w:rsidRPr="00B53423">
        <w:t xml:space="preserve"> </w:t>
      </w:r>
      <w:fldSimple w:instr=" REF _Ref396853574 \r \h  \* MERGEFORMAT ">
        <w:r w:rsidR="00847C1B">
          <w:t>4.4.13</w:t>
        </w:r>
      </w:fldSimple>
      <w:r w:rsidRPr="00B53423">
        <w:t xml:space="preserve"> above, the Commission has not allowed any additional allowance towards the CGRF expenses.</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In reply to the Commission’s query regarding the details of expenses incurred towards allocation of Interest Charges and O&amp;M Expenses of UPPCL, the Petitioner submitted the chart depicting the allocation of O&amp;M Expenses of UPPCL as shown below:</w:t>
      </w:r>
    </w:p>
    <w:p w:rsidR="004C74C2" w:rsidRPr="00B53423" w:rsidRDefault="004C74C2" w:rsidP="0015232B">
      <w:pPr>
        <w:pStyle w:val="ListParagraph"/>
        <w:ind w:left="180"/>
      </w:pPr>
    </w:p>
    <w:p w:rsidR="004C74C2" w:rsidRPr="00B53423" w:rsidRDefault="004C74C2" w:rsidP="0015232B">
      <w:pPr>
        <w:jc w:val="center"/>
        <w:rPr>
          <w:rFonts w:asciiTheme="minorHAnsi" w:hAnsiTheme="minorHAnsi" w:cstheme="minorHAnsi"/>
          <w:b/>
        </w:rPr>
      </w:pPr>
      <w:bookmarkStart w:id="461" w:name="_Toc399626338"/>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3</w:t>
      </w:r>
      <w:r w:rsidR="005D68E7" w:rsidRPr="00B53423">
        <w:rPr>
          <w:rFonts w:asciiTheme="minorHAnsi" w:hAnsiTheme="minorHAnsi" w:cstheme="minorHAnsi"/>
          <w:b/>
        </w:rPr>
        <w:fldChar w:fldCharType="end"/>
      </w:r>
      <w:r w:rsidRPr="00B53423">
        <w:rPr>
          <w:rFonts w:asciiTheme="minorHAnsi" w:hAnsiTheme="minorHAnsi" w:cstheme="minorHAnsi"/>
          <w:b/>
        </w:rPr>
        <w:t>: ALLOCATION OF O&amp;M EXPENSES IN FY 2009-10 (Rs. Crore)</w:t>
      </w:r>
      <w:bookmarkEnd w:id="461"/>
    </w:p>
    <w:tbl>
      <w:tblPr>
        <w:tblW w:w="7128" w:type="dxa"/>
        <w:tblInd w:w="7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34"/>
        <w:gridCol w:w="1894"/>
      </w:tblGrid>
      <w:tr w:rsidR="004C74C2" w:rsidRPr="00B53423" w:rsidTr="009268E4">
        <w:trPr>
          <w:trHeight w:val="600"/>
          <w:tblHeader/>
        </w:trPr>
        <w:tc>
          <w:tcPr>
            <w:tcW w:w="5234"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lang w:val="en-US"/>
              </w:rPr>
            </w:pPr>
            <w:r w:rsidRPr="00B53423">
              <w:rPr>
                <w:b/>
                <w:bCs/>
                <w:color w:val="000000"/>
                <w:lang w:val="en-US"/>
              </w:rPr>
              <w:t>Particulars</w:t>
            </w:r>
          </w:p>
        </w:tc>
        <w:tc>
          <w:tcPr>
            <w:tcW w:w="1894"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lang w:val="en-US"/>
              </w:rPr>
            </w:pPr>
            <w:r w:rsidRPr="00B53423">
              <w:rPr>
                <w:b/>
                <w:bCs/>
                <w:color w:val="000000"/>
                <w:lang w:val="en-US"/>
              </w:rPr>
              <w:t>Amount</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color w:val="000000"/>
                <w:lang w:val="en-US"/>
              </w:rPr>
            </w:pPr>
            <w:r w:rsidRPr="00B53423">
              <w:rPr>
                <w:color w:val="000000"/>
                <w:lang w:val="en-US"/>
              </w:rPr>
              <w:t>Employees Expenses</w:t>
            </w:r>
          </w:p>
        </w:tc>
        <w:tc>
          <w:tcPr>
            <w:tcW w:w="1894" w:type="dxa"/>
            <w:shd w:val="clear" w:color="auto" w:fill="auto"/>
            <w:vAlign w:val="center"/>
            <w:hideMark/>
          </w:tcPr>
          <w:p w:rsidR="004C74C2" w:rsidRPr="00B53423" w:rsidRDefault="004C74C2" w:rsidP="0015232B">
            <w:pPr>
              <w:spacing w:before="0" w:line="240" w:lineRule="auto"/>
              <w:ind w:right="522"/>
              <w:jc w:val="right"/>
              <w:rPr>
                <w:color w:val="000000"/>
                <w:lang w:val="en-US"/>
              </w:rPr>
            </w:pPr>
            <w:r w:rsidRPr="00B53423">
              <w:rPr>
                <w:color w:val="000000"/>
                <w:lang w:val="en-US"/>
              </w:rPr>
              <w:t>4.47</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color w:val="000000"/>
                <w:lang w:val="en-US"/>
              </w:rPr>
            </w:pPr>
            <w:r w:rsidRPr="00B53423">
              <w:rPr>
                <w:color w:val="000000"/>
                <w:lang w:val="en-US"/>
              </w:rPr>
              <w:t>Administrative, General &amp; Other Expenses</w:t>
            </w:r>
          </w:p>
        </w:tc>
        <w:tc>
          <w:tcPr>
            <w:tcW w:w="1894" w:type="dxa"/>
            <w:shd w:val="clear" w:color="auto" w:fill="auto"/>
            <w:vAlign w:val="center"/>
            <w:hideMark/>
          </w:tcPr>
          <w:p w:rsidR="004C74C2" w:rsidRPr="00B53423" w:rsidRDefault="004C74C2" w:rsidP="0015232B">
            <w:pPr>
              <w:spacing w:before="0" w:line="240" w:lineRule="auto"/>
              <w:ind w:right="522"/>
              <w:jc w:val="right"/>
              <w:rPr>
                <w:color w:val="000000"/>
                <w:lang w:val="en-US"/>
              </w:rPr>
            </w:pPr>
            <w:r w:rsidRPr="00B53423">
              <w:rPr>
                <w:color w:val="000000"/>
                <w:lang w:val="en-US"/>
              </w:rPr>
              <w:t>12.55</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color w:val="000000"/>
                <w:lang w:val="en-US"/>
              </w:rPr>
            </w:pPr>
            <w:r w:rsidRPr="00B53423">
              <w:rPr>
                <w:color w:val="000000"/>
                <w:lang w:val="en-US"/>
              </w:rPr>
              <w:t>Repairs and Maintenance Expenses</w:t>
            </w:r>
          </w:p>
        </w:tc>
        <w:tc>
          <w:tcPr>
            <w:tcW w:w="1894" w:type="dxa"/>
            <w:shd w:val="clear" w:color="auto" w:fill="auto"/>
            <w:vAlign w:val="center"/>
            <w:hideMark/>
          </w:tcPr>
          <w:p w:rsidR="004C74C2" w:rsidRPr="00B53423" w:rsidRDefault="004C74C2" w:rsidP="0015232B">
            <w:pPr>
              <w:spacing w:before="0" w:line="240" w:lineRule="auto"/>
              <w:ind w:right="522"/>
              <w:jc w:val="right"/>
              <w:rPr>
                <w:color w:val="000000"/>
                <w:lang w:val="en-US"/>
              </w:rPr>
            </w:pPr>
            <w:r w:rsidRPr="00B53423">
              <w:rPr>
                <w:color w:val="000000"/>
                <w:lang w:val="en-US"/>
              </w:rPr>
              <w:t>104.47</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b/>
                <w:bCs/>
                <w:color w:val="000000"/>
                <w:lang w:val="en-US"/>
              </w:rPr>
            </w:pPr>
            <w:r w:rsidRPr="00B53423">
              <w:rPr>
                <w:b/>
                <w:bCs/>
                <w:color w:val="000000"/>
                <w:lang w:val="en-US"/>
              </w:rPr>
              <w:t>Total</w:t>
            </w:r>
          </w:p>
        </w:tc>
        <w:tc>
          <w:tcPr>
            <w:tcW w:w="1894" w:type="dxa"/>
            <w:shd w:val="clear" w:color="auto" w:fill="auto"/>
            <w:vAlign w:val="center"/>
            <w:hideMark/>
          </w:tcPr>
          <w:p w:rsidR="004C74C2" w:rsidRPr="00B53423" w:rsidRDefault="004C74C2" w:rsidP="0015232B">
            <w:pPr>
              <w:spacing w:before="0" w:line="240" w:lineRule="auto"/>
              <w:jc w:val="center"/>
              <w:rPr>
                <w:b/>
                <w:bCs/>
                <w:color w:val="000000"/>
                <w:lang w:val="en-US"/>
              </w:rPr>
            </w:pPr>
            <w:r w:rsidRPr="00B53423">
              <w:rPr>
                <w:b/>
                <w:bCs/>
                <w:color w:val="000000"/>
                <w:lang w:val="en-US"/>
              </w:rPr>
              <w:t>121.48</w:t>
            </w:r>
          </w:p>
        </w:tc>
      </w:tr>
    </w:tbl>
    <w:p w:rsidR="004C74C2" w:rsidRPr="00B53423" w:rsidRDefault="004C74C2" w:rsidP="0015232B">
      <w:pPr>
        <w:spacing w:before="0" w:line="312" w:lineRule="auto"/>
        <w:rPr>
          <w:rFonts w:asciiTheme="minorHAnsi" w:hAnsiTheme="minorHAnsi"/>
          <w:sz w:val="22"/>
          <w:szCs w:val="22"/>
        </w:rPr>
      </w:pPr>
    </w:p>
    <w:p w:rsidR="004C74C2" w:rsidRPr="00B53423" w:rsidRDefault="004C74C2" w:rsidP="0015232B">
      <w:pPr>
        <w:spacing w:line="312" w:lineRule="auto"/>
        <w:ind w:left="180"/>
        <w:jc w:val="center"/>
        <w:rPr>
          <w:rFonts w:asciiTheme="minorHAnsi" w:hAnsiTheme="minorHAnsi"/>
          <w:b/>
          <w:sz w:val="22"/>
          <w:szCs w:val="22"/>
        </w:rPr>
      </w:pPr>
      <w:bookmarkStart w:id="462" w:name="_Toc399626339"/>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4</w:t>
      </w:r>
      <w:r w:rsidR="005D68E7" w:rsidRPr="00B53423">
        <w:rPr>
          <w:rFonts w:asciiTheme="minorHAnsi" w:hAnsiTheme="minorHAnsi" w:cstheme="minorHAnsi"/>
          <w:b/>
        </w:rPr>
        <w:fldChar w:fldCharType="end"/>
      </w:r>
      <w:r w:rsidRPr="00B53423">
        <w:rPr>
          <w:rFonts w:asciiTheme="minorHAnsi" w:hAnsiTheme="minorHAnsi" w:cstheme="minorHAnsi"/>
          <w:b/>
        </w:rPr>
        <w:t>: ALLOCATION OF O&amp;M EXPENSES AMONG DISTRIBUTION LICENSEES IN FY 2009-10</w:t>
      </w:r>
      <w:bookmarkEnd w:id="462"/>
    </w:p>
    <w:tbl>
      <w:tblPr>
        <w:tblW w:w="8450" w:type="dxa"/>
        <w:jc w:val="center"/>
        <w:tblInd w:w="-24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tblPr>
      <w:tblGrid>
        <w:gridCol w:w="2411"/>
        <w:gridCol w:w="2340"/>
        <w:gridCol w:w="3699"/>
      </w:tblGrid>
      <w:tr w:rsidR="004C74C2" w:rsidRPr="00B53423" w:rsidTr="009268E4">
        <w:trPr>
          <w:trHeight w:val="558"/>
          <w:tblHeader/>
          <w:jc w:val="center"/>
        </w:trPr>
        <w:tc>
          <w:tcPr>
            <w:tcW w:w="2411"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rPr>
            </w:pPr>
            <w:r w:rsidRPr="00B53423">
              <w:rPr>
                <w:b/>
                <w:bCs/>
                <w:color w:val="000000"/>
              </w:rPr>
              <w:t>Name of Distribution Licensees</w:t>
            </w:r>
          </w:p>
        </w:tc>
        <w:tc>
          <w:tcPr>
            <w:tcW w:w="2340" w:type="dxa"/>
            <w:shd w:val="clear" w:color="auto" w:fill="DBE5F1" w:themeFill="accent1" w:themeFillTint="33"/>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Sales Input (MU)</w:t>
            </w:r>
          </w:p>
        </w:tc>
        <w:tc>
          <w:tcPr>
            <w:tcW w:w="3699" w:type="dxa"/>
            <w:shd w:val="clear" w:color="auto" w:fill="DBE5F1" w:themeFill="accent1" w:themeFillTint="33"/>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O&amp;M Expenses Allocated (Rs. Crore)</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DVVNL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12,959</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612"/>
              <w:jc w:val="right"/>
              <w:rPr>
                <w:color w:val="000000"/>
              </w:rPr>
            </w:pPr>
            <w:r w:rsidRPr="00B53423">
              <w:rPr>
                <w:color w:val="000000"/>
              </w:rPr>
              <w:t>27.74</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left="343" w:hanging="343"/>
              <w:jc w:val="center"/>
              <w:rPr>
                <w:color w:val="000000"/>
              </w:rPr>
            </w:pPr>
            <w:r w:rsidRPr="00B53423">
              <w:rPr>
                <w:color w:val="000000"/>
              </w:rPr>
              <w:t>MVVNL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9,755</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612"/>
              <w:jc w:val="right"/>
              <w:rPr>
                <w:color w:val="000000"/>
              </w:rPr>
            </w:pPr>
            <w:r w:rsidRPr="00B53423">
              <w:rPr>
                <w:color w:val="000000"/>
              </w:rPr>
              <w:t>20.88</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PVVNL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18,237</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612"/>
              <w:jc w:val="right"/>
              <w:rPr>
                <w:color w:val="000000"/>
              </w:rPr>
            </w:pPr>
            <w:r w:rsidRPr="00B53423">
              <w:rPr>
                <w:color w:val="000000"/>
              </w:rPr>
              <w:t>39.04</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PuVVNL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rFonts w:cs="Tahoma"/>
                <w:color w:val="000000"/>
              </w:rPr>
            </w:pPr>
            <w:r w:rsidRPr="00B53423">
              <w:rPr>
                <w:color w:val="000000"/>
              </w:rPr>
              <w:t>12,701</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612"/>
              <w:jc w:val="right"/>
              <w:rPr>
                <w:rFonts w:cs="Tahoma"/>
                <w:color w:val="000000"/>
              </w:rPr>
            </w:pPr>
            <w:r w:rsidRPr="00B53423">
              <w:rPr>
                <w:color w:val="000000"/>
              </w:rPr>
              <w:t>27.19</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KESCO</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2,740</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612"/>
              <w:jc w:val="right"/>
              <w:rPr>
                <w:color w:val="000000"/>
              </w:rPr>
            </w:pPr>
            <w:r w:rsidRPr="00B53423">
              <w:rPr>
                <w:color w:val="000000"/>
              </w:rPr>
              <w:t>5.87</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NPCL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354</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612"/>
              <w:jc w:val="right"/>
              <w:rPr>
                <w:color w:val="000000"/>
              </w:rPr>
            </w:pPr>
            <w:r w:rsidRPr="00B53423">
              <w:rPr>
                <w:color w:val="000000"/>
              </w:rPr>
              <w:t>0.76</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Total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b/>
                <w:bCs/>
                <w:color w:val="000000"/>
              </w:rPr>
            </w:pPr>
            <w:r w:rsidRPr="00B53423">
              <w:rPr>
                <w:b/>
                <w:bCs/>
                <w:color w:val="000000"/>
              </w:rPr>
              <w:t>56,746</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612"/>
              <w:jc w:val="right"/>
              <w:rPr>
                <w:b/>
                <w:bCs/>
                <w:color w:val="000000"/>
              </w:rPr>
            </w:pPr>
            <w:r w:rsidRPr="00B53423">
              <w:rPr>
                <w:b/>
                <w:bCs/>
                <w:color w:val="000000"/>
              </w:rPr>
              <w:t>121.48</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rPr>
          <w:color w:val="FF0000"/>
        </w:rPr>
      </w:pPr>
      <w:r w:rsidRPr="00B53423">
        <w:t xml:space="preserve">As detailed in Para </w:t>
      </w:r>
      <w:fldSimple w:instr=" REF _Ref396853616 \r \h  \* MERGEFORMAT ">
        <w:r w:rsidR="00847C1B">
          <w:t>4.4.15</w:t>
        </w:r>
      </w:fldSimple>
      <w:r w:rsidRPr="00B53423">
        <w:t xml:space="preserve"> above the Commission has considered the allocation of O&amp;M expenses for FY 2009-10 while computing the Bulk Supply Tariff, hence the same has not been allowed separately in the ARR of FY 2009-10.</w:t>
      </w:r>
    </w:p>
    <w:p w:rsidR="004C74C2" w:rsidRPr="00B53423" w:rsidRDefault="004C74C2" w:rsidP="0015232B">
      <w:pPr>
        <w:pStyle w:val="Heading3"/>
        <w:keepNext w:val="0"/>
        <w:numPr>
          <w:ilvl w:val="0"/>
          <w:numId w:val="0"/>
        </w:numPr>
        <w:ind w:left="450"/>
        <w:rPr>
          <w:color w:val="FF0000"/>
        </w:rPr>
      </w:pPr>
    </w:p>
    <w:p w:rsidR="004C74C2" w:rsidRPr="00B53423" w:rsidRDefault="004C74C2" w:rsidP="0015232B">
      <w:pPr>
        <w:pStyle w:val="Heading3"/>
        <w:keepNext w:val="0"/>
        <w:ind w:hanging="1080"/>
      </w:pPr>
      <w:r w:rsidRPr="00B53423">
        <w:t xml:space="preserve">Further, the Petitioner has also claimed efficiency gain on account of R&amp;M expenses of Rs. 0.40 Crore in addition to R&amp;M expenses of Rs. 18.71 Crore resulting into net R&amp;M expenses of Rs. 19.11 Crore. In this regards the Commission in Para </w:t>
      </w:r>
      <w:fldSimple w:instr=" REF _Ref396853647 \r \h  \* MERGEFORMAT ">
        <w:r w:rsidR="00847C1B">
          <w:t>4.4.18</w:t>
        </w:r>
      </w:fldSimple>
      <w:r w:rsidRPr="00B53423">
        <w:t xml:space="preserve"> has explained in detail that the Regulations allows sharing of efficiency gains on account of total O&amp;M expenses and not on the basis of unlike individual heads of O&amp;M expenses as claimed by the Petitioner. </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 xml:space="preserve">Since the actual O&amp;M expenses for FY 2009-10 are lower than the normative O&amp;M expenses thus, in accordance with the Distribution Tariff Regulations, 2006 and the philosophy stated in Para </w:t>
      </w:r>
      <w:fldSimple w:instr=" REF _Ref396853647 \r \h  \* MERGEFORMAT ">
        <w:r w:rsidR="00847C1B">
          <w:t>4.4.18</w:t>
        </w:r>
      </w:fldSimple>
      <w:r w:rsidRPr="00B53423">
        <w:t xml:space="preserve"> the Commission has allowed sharing of efficiency gains with respect to normative O&amp;M expenses for Truing up of FY 2009-10 which works out to Rs. 5.70 Crore as against Rs. 0.40 Crore claimed by the Petitioner. Further, as stated earlier in Para </w:t>
      </w:r>
      <w:fldSimple w:instr=" REF _Ref396853647 \r \h  \* MERGEFORMAT ">
        <w:r w:rsidR="00847C1B">
          <w:t>4.4.18</w:t>
        </w:r>
      </w:fldSimple>
      <w:r w:rsidRPr="00B53423">
        <w:t xml:space="preserve"> the Commission has allowed sharing of efficiency gain on account of O&amp;M expenses separately in the ARR of FY 2009-10 and has not included the same in the O&amp;M expenses as claimed by the Petitioner.</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Accordingly, the summary of O&amp;M expenses approved in the Tariff Order, claimed by the Petitioner and that approved by the Commission in this Order for Truing-up of FY 2009-10 is shown in the Table below:</w:t>
      </w:r>
    </w:p>
    <w:p w:rsidR="004C74C2" w:rsidRPr="00B53423" w:rsidRDefault="004C74C2" w:rsidP="0015232B">
      <w:pPr>
        <w:jc w:val="center"/>
        <w:rPr>
          <w:rFonts w:asciiTheme="minorHAnsi" w:hAnsiTheme="minorHAnsi" w:cstheme="minorHAnsi"/>
          <w:b/>
        </w:rPr>
      </w:pPr>
    </w:p>
    <w:p w:rsidR="004C74C2" w:rsidRPr="00B53423" w:rsidRDefault="004C74C2" w:rsidP="0015232B">
      <w:pPr>
        <w:jc w:val="center"/>
        <w:rPr>
          <w:rFonts w:asciiTheme="minorHAnsi" w:hAnsiTheme="minorHAnsi" w:cstheme="minorHAnsi"/>
          <w:b/>
        </w:rPr>
      </w:pPr>
      <w:bookmarkStart w:id="463" w:name="_Toc399626340"/>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t>: O&amp;M EXPENSES APPROVED BY THE COMMISSION (Rs. Crore)</w:t>
      </w:r>
      <w:bookmarkEnd w:id="463"/>
    </w:p>
    <w:tbl>
      <w:tblPr>
        <w:tblW w:w="5388" w:type="pct"/>
        <w:tblInd w:w="-73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364"/>
        <w:gridCol w:w="990"/>
        <w:gridCol w:w="1530"/>
        <w:gridCol w:w="1080"/>
        <w:gridCol w:w="1440"/>
        <w:gridCol w:w="1170"/>
      </w:tblGrid>
      <w:tr w:rsidR="00983070" w:rsidRPr="00B53423" w:rsidTr="00983070">
        <w:trPr>
          <w:trHeight w:val="1200"/>
          <w:tblHeader/>
        </w:trPr>
        <w:tc>
          <w:tcPr>
            <w:tcW w:w="1757" w:type="pct"/>
            <w:shd w:val="clear" w:color="auto" w:fill="DBE5F1" w:themeFill="accent1" w:themeFillTint="33"/>
            <w:noWrap/>
            <w:hideMark/>
          </w:tcPr>
          <w:p w:rsidR="00983070" w:rsidRPr="00B53423" w:rsidRDefault="008E5045"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Particulars</w:t>
            </w:r>
          </w:p>
        </w:tc>
        <w:tc>
          <w:tcPr>
            <w:tcW w:w="517" w:type="pct"/>
            <w:shd w:val="clear" w:color="auto" w:fill="DBE5F1" w:themeFill="accent1" w:themeFillTint="33"/>
            <w:hideMark/>
          </w:tcPr>
          <w:p w:rsidR="00983070" w:rsidRPr="00B53423" w:rsidRDefault="008E5045"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Tariff Order</w:t>
            </w:r>
          </w:p>
        </w:tc>
        <w:tc>
          <w:tcPr>
            <w:tcW w:w="799" w:type="pct"/>
            <w:shd w:val="clear" w:color="auto" w:fill="DBE5F1" w:themeFill="accent1" w:themeFillTint="33"/>
            <w:hideMark/>
          </w:tcPr>
          <w:p w:rsidR="00983070" w:rsidRPr="00B53423" w:rsidRDefault="008E5045"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Actuals as per Audited Accounts</w:t>
            </w:r>
          </w:p>
        </w:tc>
        <w:tc>
          <w:tcPr>
            <w:tcW w:w="564" w:type="pct"/>
            <w:shd w:val="clear" w:color="auto" w:fill="DBE5F1" w:themeFill="accent1" w:themeFillTint="33"/>
            <w:hideMark/>
          </w:tcPr>
          <w:p w:rsidR="00983070" w:rsidRPr="00B53423" w:rsidRDefault="008E5045"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True-up Petition</w:t>
            </w:r>
          </w:p>
        </w:tc>
        <w:tc>
          <w:tcPr>
            <w:tcW w:w="752" w:type="pct"/>
            <w:shd w:val="clear" w:color="auto" w:fill="DBE5F1" w:themeFill="accent1" w:themeFillTint="33"/>
            <w:hideMark/>
          </w:tcPr>
          <w:p w:rsidR="00983070" w:rsidRPr="00B53423" w:rsidRDefault="008E5045"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Normative Computed in this Order</w:t>
            </w:r>
          </w:p>
        </w:tc>
        <w:tc>
          <w:tcPr>
            <w:tcW w:w="611" w:type="pct"/>
            <w:shd w:val="clear" w:color="auto" w:fill="DBE5F1" w:themeFill="accent1" w:themeFillTint="33"/>
            <w:hideMark/>
          </w:tcPr>
          <w:p w:rsidR="00983070" w:rsidRPr="00B53423" w:rsidRDefault="008E5045"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Allowable</w:t>
            </w:r>
          </w:p>
        </w:tc>
      </w:tr>
      <w:tr w:rsidR="00983070" w:rsidRPr="00B53423" w:rsidTr="00983070">
        <w:trPr>
          <w:trHeight w:val="300"/>
        </w:trPr>
        <w:tc>
          <w:tcPr>
            <w:tcW w:w="1757" w:type="pct"/>
            <w:shd w:val="clear" w:color="auto" w:fill="auto"/>
            <w:noWrap/>
            <w:vAlign w:val="bottom"/>
            <w:hideMark/>
          </w:tcPr>
          <w:p w:rsidR="00983070" w:rsidRPr="00B53423" w:rsidRDefault="008E504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sz w:val="22"/>
                <w:szCs w:val="22"/>
                <w:lang w:val="en-US"/>
              </w:rPr>
              <w:t>Employee Expenses</w:t>
            </w:r>
          </w:p>
        </w:tc>
        <w:tc>
          <w:tcPr>
            <w:tcW w:w="517"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70.96</w:t>
            </w:r>
          </w:p>
        </w:tc>
        <w:tc>
          <w:tcPr>
            <w:tcW w:w="799"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88.64</w:t>
            </w:r>
          </w:p>
        </w:tc>
        <w:tc>
          <w:tcPr>
            <w:tcW w:w="564"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88.64</w:t>
            </w:r>
          </w:p>
        </w:tc>
        <w:tc>
          <w:tcPr>
            <w:tcW w:w="752" w:type="pct"/>
            <w:shd w:val="clear" w:color="auto" w:fill="auto"/>
            <w:noWrap/>
            <w:vAlign w:val="bottom"/>
            <w:hideMark/>
          </w:tcPr>
          <w:p w:rsidR="00983070" w:rsidRPr="00B53423" w:rsidRDefault="008E5045" w:rsidP="0015232B">
            <w:pPr>
              <w:spacing w:before="0"/>
              <w:jc w:val="right"/>
              <w:rPr>
                <w:rFonts w:asciiTheme="minorHAnsi" w:hAnsiTheme="minorHAnsi" w:cstheme="minorHAnsi"/>
              </w:rPr>
            </w:pPr>
            <w:r w:rsidRPr="00B53423">
              <w:rPr>
                <w:rFonts w:asciiTheme="minorHAnsi" w:hAnsiTheme="minorHAnsi" w:cstheme="minorHAnsi"/>
                <w:sz w:val="22"/>
                <w:szCs w:val="22"/>
              </w:rPr>
              <w:t>91.35</w:t>
            </w:r>
          </w:p>
        </w:tc>
        <w:tc>
          <w:tcPr>
            <w:tcW w:w="611"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88.64</w:t>
            </w:r>
          </w:p>
        </w:tc>
      </w:tr>
      <w:tr w:rsidR="00983070" w:rsidRPr="00B53423" w:rsidTr="00983070">
        <w:trPr>
          <w:trHeight w:val="300"/>
        </w:trPr>
        <w:tc>
          <w:tcPr>
            <w:tcW w:w="1757" w:type="pct"/>
            <w:shd w:val="clear" w:color="auto" w:fill="auto"/>
            <w:noWrap/>
            <w:vAlign w:val="bottom"/>
            <w:hideMark/>
          </w:tcPr>
          <w:p w:rsidR="00983070" w:rsidRPr="00B53423" w:rsidRDefault="008E504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sz w:val="22"/>
                <w:szCs w:val="22"/>
                <w:lang w:val="en-US"/>
              </w:rPr>
              <w:t>Repair &amp; Maintenance Expenses</w:t>
            </w:r>
          </w:p>
        </w:tc>
        <w:tc>
          <w:tcPr>
            <w:tcW w:w="517"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19.51</w:t>
            </w:r>
          </w:p>
        </w:tc>
        <w:tc>
          <w:tcPr>
            <w:tcW w:w="799"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18.71</w:t>
            </w:r>
          </w:p>
        </w:tc>
        <w:tc>
          <w:tcPr>
            <w:tcW w:w="564"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18.71</w:t>
            </w:r>
          </w:p>
        </w:tc>
        <w:tc>
          <w:tcPr>
            <w:tcW w:w="752" w:type="pct"/>
            <w:shd w:val="clear" w:color="auto" w:fill="auto"/>
            <w:noWrap/>
            <w:vAlign w:val="bottom"/>
            <w:hideMark/>
          </w:tcPr>
          <w:p w:rsidR="00983070" w:rsidRPr="00B53423" w:rsidRDefault="008E5045" w:rsidP="0015232B">
            <w:pPr>
              <w:spacing w:before="0"/>
              <w:jc w:val="right"/>
              <w:rPr>
                <w:rFonts w:asciiTheme="minorHAnsi" w:hAnsiTheme="minorHAnsi" w:cstheme="minorHAnsi"/>
              </w:rPr>
            </w:pPr>
            <w:r w:rsidRPr="00B53423">
              <w:rPr>
                <w:rFonts w:asciiTheme="minorHAnsi" w:hAnsiTheme="minorHAnsi" w:cstheme="minorHAnsi"/>
                <w:sz w:val="22"/>
                <w:szCs w:val="22"/>
              </w:rPr>
              <w:t>36.76</w:t>
            </w:r>
          </w:p>
        </w:tc>
        <w:tc>
          <w:tcPr>
            <w:tcW w:w="611"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18.71</w:t>
            </w:r>
          </w:p>
        </w:tc>
      </w:tr>
      <w:tr w:rsidR="00983070" w:rsidRPr="00B53423" w:rsidTr="00983070">
        <w:trPr>
          <w:trHeight w:val="300"/>
        </w:trPr>
        <w:tc>
          <w:tcPr>
            <w:tcW w:w="1757" w:type="pct"/>
            <w:shd w:val="clear" w:color="auto" w:fill="auto"/>
            <w:noWrap/>
            <w:vAlign w:val="bottom"/>
            <w:hideMark/>
          </w:tcPr>
          <w:p w:rsidR="00983070" w:rsidRPr="00B53423" w:rsidRDefault="008E504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sz w:val="22"/>
                <w:szCs w:val="22"/>
                <w:lang w:val="en-US"/>
              </w:rPr>
              <w:t>Administrative and General Expenses</w:t>
            </w:r>
          </w:p>
        </w:tc>
        <w:tc>
          <w:tcPr>
            <w:tcW w:w="517"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13.95</w:t>
            </w:r>
          </w:p>
        </w:tc>
        <w:tc>
          <w:tcPr>
            <w:tcW w:w="799"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14.76</w:t>
            </w:r>
          </w:p>
        </w:tc>
        <w:tc>
          <w:tcPr>
            <w:tcW w:w="564"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14.76</w:t>
            </w:r>
          </w:p>
        </w:tc>
        <w:tc>
          <w:tcPr>
            <w:tcW w:w="752" w:type="pct"/>
            <w:shd w:val="clear" w:color="auto" w:fill="auto"/>
            <w:noWrap/>
            <w:vAlign w:val="bottom"/>
            <w:hideMark/>
          </w:tcPr>
          <w:p w:rsidR="00983070" w:rsidRPr="00B53423" w:rsidRDefault="008E5045" w:rsidP="0015232B">
            <w:pPr>
              <w:spacing w:before="0"/>
              <w:jc w:val="right"/>
              <w:rPr>
                <w:rFonts w:asciiTheme="minorHAnsi" w:hAnsiTheme="minorHAnsi" w:cstheme="minorHAnsi"/>
              </w:rPr>
            </w:pPr>
            <w:r w:rsidRPr="00B53423">
              <w:rPr>
                <w:rFonts w:asciiTheme="minorHAnsi" w:hAnsiTheme="minorHAnsi" w:cstheme="minorHAnsi"/>
                <w:sz w:val="22"/>
                <w:szCs w:val="22"/>
              </w:rPr>
              <w:t>5.40</w:t>
            </w:r>
          </w:p>
        </w:tc>
        <w:tc>
          <w:tcPr>
            <w:tcW w:w="611"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14.76</w:t>
            </w:r>
          </w:p>
        </w:tc>
      </w:tr>
      <w:tr w:rsidR="00983070" w:rsidRPr="00B53423" w:rsidTr="00983070">
        <w:trPr>
          <w:trHeight w:val="300"/>
        </w:trPr>
        <w:tc>
          <w:tcPr>
            <w:tcW w:w="1757" w:type="pct"/>
            <w:shd w:val="clear" w:color="auto" w:fill="auto"/>
            <w:noWrap/>
            <w:vAlign w:val="bottom"/>
            <w:hideMark/>
          </w:tcPr>
          <w:p w:rsidR="00983070" w:rsidRPr="00B53423" w:rsidRDefault="008E5045" w:rsidP="0015232B">
            <w:pPr>
              <w:spacing w:before="0" w:line="240" w:lineRule="auto"/>
              <w:jc w:val="left"/>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Gross Operation and Maintenance Expenses</w:t>
            </w:r>
          </w:p>
        </w:tc>
        <w:tc>
          <w:tcPr>
            <w:tcW w:w="517"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104.42</w:t>
            </w:r>
          </w:p>
        </w:tc>
        <w:tc>
          <w:tcPr>
            <w:tcW w:w="799"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122.11</w:t>
            </w:r>
          </w:p>
        </w:tc>
        <w:tc>
          <w:tcPr>
            <w:tcW w:w="564"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122.11</w:t>
            </w:r>
          </w:p>
        </w:tc>
        <w:tc>
          <w:tcPr>
            <w:tcW w:w="752"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133.51</w:t>
            </w:r>
          </w:p>
        </w:tc>
        <w:tc>
          <w:tcPr>
            <w:tcW w:w="611"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122.11</w:t>
            </w:r>
          </w:p>
        </w:tc>
      </w:tr>
      <w:tr w:rsidR="00983070" w:rsidRPr="00B53423" w:rsidTr="00983070">
        <w:trPr>
          <w:trHeight w:val="300"/>
        </w:trPr>
        <w:tc>
          <w:tcPr>
            <w:tcW w:w="1757" w:type="pct"/>
            <w:shd w:val="clear" w:color="auto" w:fill="auto"/>
            <w:noWrap/>
            <w:vAlign w:val="bottom"/>
            <w:hideMark/>
          </w:tcPr>
          <w:p w:rsidR="00983070" w:rsidRPr="00B53423" w:rsidRDefault="008E504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sz w:val="22"/>
                <w:szCs w:val="22"/>
                <w:lang w:val="en-US"/>
              </w:rPr>
              <w:t>Less: Capitalisation</w:t>
            </w:r>
          </w:p>
        </w:tc>
        <w:tc>
          <w:tcPr>
            <w:tcW w:w="517"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0.00</w:t>
            </w:r>
          </w:p>
        </w:tc>
        <w:tc>
          <w:tcPr>
            <w:tcW w:w="799"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0.00</w:t>
            </w:r>
          </w:p>
        </w:tc>
        <w:tc>
          <w:tcPr>
            <w:tcW w:w="564"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0.00</w:t>
            </w:r>
          </w:p>
        </w:tc>
        <w:tc>
          <w:tcPr>
            <w:tcW w:w="752" w:type="pct"/>
            <w:shd w:val="clear" w:color="auto" w:fill="auto"/>
            <w:noWrap/>
            <w:vAlign w:val="bottom"/>
            <w:hideMark/>
          </w:tcPr>
          <w:p w:rsidR="00983070" w:rsidRPr="00B53423" w:rsidRDefault="008E5045" w:rsidP="0015232B">
            <w:pPr>
              <w:spacing w:before="0"/>
              <w:rPr>
                <w:rFonts w:asciiTheme="minorHAnsi" w:hAnsiTheme="minorHAnsi" w:cstheme="minorHAnsi"/>
              </w:rPr>
            </w:pPr>
            <w:r w:rsidRPr="00B53423">
              <w:rPr>
                <w:rFonts w:asciiTheme="minorHAnsi" w:hAnsiTheme="minorHAnsi" w:cstheme="minorHAnsi"/>
                <w:sz w:val="22"/>
                <w:szCs w:val="22"/>
              </w:rPr>
              <w:t> </w:t>
            </w:r>
          </w:p>
        </w:tc>
        <w:tc>
          <w:tcPr>
            <w:tcW w:w="611"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0.00</w:t>
            </w:r>
          </w:p>
        </w:tc>
      </w:tr>
      <w:tr w:rsidR="00983070" w:rsidRPr="00B53423" w:rsidTr="00983070">
        <w:trPr>
          <w:trHeight w:val="300"/>
        </w:trPr>
        <w:tc>
          <w:tcPr>
            <w:tcW w:w="1757" w:type="pct"/>
            <w:shd w:val="clear" w:color="auto" w:fill="auto"/>
            <w:noWrap/>
            <w:vAlign w:val="bottom"/>
            <w:hideMark/>
          </w:tcPr>
          <w:p w:rsidR="00983070" w:rsidRPr="00B53423" w:rsidRDefault="008E504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sz w:val="22"/>
                <w:szCs w:val="22"/>
                <w:lang w:val="en-US"/>
              </w:rPr>
              <w:t>Employee Cost Capitalized</w:t>
            </w:r>
          </w:p>
        </w:tc>
        <w:tc>
          <w:tcPr>
            <w:tcW w:w="517"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10.64</w:t>
            </w:r>
          </w:p>
        </w:tc>
        <w:tc>
          <w:tcPr>
            <w:tcW w:w="799"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1.92</w:t>
            </w:r>
          </w:p>
        </w:tc>
        <w:tc>
          <w:tcPr>
            <w:tcW w:w="564"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1.92</w:t>
            </w:r>
          </w:p>
        </w:tc>
        <w:tc>
          <w:tcPr>
            <w:tcW w:w="752" w:type="pct"/>
            <w:shd w:val="clear" w:color="auto" w:fill="auto"/>
            <w:noWrap/>
            <w:vAlign w:val="bottom"/>
            <w:hideMark/>
          </w:tcPr>
          <w:p w:rsidR="00983070" w:rsidRPr="00B53423" w:rsidRDefault="008E5045" w:rsidP="0015232B">
            <w:pPr>
              <w:spacing w:before="0"/>
              <w:jc w:val="right"/>
              <w:rPr>
                <w:rFonts w:asciiTheme="minorHAnsi" w:hAnsiTheme="minorHAnsi" w:cstheme="minorHAnsi"/>
              </w:rPr>
            </w:pPr>
            <w:r w:rsidRPr="00B53423">
              <w:rPr>
                <w:rFonts w:asciiTheme="minorHAnsi" w:hAnsiTheme="minorHAnsi" w:cstheme="minorHAnsi"/>
                <w:sz w:val="22"/>
                <w:szCs w:val="22"/>
              </w:rPr>
              <w:t>1.92</w:t>
            </w:r>
          </w:p>
        </w:tc>
        <w:tc>
          <w:tcPr>
            <w:tcW w:w="611"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1.92</w:t>
            </w:r>
          </w:p>
        </w:tc>
      </w:tr>
      <w:tr w:rsidR="00983070" w:rsidRPr="00B53423" w:rsidTr="00983070">
        <w:trPr>
          <w:trHeight w:val="300"/>
        </w:trPr>
        <w:tc>
          <w:tcPr>
            <w:tcW w:w="1757" w:type="pct"/>
            <w:shd w:val="clear" w:color="auto" w:fill="auto"/>
            <w:noWrap/>
            <w:vAlign w:val="bottom"/>
            <w:hideMark/>
          </w:tcPr>
          <w:p w:rsidR="00983070" w:rsidRPr="00B53423" w:rsidRDefault="008E504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sz w:val="22"/>
                <w:szCs w:val="22"/>
                <w:lang w:val="en-US"/>
              </w:rPr>
              <w:t>A&amp;G Expenses Capitalized</w:t>
            </w:r>
          </w:p>
        </w:tc>
        <w:tc>
          <w:tcPr>
            <w:tcW w:w="517"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2.09</w:t>
            </w:r>
          </w:p>
        </w:tc>
        <w:tc>
          <w:tcPr>
            <w:tcW w:w="799"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0.01</w:t>
            </w:r>
          </w:p>
        </w:tc>
        <w:tc>
          <w:tcPr>
            <w:tcW w:w="564"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0.01</w:t>
            </w:r>
          </w:p>
        </w:tc>
        <w:tc>
          <w:tcPr>
            <w:tcW w:w="752" w:type="pct"/>
            <w:shd w:val="clear" w:color="auto" w:fill="auto"/>
            <w:noWrap/>
            <w:vAlign w:val="bottom"/>
            <w:hideMark/>
          </w:tcPr>
          <w:p w:rsidR="00983070" w:rsidRPr="00B53423" w:rsidRDefault="008E5045" w:rsidP="0015232B">
            <w:pPr>
              <w:spacing w:before="0"/>
              <w:jc w:val="right"/>
              <w:rPr>
                <w:rFonts w:asciiTheme="minorHAnsi" w:hAnsiTheme="minorHAnsi" w:cstheme="minorHAnsi"/>
              </w:rPr>
            </w:pPr>
            <w:r w:rsidRPr="00B53423">
              <w:rPr>
                <w:rFonts w:asciiTheme="minorHAnsi" w:hAnsiTheme="minorHAnsi" w:cstheme="minorHAnsi"/>
                <w:sz w:val="22"/>
                <w:szCs w:val="22"/>
              </w:rPr>
              <w:t>0.01</w:t>
            </w:r>
          </w:p>
        </w:tc>
        <w:tc>
          <w:tcPr>
            <w:tcW w:w="611" w:type="pct"/>
            <w:shd w:val="clear" w:color="auto" w:fill="auto"/>
            <w:vAlign w:val="bottom"/>
            <w:hideMark/>
          </w:tcPr>
          <w:p w:rsidR="00983070" w:rsidRPr="00B53423" w:rsidRDefault="008E5045" w:rsidP="0015232B">
            <w:pPr>
              <w:spacing w:before="0"/>
              <w:jc w:val="right"/>
              <w:rPr>
                <w:rFonts w:asciiTheme="minorHAnsi" w:hAnsiTheme="minorHAnsi" w:cstheme="minorHAnsi"/>
                <w:color w:val="000000"/>
              </w:rPr>
            </w:pPr>
            <w:r w:rsidRPr="00B53423">
              <w:rPr>
                <w:rFonts w:asciiTheme="minorHAnsi" w:hAnsiTheme="minorHAnsi" w:cstheme="minorHAnsi"/>
                <w:color w:val="000000"/>
                <w:sz w:val="22"/>
                <w:szCs w:val="22"/>
              </w:rPr>
              <w:t>0.01</w:t>
            </w:r>
          </w:p>
        </w:tc>
      </w:tr>
      <w:tr w:rsidR="00983070" w:rsidRPr="00B53423" w:rsidTr="00983070">
        <w:trPr>
          <w:trHeight w:val="300"/>
        </w:trPr>
        <w:tc>
          <w:tcPr>
            <w:tcW w:w="1757" w:type="pct"/>
            <w:shd w:val="clear" w:color="auto" w:fill="auto"/>
            <w:noWrap/>
            <w:vAlign w:val="bottom"/>
            <w:hideMark/>
          </w:tcPr>
          <w:p w:rsidR="00983070" w:rsidRPr="00B53423" w:rsidRDefault="008E504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sz w:val="22"/>
                <w:szCs w:val="22"/>
                <w:lang w:val="en-US"/>
              </w:rPr>
              <w:t> </w:t>
            </w:r>
          </w:p>
        </w:tc>
        <w:tc>
          <w:tcPr>
            <w:tcW w:w="517" w:type="pct"/>
            <w:shd w:val="clear" w:color="auto" w:fill="auto"/>
            <w:vAlign w:val="bottom"/>
            <w:hideMark/>
          </w:tcPr>
          <w:p w:rsidR="00983070" w:rsidRPr="00B53423" w:rsidRDefault="00983070" w:rsidP="0015232B">
            <w:pPr>
              <w:spacing w:before="0"/>
              <w:jc w:val="right"/>
              <w:rPr>
                <w:rFonts w:asciiTheme="minorHAnsi" w:hAnsiTheme="minorHAnsi" w:cstheme="minorHAnsi"/>
                <w:color w:val="000000"/>
              </w:rPr>
            </w:pPr>
          </w:p>
        </w:tc>
        <w:tc>
          <w:tcPr>
            <w:tcW w:w="799" w:type="pct"/>
            <w:shd w:val="clear" w:color="auto" w:fill="auto"/>
            <w:vAlign w:val="bottom"/>
            <w:hideMark/>
          </w:tcPr>
          <w:p w:rsidR="00983070" w:rsidRPr="00B53423" w:rsidRDefault="00983070" w:rsidP="0015232B">
            <w:pPr>
              <w:spacing w:before="0"/>
              <w:jc w:val="right"/>
              <w:rPr>
                <w:rFonts w:asciiTheme="minorHAnsi" w:hAnsiTheme="minorHAnsi" w:cstheme="minorHAnsi"/>
                <w:color w:val="000000"/>
              </w:rPr>
            </w:pPr>
          </w:p>
        </w:tc>
        <w:tc>
          <w:tcPr>
            <w:tcW w:w="564" w:type="pct"/>
            <w:shd w:val="clear" w:color="auto" w:fill="auto"/>
            <w:vAlign w:val="bottom"/>
            <w:hideMark/>
          </w:tcPr>
          <w:p w:rsidR="00983070" w:rsidRPr="00B53423" w:rsidRDefault="00983070" w:rsidP="0015232B">
            <w:pPr>
              <w:spacing w:before="0"/>
              <w:jc w:val="right"/>
              <w:rPr>
                <w:rFonts w:asciiTheme="minorHAnsi" w:hAnsiTheme="minorHAnsi" w:cstheme="minorHAnsi"/>
                <w:color w:val="000000"/>
              </w:rPr>
            </w:pPr>
          </w:p>
        </w:tc>
        <w:tc>
          <w:tcPr>
            <w:tcW w:w="752" w:type="pct"/>
            <w:shd w:val="clear" w:color="auto" w:fill="auto"/>
            <w:noWrap/>
            <w:vAlign w:val="bottom"/>
            <w:hideMark/>
          </w:tcPr>
          <w:p w:rsidR="00983070" w:rsidRPr="00B53423" w:rsidRDefault="00983070" w:rsidP="0015232B">
            <w:pPr>
              <w:spacing w:before="0"/>
              <w:rPr>
                <w:rFonts w:asciiTheme="minorHAnsi" w:hAnsiTheme="minorHAnsi" w:cstheme="minorHAnsi"/>
              </w:rPr>
            </w:pPr>
          </w:p>
        </w:tc>
        <w:tc>
          <w:tcPr>
            <w:tcW w:w="611" w:type="pct"/>
            <w:shd w:val="clear" w:color="auto" w:fill="auto"/>
            <w:vAlign w:val="bottom"/>
            <w:hideMark/>
          </w:tcPr>
          <w:p w:rsidR="00983070" w:rsidRPr="00B53423" w:rsidRDefault="00983070" w:rsidP="0015232B">
            <w:pPr>
              <w:spacing w:before="0"/>
              <w:jc w:val="right"/>
              <w:rPr>
                <w:rFonts w:asciiTheme="minorHAnsi" w:hAnsiTheme="minorHAnsi" w:cstheme="minorHAnsi"/>
                <w:color w:val="000000"/>
              </w:rPr>
            </w:pPr>
          </w:p>
        </w:tc>
      </w:tr>
      <w:tr w:rsidR="00983070" w:rsidRPr="00B53423" w:rsidTr="00983070">
        <w:trPr>
          <w:trHeight w:val="300"/>
        </w:trPr>
        <w:tc>
          <w:tcPr>
            <w:tcW w:w="1757" w:type="pct"/>
            <w:shd w:val="clear" w:color="auto" w:fill="auto"/>
            <w:noWrap/>
            <w:vAlign w:val="bottom"/>
            <w:hideMark/>
          </w:tcPr>
          <w:p w:rsidR="00983070" w:rsidRPr="00B53423" w:rsidRDefault="008E5045" w:rsidP="0015232B">
            <w:pPr>
              <w:spacing w:before="0" w:line="240" w:lineRule="auto"/>
              <w:jc w:val="left"/>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Total Capitalization</w:t>
            </w:r>
          </w:p>
        </w:tc>
        <w:tc>
          <w:tcPr>
            <w:tcW w:w="517"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12.73</w:t>
            </w:r>
          </w:p>
        </w:tc>
        <w:tc>
          <w:tcPr>
            <w:tcW w:w="799"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1.94</w:t>
            </w:r>
          </w:p>
        </w:tc>
        <w:tc>
          <w:tcPr>
            <w:tcW w:w="564"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1.94</w:t>
            </w:r>
          </w:p>
        </w:tc>
        <w:tc>
          <w:tcPr>
            <w:tcW w:w="752" w:type="pct"/>
            <w:shd w:val="clear" w:color="auto" w:fill="auto"/>
            <w:noWrap/>
            <w:vAlign w:val="bottom"/>
            <w:hideMark/>
          </w:tcPr>
          <w:p w:rsidR="00983070" w:rsidRPr="00B53423" w:rsidRDefault="008E5045" w:rsidP="0015232B">
            <w:pPr>
              <w:spacing w:before="0"/>
              <w:jc w:val="right"/>
              <w:rPr>
                <w:rFonts w:asciiTheme="minorHAnsi" w:hAnsiTheme="minorHAnsi" w:cstheme="minorHAnsi"/>
                <w:b/>
                <w:bCs/>
              </w:rPr>
            </w:pPr>
            <w:r w:rsidRPr="00B53423">
              <w:rPr>
                <w:rFonts w:asciiTheme="minorHAnsi" w:hAnsiTheme="minorHAnsi" w:cstheme="minorHAnsi"/>
                <w:b/>
                <w:bCs/>
                <w:sz w:val="22"/>
                <w:szCs w:val="22"/>
              </w:rPr>
              <w:t>1.94</w:t>
            </w:r>
          </w:p>
        </w:tc>
        <w:tc>
          <w:tcPr>
            <w:tcW w:w="611"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1.94</w:t>
            </w:r>
          </w:p>
        </w:tc>
      </w:tr>
      <w:tr w:rsidR="00983070" w:rsidRPr="00B53423" w:rsidTr="00983070">
        <w:trPr>
          <w:trHeight w:val="300"/>
        </w:trPr>
        <w:tc>
          <w:tcPr>
            <w:tcW w:w="1757" w:type="pct"/>
            <w:shd w:val="clear" w:color="auto" w:fill="auto"/>
            <w:noWrap/>
            <w:vAlign w:val="bottom"/>
            <w:hideMark/>
          </w:tcPr>
          <w:p w:rsidR="00983070" w:rsidRPr="00B53423" w:rsidRDefault="008E5045" w:rsidP="0015232B">
            <w:pPr>
              <w:spacing w:before="0" w:line="240" w:lineRule="auto"/>
              <w:jc w:val="left"/>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Net Operation and Maintenance Expenses</w:t>
            </w:r>
          </w:p>
        </w:tc>
        <w:tc>
          <w:tcPr>
            <w:tcW w:w="517"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91.69</w:t>
            </w:r>
          </w:p>
        </w:tc>
        <w:tc>
          <w:tcPr>
            <w:tcW w:w="799"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120.17</w:t>
            </w:r>
          </w:p>
        </w:tc>
        <w:tc>
          <w:tcPr>
            <w:tcW w:w="564"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120.17</w:t>
            </w:r>
          </w:p>
        </w:tc>
        <w:tc>
          <w:tcPr>
            <w:tcW w:w="752" w:type="pct"/>
            <w:shd w:val="clear" w:color="auto" w:fill="auto"/>
            <w:noWrap/>
            <w:vAlign w:val="bottom"/>
            <w:hideMark/>
          </w:tcPr>
          <w:p w:rsidR="00983070" w:rsidRPr="00B53423" w:rsidRDefault="008E5045" w:rsidP="0015232B">
            <w:pPr>
              <w:spacing w:before="0"/>
              <w:jc w:val="right"/>
              <w:rPr>
                <w:rFonts w:asciiTheme="minorHAnsi" w:hAnsiTheme="minorHAnsi" w:cstheme="minorHAnsi"/>
                <w:b/>
                <w:bCs/>
              </w:rPr>
            </w:pPr>
            <w:r w:rsidRPr="00B53423">
              <w:rPr>
                <w:rFonts w:asciiTheme="minorHAnsi" w:hAnsiTheme="minorHAnsi" w:cstheme="minorHAnsi"/>
                <w:b/>
                <w:bCs/>
                <w:sz w:val="22"/>
                <w:szCs w:val="22"/>
              </w:rPr>
              <w:t>131.58</w:t>
            </w:r>
          </w:p>
        </w:tc>
        <w:tc>
          <w:tcPr>
            <w:tcW w:w="611"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120.17</w:t>
            </w:r>
          </w:p>
        </w:tc>
      </w:tr>
      <w:tr w:rsidR="00983070" w:rsidRPr="00B53423" w:rsidTr="00983070">
        <w:trPr>
          <w:trHeight w:val="300"/>
        </w:trPr>
        <w:tc>
          <w:tcPr>
            <w:tcW w:w="1757" w:type="pct"/>
            <w:shd w:val="clear" w:color="auto" w:fill="auto"/>
            <w:noWrap/>
            <w:vAlign w:val="bottom"/>
            <w:hideMark/>
          </w:tcPr>
          <w:p w:rsidR="00983070" w:rsidRPr="00B53423" w:rsidRDefault="008E5045" w:rsidP="0015232B">
            <w:pPr>
              <w:spacing w:before="0" w:line="240" w:lineRule="auto"/>
              <w:jc w:val="left"/>
              <w:rPr>
                <w:rFonts w:asciiTheme="minorHAnsi" w:hAnsiTheme="minorHAnsi" w:cstheme="minorHAnsi"/>
                <w:b/>
                <w:bCs/>
                <w:color w:val="000000"/>
                <w:lang w:val="en-US"/>
              </w:rPr>
            </w:pPr>
            <w:r w:rsidRPr="00B53423">
              <w:rPr>
                <w:rFonts w:asciiTheme="minorHAnsi" w:hAnsiTheme="minorHAnsi" w:cstheme="minorHAnsi"/>
                <w:b/>
                <w:bCs/>
                <w:color w:val="000000"/>
                <w:sz w:val="22"/>
                <w:szCs w:val="22"/>
                <w:lang w:val="en-US"/>
              </w:rPr>
              <w:t>Efficiency Gain</w:t>
            </w:r>
          </w:p>
        </w:tc>
        <w:tc>
          <w:tcPr>
            <w:tcW w:w="517" w:type="pct"/>
            <w:shd w:val="clear" w:color="auto" w:fill="auto"/>
            <w:vAlign w:val="bottom"/>
            <w:hideMark/>
          </w:tcPr>
          <w:p w:rsidR="00983070" w:rsidRPr="00B53423" w:rsidRDefault="00983070" w:rsidP="0015232B">
            <w:pPr>
              <w:spacing w:before="0"/>
              <w:jc w:val="right"/>
              <w:rPr>
                <w:rFonts w:asciiTheme="minorHAnsi" w:hAnsiTheme="minorHAnsi" w:cstheme="minorHAnsi"/>
                <w:b/>
                <w:bCs/>
                <w:color w:val="000000"/>
              </w:rPr>
            </w:pPr>
          </w:p>
        </w:tc>
        <w:tc>
          <w:tcPr>
            <w:tcW w:w="799" w:type="pct"/>
            <w:shd w:val="clear" w:color="auto" w:fill="auto"/>
            <w:vAlign w:val="bottom"/>
            <w:hideMark/>
          </w:tcPr>
          <w:p w:rsidR="00983070" w:rsidRPr="00B53423" w:rsidRDefault="00983070" w:rsidP="0015232B">
            <w:pPr>
              <w:spacing w:before="0"/>
              <w:jc w:val="right"/>
              <w:rPr>
                <w:rFonts w:asciiTheme="minorHAnsi" w:hAnsiTheme="minorHAnsi" w:cstheme="minorHAnsi"/>
                <w:b/>
                <w:bCs/>
                <w:color w:val="000000"/>
              </w:rPr>
            </w:pPr>
          </w:p>
        </w:tc>
        <w:tc>
          <w:tcPr>
            <w:tcW w:w="564"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0.40</w:t>
            </w:r>
          </w:p>
        </w:tc>
        <w:tc>
          <w:tcPr>
            <w:tcW w:w="752" w:type="pct"/>
            <w:shd w:val="clear" w:color="auto" w:fill="auto"/>
            <w:noWrap/>
            <w:vAlign w:val="bottom"/>
            <w:hideMark/>
          </w:tcPr>
          <w:p w:rsidR="00983070" w:rsidRPr="00B53423" w:rsidRDefault="00983070" w:rsidP="0015232B">
            <w:pPr>
              <w:spacing w:before="0"/>
              <w:jc w:val="right"/>
              <w:outlineLvl w:val="1"/>
              <w:rPr>
                <w:rFonts w:asciiTheme="minorHAnsi" w:hAnsiTheme="minorHAnsi" w:cstheme="minorHAnsi"/>
                <w:b/>
                <w:bCs/>
              </w:rPr>
            </w:pPr>
          </w:p>
        </w:tc>
        <w:tc>
          <w:tcPr>
            <w:tcW w:w="611" w:type="pct"/>
            <w:shd w:val="clear" w:color="auto" w:fill="auto"/>
            <w:vAlign w:val="bottom"/>
            <w:hideMark/>
          </w:tcPr>
          <w:p w:rsidR="00983070" w:rsidRPr="00B53423" w:rsidRDefault="008E5045" w:rsidP="0015232B">
            <w:pPr>
              <w:spacing w:before="0"/>
              <w:jc w:val="right"/>
              <w:rPr>
                <w:rFonts w:asciiTheme="minorHAnsi" w:hAnsiTheme="minorHAnsi" w:cstheme="minorHAnsi"/>
                <w:b/>
                <w:bCs/>
                <w:color w:val="000000"/>
              </w:rPr>
            </w:pPr>
            <w:r w:rsidRPr="00B53423">
              <w:rPr>
                <w:rFonts w:asciiTheme="minorHAnsi" w:hAnsiTheme="minorHAnsi" w:cstheme="minorHAnsi"/>
                <w:b/>
                <w:bCs/>
                <w:color w:val="000000"/>
                <w:sz w:val="22"/>
                <w:szCs w:val="22"/>
              </w:rPr>
              <w:t>5.70</w:t>
            </w:r>
          </w:p>
        </w:tc>
      </w:tr>
    </w:tbl>
    <w:p w:rsidR="004C74C2" w:rsidRPr="00B53423" w:rsidRDefault="004C74C2" w:rsidP="0015232B">
      <w:pPr>
        <w:spacing w:before="0"/>
        <w:rPr>
          <w:rFonts w:asciiTheme="minorHAnsi" w:hAnsiTheme="minorHAnsi" w:cstheme="minorHAnsi"/>
        </w:rPr>
      </w:pPr>
    </w:p>
    <w:p w:rsidR="004C74C2" w:rsidRPr="00B53423" w:rsidRDefault="004C74C2" w:rsidP="0015232B">
      <w:pPr>
        <w:pStyle w:val="Heading2"/>
        <w:keepNext w:val="0"/>
        <w:ind w:left="720" w:hanging="1080"/>
      </w:pPr>
      <w:bookmarkStart w:id="464" w:name="_Toc399626181"/>
      <w:r w:rsidRPr="00B53423">
        <w:t>INTEREST AND FINANCE CHARGES</w:t>
      </w:r>
      <w:bookmarkEnd w:id="464"/>
      <w:r w:rsidRPr="00B53423">
        <w:t xml:space="preserve"> </w:t>
      </w:r>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numPr>
          <w:ilvl w:val="0"/>
          <w:numId w:val="0"/>
        </w:numPr>
        <w:ind w:left="450" w:firstLine="270"/>
        <w:rPr>
          <w:b/>
        </w:rPr>
      </w:pPr>
      <w:r w:rsidRPr="00B53423">
        <w:rPr>
          <w:b/>
        </w:rPr>
        <w:t>Interest on Long Term Loans:</w:t>
      </w:r>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ind w:hanging="1080"/>
      </w:pPr>
      <w:r w:rsidRPr="00B53423">
        <w:t>The Petitioner has claimed interest on long term loan of Rs. 11.86 Crore as against Rs. 10.76 Crore approved in the Tariff Order dated 14</w:t>
      </w:r>
      <w:r w:rsidRPr="00B53423">
        <w:rPr>
          <w:vertAlign w:val="superscript"/>
        </w:rPr>
        <w:t>th</w:t>
      </w:r>
      <w:r w:rsidRPr="00B53423">
        <w:t xml:space="preserve"> October, 2010 in Petition No. 634 of 2009. The Petitioner submitted that the interest capitalised for FY 2009-10 was to the tune of Rs. 0.00 Crore as against Rs. 2.47 Crore approved by the Commission in the Tariff Order. Thus, the net interest on loan for FY 2009-10 as submitted by the Petitioner works to Rs. 11.86 Crore as against Rs. 8.29 Crore approved by the Commission in the Tariff Order dated 14</w:t>
      </w:r>
      <w:r w:rsidRPr="00B53423">
        <w:rPr>
          <w:vertAlign w:val="superscript"/>
        </w:rPr>
        <w:t>th</w:t>
      </w:r>
      <w:r w:rsidRPr="00B53423">
        <w:t xml:space="preserve"> October, 2010 in Petition No. 634 of 2009 for FY 2009-10.</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vide its preliminary deficiency note has asked the Petitioner to submit the details of actual loans along</w:t>
      </w:r>
      <w:r w:rsidR="002E0223" w:rsidRPr="00B53423">
        <w:t xml:space="preserve"> </w:t>
      </w:r>
      <w:r w:rsidRPr="00B53423">
        <w:t>with computation of Interest on Loan as claimed by the Petitioner for FY 2009-10 in its True up Petition. In reply to the Commission’s query the Petitioner submitted that subsequent to the filing of the True-up Petition for FY 2008-09 to 2011-12, the Commission issued the True-up Order for FY 2000-01 to 2007-08 on 21</w:t>
      </w:r>
      <w:r w:rsidRPr="00B53423">
        <w:rPr>
          <w:vertAlign w:val="superscript"/>
        </w:rPr>
        <w:t>st</w:t>
      </w:r>
      <w:r w:rsidRPr="00B53423">
        <w:t xml:space="preserve"> May, 2013 in which the Commission had adopted a normative approach to tariff with a gearing of 70:30. The Petitioner submitted that the same was reaffirmed by the Commission in the suo-motu Tariff Order for FY 2013-14.</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The Petitioner further submitted that it is agreeable to the approach followed by the Commission in this regard. Accordingly, based on the normative approach, the Petitioner submitted the re-worked the loan balances, additions based on normative capital expenditure, normative repayment linked with allowable depreciation of the respective year and the average interest rate as per the weighted average interest rate of the licensee as per Audited Accounts. The revised interest on long term loan claimed by the Petitioner based on the normative approach works out to Rs. 2.20 Crore.</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Further, as discussed in Para </w:t>
      </w:r>
      <w:fldSimple w:instr=" REF _Ref396853748 \r \h  \* MERGEFORMAT ">
        <w:r w:rsidR="00847C1B">
          <w:t>4.5.4</w:t>
        </w:r>
      </w:fldSimple>
      <w:r w:rsidRPr="00B53423">
        <w:t xml:space="preserve"> above the Petitioner has reaffirmed that the loan balances and interest amount to be considered includes only the loan amount borrowed from PFC and the interest payable to PFC respectively as disclosed in the books of accounts. Accordingly the Petitioner re-submitted the revised head wise detailed computations of opening and closing loan balances and the weighted average rate of interest after reconciling the same with the Audited Accounts as shown in the Table below:</w:t>
      </w:r>
    </w:p>
    <w:p w:rsidR="004C74C2" w:rsidRPr="00B53423" w:rsidRDefault="004C74C2" w:rsidP="0015232B">
      <w:pPr>
        <w:pStyle w:val="ListParagraph"/>
        <w:ind w:left="180"/>
      </w:pPr>
    </w:p>
    <w:p w:rsidR="004C74C2" w:rsidRPr="00B53423" w:rsidRDefault="004C74C2" w:rsidP="0015232B">
      <w:pPr>
        <w:spacing w:line="312" w:lineRule="auto"/>
        <w:jc w:val="center"/>
        <w:rPr>
          <w:rFonts w:asciiTheme="minorHAnsi" w:hAnsiTheme="minorHAnsi"/>
          <w:b/>
          <w:sz w:val="22"/>
          <w:szCs w:val="22"/>
        </w:rPr>
      </w:pPr>
      <w:bookmarkStart w:id="465" w:name="_Toc399626341"/>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t>: REVISED COMPUTATION OF WEIGHTED AVERAGE RATE OF INTEREST SUBMITTED BY THE PETITIONER (Rs. Crore)</w:t>
      </w:r>
      <w:bookmarkEnd w:id="465"/>
    </w:p>
    <w:tbl>
      <w:tblPr>
        <w:tblW w:w="7560" w:type="dxa"/>
        <w:tblInd w:w="73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670"/>
        <w:gridCol w:w="1890"/>
      </w:tblGrid>
      <w:tr w:rsidR="004C74C2" w:rsidRPr="00B53423" w:rsidTr="00CE6562">
        <w:trPr>
          <w:trHeight w:val="300"/>
          <w:tblHeader/>
        </w:trPr>
        <w:tc>
          <w:tcPr>
            <w:tcW w:w="5670"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rPr>
            </w:pPr>
            <w:r w:rsidRPr="00B53423">
              <w:rPr>
                <w:b/>
                <w:bCs/>
                <w:color w:val="000000"/>
              </w:rPr>
              <w:t>Particulars</w:t>
            </w:r>
          </w:p>
        </w:tc>
        <w:tc>
          <w:tcPr>
            <w:tcW w:w="1890"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rPr>
            </w:pPr>
            <w:r w:rsidRPr="00B53423">
              <w:rPr>
                <w:b/>
                <w:bCs/>
                <w:color w:val="000000"/>
              </w:rPr>
              <w:t>FY 2009-10</w:t>
            </w:r>
          </w:p>
        </w:tc>
      </w:tr>
      <w:tr w:rsidR="004C74C2" w:rsidRPr="00B53423" w:rsidTr="00CE6562">
        <w:trPr>
          <w:trHeight w:val="20"/>
        </w:trPr>
        <w:tc>
          <w:tcPr>
            <w:tcW w:w="5670" w:type="dxa"/>
            <w:shd w:val="clear" w:color="auto" w:fill="auto"/>
            <w:hideMark/>
          </w:tcPr>
          <w:p w:rsidR="004C74C2" w:rsidRPr="00B53423" w:rsidRDefault="004C74C2" w:rsidP="0015232B">
            <w:pPr>
              <w:spacing w:before="0" w:line="240" w:lineRule="auto"/>
              <w:jc w:val="left"/>
              <w:rPr>
                <w:color w:val="000000"/>
              </w:rPr>
            </w:pPr>
            <w:r w:rsidRPr="00B53423">
              <w:t>Opening Loan</w:t>
            </w:r>
          </w:p>
        </w:tc>
        <w:tc>
          <w:tcPr>
            <w:tcW w:w="1890" w:type="dxa"/>
            <w:shd w:val="clear" w:color="auto" w:fill="auto"/>
            <w:vAlign w:val="center"/>
            <w:hideMark/>
          </w:tcPr>
          <w:p w:rsidR="004C74C2" w:rsidRPr="00B53423" w:rsidRDefault="004C74C2" w:rsidP="0015232B">
            <w:pPr>
              <w:spacing w:before="0" w:line="240" w:lineRule="auto"/>
              <w:ind w:right="522"/>
              <w:jc w:val="right"/>
              <w:rPr>
                <w:color w:val="000000"/>
              </w:rPr>
            </w:pPr>
            <w:r w:rsidRPr="00B53423">
              <w:rPr>
                <w:lang w:val="en-IN" w:eastAsia="en-IN"/>
              </w:rPr>
              <w:t>178.98</w:t>
            </w:r>
          </w:p>
        </w:tc>
      </w:tr>
      <w:tr w:rsidR="004C74C2" w:rsidRPr="00B53423" w:rsidTr="00CE6562">
        <w:trPr>
          <w:trHeight w:val="300"/>
        </w:trPr>
        <w:tc>
          <w:tcPr>
            <w:tcW w:w="5670" w:type="dxa"/>
            <w:shd w:val="clear" w:color="auto" w:fill="auto"/>
            <w:hideMark/>
          </w:tcPr>
          <w:p w:rsidR="004C74C2" w:rsidRPr="00B53423" w:rsidRDefault="004C74C2" w:rsidP="0015232B">
            <w:pPr>
              <w:spacing w:before="0" w:line="240" w:lineRule="auto"/>
              <w:jc w:val="left"/>
              <w:rPr>
                <w:rFonts w:cs="Tahoma"/>
                <w:color w:val="000000"/>
              </w:rPr>
            </w:pPr>
            <w:r w:rsidRPr="00B53423">
              <w:t>Closing Loan Balance</w:t>
            </w:r>
          </w:p>
        </w:tc>
        <w:tc>
          <w:tcPr>
            <w:tcW w:w="1890" w:type="dxa"/>
            <w:shd w:val="clear" w:color="auto" w:fill="auto"/>
            <w:vAlign w:val="center"/>
            <w:hideMark/>
          </w:tcPr>
          <w:p w:rsidR="004C74C2" w:rsidRPr="00B53423" w:rsidRDefault="004C74C2" w:rsidP="0015232B">
            <w:pPr>
              <w:spacing w:before="0" w:line="240" w:lineRule="auto"/>
              <w:ind w:right="522"/>
              <w:jc w:val="right"/>
              <w:rPr>
                <w:rFonts w:cs="Tahoma"/>
                <w:color w:val="000000"/>
              </w:rPr>
            </w:pPr>
            <w:r w:rsidRPr="00B53423">
              <w:rPr>
                <w:lang w:val="en-IN" w:eastAsia="en-IN"/>
              </w:rPr>
              <w:t>89.37</w:t>
            </w:r>
          </w:p>
        </w:tc>
      </w:tr>
      <w:tr w:rsidR="004C74C2" w:rsidRPr="00B53423" w:rsidTr="00CE6562">
        <w:trPr>
          <w:trHeight w:val="300"/>
        </w:trPr>
        <w:tc>
          <w:tcPr>
            <w:tcW w:w="5670" w:type="dxa"/>
            <w:shd w:val="clear" w:color="auto" w:fill="auto"/>
            <w:hideMark/>
          </w:tcPr>
          <w:p w:rsidR="004C74C2" w:rsidRPr="00B53423" w:rsidRDefault="004C74C2" w:rsidP="0015232B">
            <w:pPr>
              <w:spacing w:before="0" w:line="240" w:lineRule="auto"/>
              <w:jc w:val="left"/>
              <w:rPr>
                <w:color w:val="000000"/>
              </w:rPr>
            </w:pPr>
            <w:r w:rsidRPr="00B53423">
              <w:t>Interest</w:t>
            </w:r>
          </w:p>
        </w:tc>
        <w:tc>
          <w:tcPr>
            <w:tcW w:w="1890" w:type="dxa"/>
            <w:shd w:val="clear" w:color="auto" w:fill="auto"/>
            <w:vAlign w:val="center"/>
            <w:hideMark/>
          </w:tcPr>
          <w:p w:rsidR="004C74C2" w:rsidRPr="00B53423" w:rsidRDefault="004C74C2" w:rsidP="0015232B">
            <w:pPr>
              <w:spacing w:before="0" w:line="240" w:lineRule="auto"/>
              <w:ind w:right="522"/>
              <w:jc w:val="right"/>
              <w:rPr>
                <w:color w:val="000000"/>
              </w:rPr>
            </w:pPr>
            <w:r w:rsidRPr="00B53423">
              <w:rPr>
                <w:lang w:val="en-IN" w:eastAsia="en-IN"/>
              </w:rPr>
              <w:t>11.24</w:t>
            </w:r>
          </w:p>
        </w:tc>
      </w:tr>
      <w:tr w:rsidR="004C74C2" w:rsidRPr="00B53423" w:rsidTr="00CE6562">
        <w:trPr>
          <w:trHeight w:val="300"/>
        </w:trPr>
        <w:tc>
          <w:tcPr>
            <w:tcW w:w="5670" w:type="dxa"/>
            <w:shd w:val="clear" w:color="auto" w:fill="auto"/>
            <w:hideMark/>
          </w:tcPr>
          <w:p w:rsidR="004C74C2" w:rsidRPr="00B53423" w:rsidRDefault="004C74C2" w:rsidP="0015232B">
            <w:pPr>
              <w:spacing w:before="0" w:line="240" w:lineRule="auto"/>
              <w:jc w:val="left"/>
              <w:rPr>
                <w:b/>
                <w:bCs/>
                <w:color w:val="000000"/>
              </w:rPr>
            </w:pPr>
            <w:r w:rsidRPr="00B53423">
              <w:t>Rate of Interest</w:t>
            </w:r>
            <w:r w:rsidRPr="00B53423" w:rsidDel="002B3EDC">
              <w:rPr>
                <w:b/>
                <w:bCs/>
                <w:color w:val="000000"/>
              </w:rPr>
              <w:t xml:space="preserve"> </w:t>
            </w:r>
          </w:p>
        </w:tc>
        <w:tc>
          <w:tcPr>
            <w:tcW w:w="1890" w:type="dxa"/>
            <w:shd w:val="clear" w:color="auto" w:fill="auto"/>
            <w:vAlign w:val="center"/>
            <w:hideMark/>
          </w:tcPr>
          <w:p w:rsidR="004C74C2" w:rsidRPr="00B53423" w:rsidRDefault="004C74C2" w:rsidP="0015232B">
            <w:pPr>
              <w:spacing w:before="0" w:line="240" w:lineRule="auto"/>
              <w:ind w:right="522"/>
              <w:jc w:val="right"/>
              <w:rPr>
                <w:b/>
                <w:bCs/>
                <w:color w:val="000000"/>
              </w:rPr>
            </w:pPr>
            <w:r w:rsidRPr="00B53423">
              <w:rPr>
                <w:lang w:val="en-IN" w:eastAsia="en-IN"/>
              </w:rPr>
              <w:t>8.38%</w:t>
            </w:r>
          </w:p>
        </w:tc>
      </w:tr>
    </w:tbl>
    <w:p w:rsidR="005D7AFD" w:rsidRPr="00B53423" w:rsidRDefault="005D7AFD" w:rsidP="0015232B">
      <w:pPr>
        <w:pStyle w:val="Heading3"/>
        <w:keepNext w:val="0"/>
        <w:numPr>
          <w:ilvl w:val="0"/>
          <w:numId w:val="0"/>
        </w:numPr>
        <w:ind w:left="720"/>
      </w:pPr>
    </w:p>
    <w:p w:rsidR="004C74C2" w:rsidRPr="00B53423" w:rsidRDefault="004C74C2" w:rsidP="0015232B">
      <w:pPr>
        <w:pStyle w:val="Heading3"/>
        <w:keepNext w:val="0"/>
        <w:ind w:hanging="1080"/>
      </w:pPr>
      <w:r w:rsidRPr="00B53423">
        <w:t>Accordingly, based on the above, the revised interest on long term loan claimed by the Petitioner works out to Rs. 2.08 Crore. Further, the Petitioner has not claimed any amount towards normative interest capitalization in accordance with the Audited Accounts. Thus, net interest on long term loan, claimed by the Petitioner works out to Rs. 2.08 Crore for FY 2009-10.</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further submitted that subsequent to the approval of the True up Orders for FY 2000-01 to 2007-08 on 21</w:t>
      </w:r>
      <w:r w:rsidRPr="00B53423">
        <w:rPr>
          <w:vertAlign w:val="superscript"/>
        </w:rPr>
        <w:t>st</w:t>
      </w:r>
      <w:r w:rsidRPr="00B53423">
        <w:t xml:space="preserve"> May, 2013 and the suo-motu Tariff Order for FY 2013-14, the Commission has itself prescribed that the actual loan balances and interest expenses would not be considered; instead a normative approach with a gearing of 70:30 would be applicable.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added that although the submissions made by it in the True</w:t>
      </w:r>
      <w:r w:rsidR="00CE6562" w:rsidRPr="00B53423">
        <w:t>-</w:t>
      </w:r>
      <w:r w:rsidRPr="00B53423">
        <w:t xml:space="preserve">up Petitions are strictly in line with the Audited Accounts which have been furnished to the Commission, however the capitalisation and ARR components such as depreciation, interest and other expenses be allowed based on the normative approach. </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 xml:space="preserve">As discussed in Para </w:t>
      </w:r>
      <w:fldSimple w:instr=" REF _Ref396853799 \r \h  \* MERGEFORMAT ">
        <w:r w:rsidR="00847C1B">
          <w:t>4.5.8</w:t>
        </w:r>
      </w:fldSimple>
      <w:r w:rsidRPr="00B53423">
        <w:t xml:space="preserve"> above the Commission has considered interest cost as an uncontrollable cost as the interest rate regime is determined by various external factors and the actual loans taken are consequential to the capital expenditure undertaken by the Petitioner.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For the above purpose, the Commission has derived actual capital investments undertaken by the Petitioner in FY 2009-10, based on the Audited Accounts. The details are provided in the Table below:</w:t>
      </w:r>
    </w:p>
    <w:p w:rsidR="004C74C2" w:rsidRPr="00B53423" w:rsidRDefault="004C74C2" w:rsidP="0015232B">
      <w:pPr>
        <w:pStyle w:val="ListParagraph"/>
        <w:ind w:left="180"/>
      </w:pPr>
    </w:p>
    <w:p w:rsidR="004C74C2" w:rsidRPr="00B53423" w:rsidRDefault="004C74C2" w:rsidP="0015232B">
      <w:pPr>
        <w:jc w:val="center"/>
        <w:rPr>
          <w:rFonts w:asciiTheme="minorHAnsi" w:hAnsiTheme="minorHAnsi" w:cstheme="minorHAnsi"/>
          <w:b/>
        </w:rPr>
      </w:pPr>
      <w:bookmarkStart w:id="466" w:name="_Toc399626342"/>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t>: CAPITAL INVESTMENTS IN FY 2009-10 (Rs. Crore)</w:t>
      </w:r>
      <w:bookmarkEnd w:id="466"/>
    </w:p>
    <w:tbl>
      <w:tblPr>
        <w:tblW w:w="8460" w:type="dxa"/>
        <w:tblInd w:w="-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780"/>
        <w:gridCol w:w="1350"/>
        <w:gridCol w:w="1170"/>
        <w:gridCol w:w="1080"/>
        <w:gridCol w:w="1080"/>
      </w:tblGrid>
      <w:tr w:rsidR="004C74C2" w:rsidRPr="00B53423" w:rsidTr="009268E4">
        <w:trPr>
          <w:trHeight w:val="300"/>
          <w:tblHeader/>
        </w:trPr>
        <w:tc>
          <w:tcPr>
            <w:tcW w:w="378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Particulars</w:t>
            </w:r>
          </w:p>
        </w:tc>
        <w:tc>
          <w:tcPr>
            <w:tcW w:w="135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Tariff Order</w:t>
            </w:r>
          </w:p>
        </w:tc>
        <w:tc>
          <w:tcPr>
            <w:tcW w:w="117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Audited</w:t>
            </w:r>
          </w:p>
        </w:tc>
        <w:tc>
          <w:tcPr>
            <w:tcW w:w="108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108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9268E4">
        <w:trPr>
          <w:trHeight w:val="300"/>
        </w:trPr>
        <w:tc>
          <w:tcPr>
            <w:tcW w:w="378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Opening WIP  as on 1st April</w:t>
            </w:r>
          </w:p>
        </w:tc>
        <w:tc>
          <w:tcPr>
            <w:tcW w:w="135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 xml:space="preserve"> 150.67 </w:t>
            </w:r>
          </w:p>
        </w:tc>
        <w:tc>
          <w:tcPr>
            <w:tcW w:w="117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cs="Calibri"/>
                <w:color w:val="000000"/>
              </w:rPr>
              <w:t>50.29</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50.29</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50.29</w:t>
            </w:r>
          </w:p>
        </w:tc>
      </w:tr>
      <w:tr w:rsidR="004C74C2" w:rsidRPr="00B53423" w:rsidTr="009268E4">
        <w:trPr>
          <w:trHeight w:val="330"/>
        </w:trPr>
        <w:tc>
          <w:tcPr>
            <w:tcW w:w="378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Investments</w:t>
            </w:r>
          </w:p>
        </w:tc>
        <w:tc>
          <w:tcPr>
            <w:tcW w:w="135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 xml:space="preserve"> 6.44 </w:t>
            </w:r>
          </w:p>
        </w:tc>
        <w:tc>
          <w:tcPr>
            <w:tcW w:w="117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cs="Calibri"/>
                <w:color w:val="000000"/>
              </w:rPr>
              <w:t>50.99</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50.99</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50.99</w:t>
            </w:r>
          </w:p>
        </w:tc>
      </w:tr>
      <w:tr w:rsidR="004C74C2" w:rsidRPr="00B53423" w:rsidTr="009268E4">
        <w:trPr>
          <w:trHeight w:val="300"/>
        </w:trPr>
        <w:tc>
          <w:tcPr>
            <w:tcW w:w="378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 xml:space="preserve">Employee Expenses Capitalisation </w:t>
            </w:r>
          </w:p>
        </w:tc>
        <w:tc>
          <w:tcPr>
            <w:tcW w:w="135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 xml:space="preserve"> 10.64 </w:t>
            </w:r>
          </w:p>
        </w:tc>
        <w:tc>
          <w:tcPr>
            <w:tcW w:w="117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cs="Calibri"/>
                <w:color w:val="000000"/>
              </w:rPr>
              <w:t>1.92</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1.92</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1.92</w:t>
            </w:r>
          </w:p>
        </w:tc>
      </w:tr>
      <w:tr w:rsidR="004C74C2" w:rsidRPr="00B53423" w:rsidTr="009268E4">
        <w:trPr>
          <w:trHeight w:val="300"/>
        </w:trPr>
        <w:tc>
          <w:tcPr>
            <w:tcW w:w="378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A&amp;G Expenses Capitalisation</w:t>
            </w:r>
          </w:p>
        </w:tc>
        <w:tc>
          <w:tcPr>
            <w:tcW w:w="135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 xml:space="preserve"> 2.09 </w:t>
            </w:r>
          </w:p>
        </w:tc>
        <w:tc>
          <w:tcPr>
            <w:tcW w:w="117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cs="Calibri"/>
                <w:color w:val="000000"/>
              </w:rPr>
              <w:t>0.00</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0.00</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0.00</w:t>
            </w:r>
          </w:p>
        </w:tc>
      </w:tr>
      <w:tr w:rsidR="004C74C2" w:rsidRPr="00B53423" w:rsidTr="009268E4">
        <w:trPr>
          <w:trHeight w:val="600"/>
        </w:trPr>
        <w:tc>
          <w:tcPr>
            <w:tcW w:w="378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Interest Capitalisation on Interest on long term loans</w:t>
            </w:r>
          </w:p>
        </w:tc>
        <w:tc>
          <w:tcPr>
            <w:tcW w:w="135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 xml:space="preserve"> 2.47 </w:t>
            </w:r>
          </w:p>
        </w:tc>
        <w:tc>
          <w:tcPr>
            <w:tcW w:w="117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cs="Calibri"/>
                <w:color w:val="000000"/>
              </w:rPr>
              <w:t>0.01</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0.01</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0.01</w:t>
            </w:r>
          </w:p>
        </w:tc>
      </w:tr>
      <w:tr w:rsidR="004C74C2" w:rsidRPr="00B53423" w:rsidTr="009268E4">
        <w:trPr>
          <w:trHeight w:val="300"/>
        </w:trPr>
        <w:tc>
          <w:tcPr>
            <w:tcW w:w="3780" w:type="dxa"/>
            <w:shd w:val="clear" w:color="auto" w:fill="auto"/>
            <w:hideMark/>
          </w:tcPr>
          <w:p w:rsidR="004C74C2" w:rsidRPr="00B53423" w:rsidRDefault="004C74C2" w:rsidP="0015232B">
            <w:pPr>
              <w:spacing w:before="0" w:line="240" w:lineRule="auto"/>
              <w:jc w:val="left"/>
              <w:rPr>
                <w:rFonts w:cs="Calibri"/>
                <w:bCs/>
                <w:lang w:val="en-US"/>
              </w:rPr>
            </w:pPr>
            <w:r w:rsidRPr="00B53423">
              <w:rPr>
                <w:rFonts w:cs="Calibri"/>
                <w:bCs/>
                <w:lang w:val="en-US"/>
              </w:rPr>
              <w:t>Total Investments</w:t>
            </w:r>
          </w:p>
        </w:tc>
        <w:tc>
          <w:tcPr>
            <w:tcW w:w="135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 xml:space="preserve"> 172.32 </w:t>
            </w:r>
          </w:p>
        </w:tc>
        <w:tc>
          <w:tcPr>
            <w:tcW w:w="117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cs="Calibri"/>
                <w:bCs/>
                <w:color w:val="000000"/>
              </w:rPr>
              <w:t>103.22</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bCs/>
                <w:color w:val="000000"/>
              </w:rPr>
              <w:t>103.22</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bCs/>
                <w:color w:val="000000"/>
              </w:rPr>
              <w:t>103.22</w:t>
            </w:r>
          </w:p>
        </w:tc>
      </w:tr>
      <w:tr w:rsidR="004C74C2" w:rsidRPr="00B53423" w:rsidTr="009268E4">
        <w:trPr>
          <w:trHeight w:val="300"/>
        </w:trPr>
        <w:tc>
          <w:tcPr>
            <w:tcW w:w="3780" w:type="dxa"/>
            <w:shd w:val="clear" w:color="auto" w:fill="auto"/>
            <w:hideMark/>
          </w:tcPr>
          <w:p w:rsidR="004C74C2" w:rsidRPr="00B53423" w:rsidRDefault="004C74C2" w:rsidP="0015232B">
            <w:pPr>
              <w:spacing w:before="0" w:line="240" w:lineRule="auto"/>
              <w:jc w:val="left"/>
              <w:rPr>
                <w:rFonts w:cs="Calibri"/>
                <w:bCs/>
                <w:lang w:val="en-US"/>
              </w:rPr>
            </w:pPr>
            <w:r w:rsidRPr="00B53423">
              <w:rPr>
                <w:rFonts w:cs="Calibri"/>
                <w:bCs/>
                <w:lang w:val="en-US"/>
              </w:rPr>
              <w:t>Transferred to GFA (Total Capitalisation)</w:t>
            </w:r>
          </w:p>
        </w:tc>
        <w:tc>
          <w:tcPr>
            <w:tcW w:w="135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color w:val="000000"/>
              </w:rPr>
              <w:t xml:space="preserve"> 68.93 </w:t>
            </w:r>
          </w:p>
        </w:tc>
        <w:tc>
          <w:tcPr>
            <w:tcW w:w="117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cs="Calibri"/>
                <w:bCs/>
                <w:color w:val="000000"/>
              </w:rPr>
              <w:t>56.74</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bCs/>
                <w:color w:val="000000"/>
              </w:rPr>
              <w:t>56.74</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bCs/>
                <w:color w:val="000000"/>
              </w:rPr>
              <w:t>56.74</w:t>
            </w:r>
          </w:p>
        </w:tc>
      </w:tr>
      <w:tr w:rsidR="004C74C2" w:rsidRPr="00B53423" w:rsidTr="009268E4">
        <w:trPr>
          <w:trHeight w:val="300"/>
        </w:trPr>
        <w:tc>
          <w:tcPr>
            <w:tcW w:w="3780" w:type="dxa"/>
            <w:shd w:val="clear" w:color="auto" w:fill="auto"/>
            <w:hideMark/>
          </w:tcPr>
          <w:p w:rsidR="004C74C2" w:rsidRPr="00B53423" w:rsidRDefault="004C74C2" w:rsidP="0015232B">
            <w:pPr>
              <w:spacing w:before="0" w:line="240" w:lineRule="auto"/>
              <w:jc w:val="left"/>
              <w:rPr>
                <w:rFonts w:cs="Calibri"/>
                <w:bCs/>
                <w:lang w:val="en-US"/>
              </w:rPr>
            </w:pPr>
            <w:r w:rsidRPr="00B53423">
              <w:rPr>
                <w:rFonts w:cs="Calibri"/>
                <w:bCs/>
                <w:lang w:val="en-US"/>
              </w:rPr>
              <w:t>Closing WIP</w:t>
            </w:r>
          </w:p>
        </w:tc>
        <w:tc>
          <w:tcPr>
            <w:tcW w:w="135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cs="Calibri"/>
                <w:color w:val="000000"/>
              </w:rPr>
              <w:t xml:space="preserve"> 103.39 </w:t>
            </w:r>
          </w:p>
        </w:tc>
        <w:tc>
          <w:tcPr>
            <w:tcW w:w="117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cs="Calibri"/>
                <w:bCs/>
                <w:color w:val="000000"/>
              </w:rPr>
              <w:t>46.48</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bCs/>
                <w:color w:val="000000"/>
              </w:rPr>
              <w:t>46.48</w:t>
            </w:r>
          </w:p>
        </w:tc>
        <w:tc>
          <w:tcPr>
            <w:tcW w:w="108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cs="Calibri"/>
                <w:bCs/>
                <w:color w:val="000000"/>
              </w:rPr>
              <w:t>46.48</w:t>
            </w:r>
          </w:p>
        </w:tc>
      </w:tr>
    </w:tbl>
    <w:p w:rsidR="004C74C2" w:rsidRPr="00B53423" w:rsidRDefault="004C74C2" w:rsidP="0015232B">
      <w:pPr>
        <w:spacing w:before="0"/>
        <w:jc w:val="center"/>
        <w:rPr>
          <w:rFonts w:asciiTheme="minorHAnsi" w:hAnsiTheme="minorHAnsi" w:cstheme="minorHAnsi"/>
          <w:b/>
        </w:rPr>
      </w:pPr>
    </w:p>
    <w:p w:rsidR="004C74C2" w:rsidRPr="00B53423" w:rsidRDefault="004C74C2" w:rsidP="0015232B">
      <w:pPr>
        <w:pStyle w:val="Heading3"/>
        <w:keepNext w:val="0"/>
        <w:ind w:hanging="1080"/>
      </w:pPr>
      <w:r w:rsidRPr="00B53423">
        <w:t xml:space="preserve">The Commission has followed the same approach as in previous Orders and therefore, considering the normative 70:30 gearing approach, 70% of the capital expenditure undertaken in any year has been considered to be financed through loan and balance 30% has been considered to be financed through equity contributions.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vide its deficiency note asked the Petitioner to submit the details of the GFA addition on account of Consumer Contribution, Grants and subsidies for FY 2008-09 to FY 2011-12. In reply to the Commission’s query the Petitioner submitted the details of GFA addition on account of Consumer Contribution, Grants and subsidies for FY 2009-10 as shown in the Table below:</w:t>
      </w:r>
    </w:p>
    <w:p w:rsidR="004C74C2" w:rsidRPr="00B53423" w:rsidRDefault="004C74C2" w:rsidP="0015232B">
      <w:pPr>
        <w:pStyle w:val="ListParagraph"/>
        <w:ind w:left="180"/>
      </w:pPr>
    </w:p>
    <w:p w:rsidR="004C74C2" w:rsidRPr="00B53423" w:rsidRDefault="004C74C2" w:rsidP="0015232B">
      <w:pPr>
        <w:pStyle w:val="ListParagraph"/>
        <w:spacing w:line="312" w:lineRule="auto"/>
        <w:ind w:left="360" w:firstLine="360"/>
        <w:rPr>
          <w:rFonts w:asciiTheme="minorHAnsi" w:hAnsiTheme="minorHAnsi"/>
          <w:sz w:val="22"/>
          <w:szCs w:val="22"/>
        </w:rPr>
      </w:pPr>
      <w:bookmarkStart w:id="467" w:name="_Toc399626343"/>
      <w:r w:rsidRPr="00B53423">
        <w:rPr>
          <w:rFonts w:asciiTheme="minorHAnsi" w:hAnsiTheme="minorHAnsi" w:cstheme="minorHAnsi"/>
          <w:b/>
          <w:caps/>
        </w:rPr>
        <w:t xml:space="preserve">Table </w:t>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STYLEREF 1 \s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5</w:t>
      </w:r>
      <w:r w:rsidR="005D68E7" w:rsidRPr="00B53423">
        <w:rPr>
          <w:rFonts w:asciiTheme="minorHAnsi" w:hAnsiTheme="minorHAnsi" w:cstheme="minorHAnsi"/>
          <w:b/>
          <w:caps/>
        </w:rPr>
        <w:fldChar w:fldCharType="end"/>
      </w:r>
      <w:r w:rsidRPr="00B53423">
        <w:rPr>
          <w:rFonts w:asciiTheme="minorHAnsi" w:hAnsiTheme="minorHAnsi" w:cstheme="minorHAnsi"/>
          <w:b/>
          <w:caps/>
        </w:rPr>
        <w:noBreakHyphen/>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SEQ Table \* ARABIC \s 1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8</w:t>
      </w:r>
      <w:r w:rsidR="005D68E7" w:rsidRPr="00B53423">
        <w:rPr>
          <w:rFonts w:asciiTheme="minorHAnsi" w:hAnsiTheme="minorHAnsi" w:cstheme="minorHAnsi"/>
          <w:b/>
          <w:caps/>
        </w:rPr>
        <w:fldChar w:fldCharType="end"/>
      </w:r>
      <w:r w:rsidRPr="00B53423">
        <w:rPr>
          <w:rFonts w:asciiTheme="minorHAnsi" w:hAnsiTheme="minorHAnsi" w:cstheme="minorHAnsi"/>
          <w:b/>
          <w:caps/>
        </w:rPr>
        <w:t xml:space="preserve">: </w:t>
      </w:r>
      <w:r w:rsidRPr="00B53423">
        <w:rPr>
          <w:rFonts w:asciiTheme="minorHAnsi" w:hAnsiTheme="minorHAnsi"/>
          <w:caps/>
          <w:sz w:val="22"/>
          <w:szCs w:val="22"/>
        </w:rPr>
        <w:t xml:space="preserve"> </w:t>
      </w:r>
      <w:r w:rsidRPr="00B53423">
        <w:rPr>
          <w:rFonts w:asciiTheme="minorHAnsi" w:hAnsiTheme="minorHAnsi"/>
          <w:b/>
          <w:caps/>
          <w:sz w:val="22"/>
          <w:szCs w:val="22"/>
        </w:rPr>
        <w:t>Consumer Contribution</w:t>
      </w:r>
      <w:r w:rsidRPr="00B53423">
        <w:rPr>
          <w:rFonts w:asciiTheme="minorHAnsi" w:hAnsiTheme="minorHAnsi" w:cstheme="minorHAnsi"/>
          <w:b/>
          <w:caps/>
          <w:sz w:val="22"/>
          <w:szCs w:val="22"/>
        </w:rPr>
        <w:t>, Grants and subsidies</w:t>
      </w:r>
      <w:r w:rsidRPr="00B53423">
        <w:rPr>
          <w:rFonts w:asciiTheme="minorHAnsi" w:hAnsiTheme="minorHAnsi" w:cstheme="minorHAnsi"/>
          <w:b/>
          <w:sz w:val="22"/>
          <w:szCs w:val="22"/>
        </w:rPr>
        <w:t xml:space="preserve"> (Rs. Crore)</w:t>
      </w:r>
      <w:bookmarkEnd w:id="467"/>
    </w:p>
    <w:tbl>
      <w:tblPr>
        <w:tblW w:w="7308" w:type="dxa"/>
        <w:jc w:val="center"/>
        <w:tblInd w:w="-278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584"/>
        <w:gridCol w:w="1724"/>
      </w:tblGrid>
      <w:tr w:rsidR="004C74C2" w:rsidRPr="00B53423" w:rsidTr="009268E4">
        <w:trPr>
          <w:trHeight w:val="300"/>
          <w:tblHeader/>
          <w:jc w:val="center"/>
        </w:trPr>
        <w:tc>
          <w:tcPr>
            <w:tcW w:w="5584" w:type="dxa"/>
            <w:shd w:val="clear" w:color="auto" w:fill="DBE5F1" w:themeFill="accent1" w:themeFillTint="33"/>
            <w:noWrap/>
            <w:vAlign w:val="center"/>
            <w:hideMark/>
          </w:tcPr>
          <w:p w:rsidR="004C74C2" w:rsidRPr="00B53423" w:rsidRDefault="004C74C2" w:rsidP="0015232B">
            <w:pPr>
              <w:spacing w:before="0"/>
              <w:jc w:val="center"/>
              <w:rPr>
                <w:b/>
                <w:bCs/>
                <w:color w:val="000000"/>
              </w:rPr>
            </w:pPr>
            <w:r w:rsidRPr="00B53423">
              <w:rPr>
                <w:b/>
                <w:bCs/>
                <w:color w:val="000000"/>
              </w:rPr>
              <w:t>Particulars</w:t>
            </w:r>
          </w:p>
        </w:tc>
        <w:tc>
          <w:tcPr>
            <w:tcW w:w="1724" w:type="dxa"/>
            <w:shd w:val="clear" w:color="auto" w:fill="DBE5F1" w:themeFill="accent1" w:themeFillTint="33"/>
            <w:noWrap/>
            <w:vAlign w:val="center"/>
            <w:hideMark/>
          </w:tcPr>
          <w:p w:rsidR="004C74C2" w:rsidRPr="00B53423" w:rsidRDefault="004C74C2" w:rsidP="0015232B">
            <w:pPr>
              <w:spacing w:before="0"/>
              <w:rPr>
                <w:b/>
                <w:bCs/>
                <w:color w:val="000000"/>
              </w:rPr>
            </w:pPr>
            <w:r w:rsidRPr="00B53423">
              <w:rPr>
                <w:b/>
                <w:bCs/>
                <w:color w:val="000000"/>
              </w:rPr>
              <w:t xml:space="preserve"> FY 2009-10</w:t>
            </w:r>
          </w:p>
        </w:tc>
      </w:tr>
      <w:tr w:rsidR="004C74C2" w:rsidRPr="00B53423" w:rsidTr="009268E4">
        <w:trPr>
          <w:trHeight w:val="300"/>
          <w:jc w:val="center"/>
        </w:trPr>
        <w:tc>
          <w:tcPr>
            <w:tcW w:w="5584"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Opening Balance</w:t>
            </w:r>
          </w:p>
        </w:tc>
        <w:tc>
          <w:tcPr>
            <w:tcW w:w="1724" w:type="dxa"/>
            <w:shd w:val="clear" w:color="auto" w:fill="auto"/>
            <w:noWrap/>
            <w:vAlign w:val="center"/>
            <w:hideMark/>
          </w:tcPr>
          <w:p w:rsidR="004C74C2" w:rsidRPr="00B53423" w:rsidRDefault="004C74C2" w:rsidP="0015232B">
            <w:pPr>
              <w:spacing w:before="0" w:line="240" w:lineRule="auto"/>
              <w:ind w:right="410"/>
              <w:jc w:val="right"/>
              <w:rPr>
                <w:color w:val="000000"/>
              </w:rPr>
            </w:pPr>
            <w:r w:rsidRPr="00B53423">
              <w:rPr>
                <w:color w:val="000000"/>
              </w:rPr>
              <w:t>121.81</w:t>
            </w:r>
          </w:p>
        </w:tc>
      </w:tr>
      <w:tr w:rsidR="004C74C2" w:rsidRPr="00B53423" w:rsidTr="009268E4">
        <w:trPr>
          <w:trHeight w:val="300"/>
          <w:jc w:val="center"/>
        </w:trPr>
        <w:tc>
          <w:tcPr>
            <w:tcW w:w="5584"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Additions during the year</w:t>
            </w:r>
          </w:p>
        </w:tc>
        <w:tc>
          <w:tcPr>
            <w:tcW w:w="1724" w:type="dxa"/>
            <w:shd w:val="clear" w:color="auto" w:fill="auto"/>
            <w:noWrap/>
            <w:vAlign w:val="center"/>
            <w:hideMark/>
          </w:tcPr>
          <w:p w:rsidR="004C74C2" w:rsidRPr="00B53423" w:rsidRDefault="004C74C2" w:rsidP="0015232B">
            <w:pPr>
              <w:spacing w:before="0" w:line="240" w:lineRule="auto"/>
              <w:ind w:right="410"/>
              <w:jc w:val="right"/>
              <w:rPr>
                <w:color w:val="000000"/>
              </w:rPr>
            </w:pPr>
            <w:r w:rsidRPr="00B53423">
              <w:rPr>
                <w:color w:val="000000"/>
              </w:rPr>
              <w:t>17.44</w:t>
            </w:r>
          </w:p>
        </w:tc>
      </w:tr>
      <w:tr w:rsidR="004C74C2" w:rsidRPr="00B53423" w:rsidTr="009268E4">
        <w:trPr>
          <w:trHeight w:val="300"/>
          <w:jc w:val="center"/>
        </w:trPr>
        <w:tc>
          <w:tcPr>
            <w:tcW w:w="5584"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Amortization</w:t>
            </w:r>
          </w:p>
        </w:tc>
        <w:tc>
          <w:tcPr>
            <w:tcW w:w="1724" w:type="dxa"/>
            <w:shd w:val="clear" w:color="auto" w:fill="auto"/>
            <w:noWrap/>
            <w:vAlign w:val="center"/>
            <w:hideMark/>
          </w:tcPr>
          <w:p w:rsidR="004C74C2" w:rsidRPr="00B53423" w:rsidRDefault="004C74C2" w:rsidP="0015232B">
            <w:pPr>
              <w:spacing w:before="0" w:line="240" w:lineRule="auto"/>
              <w:ind w:right="410"/>
              <w:jc w:val="right"/>
              <w:rPr>
                <w:color w:val="000000"/>
              </w:rPr>
            </w:pPr>
            <w:r w:rsidRPr="00B53423">
              <w:rPr>
                <w:color w:val="000000"/>
              </w:rPr>
              <w:t>38.85</w:t>
            </w:r>
          </w:p>
        </w:tc>
      </w:tr>
      <w:tr w:rsidR="004C74C2" w:rsidRPr="00B53423" w:rsidTr="009268E4">
        <w:trPr>
          <w:trHeight w:val="300"/>
          <w:jc w:val="center"/>
        </w:trPr>
        <w:tc>
          <w:tcPr>
            <w:tcW w:w="5584"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Closing Balance</w:t>
            </w:r>
          </w:p>
        </w:tc>
        <w:tc>
          <w:tcPr>
            <w:tcW w:w="1724" w:type="dxa"/>
            <w:shd w:val="clear" w:color="auto" w:fill="auto"/>
            <w:noWrap/>
            <w:vAlign w:val="center"/>
            <w:hideMark/>
          </w:tcPr>
          <w:p w:rsidR="004C74C2" w:rsidRPr="00B53423" w:rsidRDefault="004C74C2" w:rsidP="0015232B">
            <w:pPr>
              <w:spacing w:before="0" w:line="240" w:lineRule="auto"/>
              <w:ind w:right="410"/>
              <w:jc w:val="right"/>
              <w:rPr>
                <w:b/>
                <w:bCs/>
                <w:color w:val="000000"/>
              </w:rPr>
            </w:pPr>
            <w:r w:rsidRPr="00B53423">
              <w:rPr>
                <w:b/>
                <w:bCs/>
                <w:color w:val="000000"/>
              </w:rPr>
              <w:t>100.40</w:t>
            </w:r>
          </w:p>
        </w:tc>
      </w:tr>
    </w:tbl>
    <w:p w:rsidR="004C74C2" w:rsidRPr="00B53423" w:rsidRDefault="004C74C2" w:rsidP="0015232B">
      <w:pPr>
        <w:spacing w:before="0"/>
      </w:pPr>
    </w:p>
    <w:p w:rsidR="004C74C2" w:rsidRPr="00B53423" w:rsidRDefault="004C74C2" w:rsidP="0015232B">
      <w:pPr>
        <w:pStyle w:val="Heading3"/>
        <w:keepNext w:val="0"/>
        <w:ind w:hanging="1080"/>
      </w:pPr>
      <w:r w:rsidRPr="00B53423">
        <w:t>The portion of capital expenditure financed through consumer contributions, capital subsidies and grants has been separated as the depreciation and interest thereon would not be charged to the consumers. The Commission has verified the details of GFA addition on account of consumer contributions, capital subsidies and grants from the Audited Accounts of FY 2009-10.</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Thus, based on the above the approved financing of the capital investment is depicted in the Table below:</w:t>
      </w:r>
    </w:p>
    <w:p w:rsidR="004C74C2" w:rsidRPr="00B53423" w:rsidRDefault="004C74C2" w:rsidP="0015232B">
      <w:pPr>
        <w:jc w:val="center"/>
        <w:rPr>
          <w:rFonts w:asciiTheme="minorHAnsi" w:hAnsiTheme="minorHAnsi" w:cstheme="minorHAnsi"/>
          <w:b/>
        </w:rPr>
      </w:pPr>
    </w:p>
    <w:p w:rsidR="004C74C2" w:rsidRPr="00B53423" w:rsidRDefault="004C74C2" w:rsidP="0015232B">
      <w:pPr>
        <w:jc w:val="center"/>
        <w:rPr>
          <w:rFonts w:asciiTheme="minorHAnsi" w:hAnsiTheme="minorHAnsi" w:cstheme="minorHAnsi"/>
          <w:b/>
        </w:rPr>
      </w:pPr>
      <w:bookmarkStart w:id="468" w:name="_Toc399626344"/>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9</w:t>
      </w:r>
      <w:r w:rsidR="005D68E7" w:rsidRPr="00B53423">
        <w:rPr>
          <w:rFonts w:asciiTheme="minorHAnsi" w:hAnsiTheme="minorHAnsi" w:cstheme="minorHAnsi"/>
          <w:b/>
        </w:rPr>
        <w:fldChar w:fldCharType="end"/>
      </w:r>
      <w:r w:rsidRPr="00B53423">
        <w:rPr>
          <w:rFonts w:asciiTheme="minorHAnsi" w:hAnsiTheme="minorHAnsi" w:cstheme="minorHAnsi"/>
          <w:b/>
        </w:rPr>
        <w:t>: FINANCING OF THE CAPITAL INVESTMENTS IN FY 2009-10 (Rs. Crore)</w:t>
      </w:r>
      <w:bookmarkEnd w:id="468"/>
    </w:p>
    <w:tbl>
      <w:tblPr>
        <w:tblW w:w="8782"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159"/>
        <w:gridCol w:w="1265"/>
        <w:gridCol w:w="1346"/>
        <w:gridCol w:w="932"/>
        <w:gridCol w:w="1032"/>
        <w:gridCol w:w="1048"/>
      </w:tblGrid>
      <w:tr w:rsidR="004C74C2" w:rsidRPr="00B53423" w:rsidTr="009268E4">
        <w:trPr>
          <w:trHeight w:val="300"/>
          <w:tblHeader/>
        </w:trPr>
        <w:tc>
          <w:tcPr>
            <w:tcW w:w="3304"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Particulars</w:t>
            </w:r>
          </w:p>
        </w:tc>
        <w:tc>
          <w:tcPr>
            <w:tcW w:w="1177" w:type="dxa"/>
            <w:shd w:val="clear" w:color="auto" w:fill="DBE5F1" w:themeFill="accent1" w:themeFillTint="33"/>
            <w:vAlign w:val="center"/>
          </w:tcPr>
          <w:p w:rsidR="004C74C2" w:rsidRPr="00B53423" w:rsidRDefault="004C74C2" w:rsidP="0015232B">
            <w:pPr>
              <w:spacing w:before="0" w:line="240" w:lineRule="auto"/>
              <w:jc w:val="center"/>
              <w:rPr>
                <w:rFonts w:cs="Calibri"/>
                <w:b/>
                <w:bCs/>
                <w:lang w:val="en-US"/>
              </w:rPr>
            </w:pPr>
            <w:r w:rsidRPr="00B53423">
              <w:rPr>
                <w:rFonts w:cs="Calibri"/>
                <w:b/>
                <w:bCs/>
                <w:lang w:val="en-US"/>
              </w:rPr>
              <w:t>Derivation</w:t>
            </w:r>
          </w:p>
        </w:tc>
        <w:tc>
          <w:tcPr>
            <w:tcW w:w="1374"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Tariff Order</w:t>
            </w:r>
          </w:p>
        </w:tc>
        <w:tc>
          <w:tcPr>
            <w:tcW w:w="937"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Audited</w:t>
            </w:r>
          </w:p>
        </w:tc>
        <w:tc>
          <w:tcPr>
            <w:tcW w:w="1045"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 up Petition</w:t>
            </w:r>
          </w:p>
        </w:tc>
        <w:tc>
          <w:tcPr>
            <w:tcW w:w="945"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9268E4">
        <w:trPr>
          <w:trHeight w:val="300"/>
        </w:trPr>
        <w:tc>
          <w:tcPr>
            <w:tcW w:w="3304"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Investment</w:t>
            </w:r>
          </w:p>
        </w:tc>
        <w:tc>
          <w:tcPr>
            <w:tcW w:w="1177" w:type="dxa"/>
          </w:tcPr>
          <w:p w:rsidR="004C74C2" w:rsidRPr="00B53423" w:rsidRDefault="004C74C2" w:rsidP="0015232B">
            <w:pPr>
              <w:spacing w:before="0"/>
              <w:jc w:val="center"/>
              <w:rPr>
                <w:rFonts w:cs="Calibri"/>
              </w:rPr>
            </w:pPr>
            <w:r w:rsidRPr="00B53423">
              <w:rPr>
                <w:rFonts w:cs="Calibri"/>
              </w:rPr>
              <w:t>A</w:t>
            </w:r>
          </w:p>
        </w:tc>
        <w:tc>
          <w:tcPr>
            <w:tcW w:w="1374" w:type="dxa"/>
            <w:shd w:val="clear" w:color="auto" w:fill="auto"/>
            <w:vAlign w:val="center"/>
            <w:hideMark/>
          </w:tcPr>
          <w:p w:rsidR="004C74C2" w:rsidRPr="00B53423" w:rsidRDefault="004C74C2" w:rsidP="0015232B">
            <w:pPr>
              <w:spacing w:before="0"/>
              <w:ind w:right="252"/>
              <w:jc w:val="right"/>
              <w:rPr>
                <w:rFonts w:cs="Calibri"/>
              </w:rPr>
            </w:pPr>
            <w:r w:rsidRPr="00B53423">
              <w:rPr>
                <w:rFonts w:cs="Calibri"/>
              </w:rPr>
              <w:t xml:space="preserve"> 14.55 </w:t>
            </w:r>
          </w:p>
        </w:tc>
        <w:tc>
          <w:tcPr>
            <w:tcW w:w="937" w:type="dxa"/>
            <w:shd w:val="clear" w:color="auto" w:fill="auto"/>
            <w:vAlign w:val="center"/>
            <w:hideMark/>
          </w:tcPr>
          <w:p w:rsidR="004C74C2" w:rsidRPr="00B53423" w:rsidRDefault="004C74C2" w:rsidP="0015232B">
            <w:pPr>
              <w:spacing w:before="0"/>
              <w:jc w:val="right"/>
              <w:rPr>
                <w:rFonts w:cs="Calibri"/>
              </w:rPr>
            </w:pPr>
            <w:r w:rsidRPr="00B53423">
              <w:rPr>
                <w:rFonts w:cs="Calibri"/>
              </w:rPr>
              <w:t xml:space="preserve"> 50.99 </w:t>
            </w:r>
          </w:p>
        </w:tc>
        <w:tc>
          <w:tcPr>
            <w:tcW w:w="1045" w:type="dxa"/>
            <w:shd w:val="clear" w:color="auto" w:fill="auto"/>
            <w:vAlign w:val="center"/>
            <w:hideMark/>
          </w:tcPr>
          <w:p w:rsidR="004C74C2" w:rsidRPr="00B53423" w:rsidRDefault="004C74C2" w:rsidP="0015232B">
            <w:pPr>
              <w:spacing w:before="0"/>
              <w:jc w:val="right"/>
              <w:rPr>
                <w:rFonts w:cs="Calibri"/>
              </w:rPr>
            </w:pPr>
            <w:r w:rsidRPr="00B53423">
              <w:rPr>
                <w:rFonts w:cs="Calibri"/>
              </w:rPr>
              <w:t xml:space="preserve"> 50.99 </w:t>
            </w:r>
          </w:p>
        </w:tc>
        <w:tc>
          <w:tcPr>
            <w:tcW w:w="945" w:type="dxa"/>
            <w:shd w:val="clear" w:color="auto" w:fill="auto"/>
            <w:vAlign w:val="center"/>
            <w:hideMark/>
          </w:tcPr>
          <w:p w:rsidR="004C74C2" w:rsidRPr="00B53423" w:rsidRDefault="004C74C2" w:rsidP="0015232B">
            <w:pPr>
              <w:spacing w:before="0"/>
              <w:jc w:val="right"/>
              <w:rPr>
                <w:rFonts w:cs="Calibri"/>
              </w:rPr>
            </w:pPr>
            <w:r w:rsidRPr="00B53423">
              <w:rPr>
                <w:rFonts w:cs="Calibri"/>
              </w:rPr>
              <w:t xml:space="preserve"> 50.99 </w:t>
            </w:r>
          </w:p>
        </w:tc>
      </w:tr>
      <w:tr w:rsidR="004C74C2" w:rsidRPr="00B53423" w:rsidTr="009268E4">
        <w:trPr>
          <w:trHeight w:val="300"/>
        </w:trPr>
        <w:tc>
          <w:tcPr>
            <w:tcW w:w="3304"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 xml:space="preserve">Less: </w:t>
            </w:r>
          </w:p>
        </w:tc>
        <w:tc>
          <w:tcPr>
            <w:tcW w:w="1177" w:type="dxa"/>
          </w:tcPr>
          <w:p w:rsidR="004C74C2" w:rsidRPr="00B53423" w:rsidRDefault="004C74C2" w:rsidP="0015232B">
            <w:pPr>
              <w:spacing w:before="0"/>
              <w:jc w:val="center"/>
              <w:rPr>
                <w:rFonts w:cs="Calibri"/>
              </w:rPr>
            </w:pPr>
          </w:p>
        </w:tc>
        <w:tc>
          <w:tcPr>
            <w:tcW w:w="1374" w:type="dxa"/>
            <w:shd w:val="clear" w:color="auto" w:fill="auto"/>
            <w:vAlign w:val="center"/>
            <w:hideMark/>
          </w:tcPr>
          <w:p w:rsidR="004C74C2" w:rsidRPr="00B53423" w:rsidRDefault="004C74C2" w:rsidP="0015232B">
            <w:pPr>
              <w:spacing w:before="0"/>
              <w:ind w:right="252"/>
              <w:jc w:val="right"/>
              <w:rPr>
                <w:rFonts w:cs="Calibri"/>
              </w:rPr>
            </w:pPr>
          </w:p>
        </w:tc>
        <w:tc>
          <w:tcPr>
            <w:tcW w:w="937" w:type="dxa"/>
            <w:shd w:val="clear" w:color="auto" w:fill="auto"/>
            <w:vAlign w:val="center"/>
            <w:hideMark/>
          </w:tcPr>
          <w:p w:rsidR="004C74C2" w:rsidRPr="00B53423" w:rsidRDefault="004C74C2" w:rsidP="0015232B">
            <w:pPr>
              <w:spacing w:before="0"/>
              <w:jc w:val="right"/>
              <w:rPr>
                <w:rFonts w:cs="Calibri"/>
              </w:rPr>
            </w:pPr>
            <w:r w:rsidRPr="00B53423">
              <w:rPr>
                <w:rFonts w:cs="Calibri"/>
              </w:rPr>
              <w:t> </w:t>
            </w:r>
          </w:p>
        </w:tc>
        <w:tc>
          <w:tcPr>
            <w:tcW w:w="1045" w:type="dxa"/>
            <w:shd w:val="clear" w:color="auto" w:fill="auto"/>
            <w:vAlign w:val="center"/>
            <w:hideMark/>
          </w:tcPr>
          <w:p w:rsidR="004C74C2" w:rsidRPr="00B53423" w:rsidRDefault="004C74C2" w:rsidP="0015232B">
            <w:pPr>
              <w:spacing w:before="0"/>
              <w:jc w:val="right"/>
              <w:rPr>
                <w:rFonts w:cs="Calibri"/>
              </w:rPr>
            </w:pPr>
          </w:p>
        </w:tc>
        <w:tc>
          <w:tcPr>
            <w:tcW w:w="945" w:type="dxa"/>
            <w:shd w:val="clear" w:color="auto" w:fill="auto"/>
            <w:vAlign w:val="center"/>
            <w:hideMark/>
          </w:tcPr>
          <w:p w:rsidR="004C74C2" w:rsidRPr="00B53423" w:rsidRDefault="004C74C2" w:rsidP="0015232B">
            <w:pPr>
              <w:spacing w:before="0"/>
              <w:jc w:val="right"/>
              <w:rPr>
                <w:rFonts w:cs="Calibri"/>
              </w:rPr>
            </w:pPr>
          </w:p>
        </w:tc>
      </w:tr>
      <w:tr w:rsidR="004C74C2" w:rsidRPr="00B53423" w:rsidTr="009268E4">
        <w:trPr>
          <w:trHeight w:val="300"/>
        </w:trPr>
        <w:tc>
          <w:tcPr>
            <w:tcW w:w="3304"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Consumer Contribution</w:t>
            </w:r>
          </w:p>
        </w:tc>
        <w:tc>
          <w:tcPr>
            <w:tcW w:w="1177" w:type="dxa"/>
          </w:tcPr>
          <w:p w:rsidR="004C74C2" w:rsidRPr="00B53423" w:rsidRDefault="004C74C2" w:rsidP="0015232B">
            <w:pPr>
              <w:spacing w:before="0"/>
              <w:jc w:val="center"/>
              <w:rPr>
                <w:rFonts w:cs="Calibri"/>
              </w:rPr>
            </w:pPr>
            <w:r w:rsidRPr="00B53423">
              <w:rPr>
                <w:rFonts w:cs="Calibri"/>
              </w:rPr>
              <w:t>B</w:t>
            </w:r>
          </w:p>
        </w:tc>
        <w:tc>
          <w:tcPr>
            <w:tcW w:w="1374" w:type="dxa"/>
            <w:shd w:val="clear" w:color="auto" w:fill="auto"/>
            <w:vAlign w:val="center"/>
            <w:hideMark/>
          </w:tcPr>
          <w:p w:rsidR="004C74C2" w:rsidRPr="00B53423" w:rsidRDefault="004C74C2" w:rsidP="0015232B">
            <w:pPr>
              <w:spacing w:before="0"/>
              <w:ind w:right="252"/>
              <w:jc w:val="right"/>
              <w:rPr>
                <w:rFonts w:cs="Calibri"/>
              </w:rPr>
            </w:pPr>
            <w:r w:rsidRPr="00B53423">
              <w:rPr>
                <w:rFonts w:cs="Calibri"/>
              </w:rPr>
              <w:t xml:space="preserve">  8.11 </w:t>
            </w:r>
          </w:p>
        </w:tc>
        <w:tc>
          <w:tcPr>
            <w:tcW w:w="937" w:type="dxa"/>
            <w:shd w:val="clear" w:color="auto" w:fill="auto"/>
            <w:vAlign w:val="center"/>
            <w:hideMark/>
          </w:tcPr>
          <w:p w:rsidR="004C74C2" w:rsidRPr="00B53423" w:rsidRDefault="004C74C2" w:rsidP="0015232B">
            <w:pPr>
              <w:spacing w:before="0"/>
              <w:jc w:val="right"/>
              <w:rPr>
                <w:rFonts w:cs="Calibri"/>
              </w:rPr>
            </w:pPr>
            <w:r w:rsidRPr="00B53423">
              <w:rPr>
                <w:rFonts w:cs="Calibri"/>
              </w:rPr>
              <w:t>17.44</w:t>
            </w:r>
          </w:p>
        </w:tc>
        <w:tc>
          <w:tcPr>
            <w:tcW w:w="1045" w:type="dxa"/>
            <w:shd w:val="clear" w:color="auto" w:fill="auto"/>
            <w:vAlign w:val="center"/>
            <w:hideMark/>
          </w:tcPr>
          <w:p w:rsidR="004C74C2" w:rsidRPr="00B53423" w:rsidRDefault="004C74C2" w:rsidP="0015232B">
            <w:pPr>
              <w:spacing w:before="0"/>
              <w:jc w:val="right"/>
              <w:rPr>
                <w:rFonts w:cs="Calibri"/>
              </w:rPr>
            </w:pPr>
            <w:r w:rsidRPr="00B53423">
              <w:rPr>
                <w:rFonts w:cs="Calibri"/>
              </w:rPr>
              <w:t>17.44</w:t>
            </w:r>
          </w:p>
        </w:tc>
        <w:tc>
          <w:tcPr>
            <w:tcW w:w="945" w:type="dxa"/>
            <w:shd w:val="clear" w:color="auto" w:fill="auto"/>
            <w:vAlign w:val="center"/>
            <w:hideMark/>
          </w:tcPr>
          <w:p w:rsidR="004C74C2" w:rsidRPr="00B53423" w:rsidRDefault="004C74C2" w:rsidP="0015232B">
            <w:pPr>
              <w:spacing w:before="0"/>
              <w:jc w:val="right"/>
              <w:rPr>
                <w:rFonts w:cs="Calibri"/>
              </w:rPr>
            </w:pPr>
            <w:r w:rsidRPr="00B53423">
              <w:rPr>
                <w:rFonts w:cs="Calibri"/>
              </w:rPr>
              <w:t xml:space="preserve"> 17.44 </w:t>
            </w:r>
          </w:p>
        </w:tc>
      </w:tr>
      <w:tr w:rsidR="004C74C2" w:rsidRPr="00B53423" w:rsidTr="009268E4">
        <w:trPr>
          <w:trHeight w:val="300"/>
        </w:trPr>
        <w:tc>
          <w:tcPr>
            <w:tcW w:w="3304"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Investment funded by debt and equity</w:t>
            </w:r>
          </w:p>
        </w:tc>
        <w:tc>
          <w:tcPr>
            <w:tcW w:w="1177" w:type="dxa"/>
          </w:tcPr>
          <w:p w:rsidR="004C74C2" w:rsidRPr="00B53423" w:rsidRDefault="004C74C2" w:rsidP="0015232B">
            <w:pPr>
              <w:spacing w:before="0"/>
              <w:jc w:val="center"/>
              <w:rPr>
                <w:rFonts w:cs="Calibri"/>
              </w:rPr>
            </w:pPr>
            <w:r w:rsidRPr="00B53423">
              <w:rPr>
                <w:rFonts w:cs="Calibri"/>
              </w:rPr>
              <w:t>C= A-B</w:t>
            </w:r>
          </w:p>
        </w:tc>
        <w:tc>
          <w:tcPr>
            <w:tcW w:w="1374" w:type="dxa"/>
            <w:shd w:val="clear" w:color="auto" w:fill="auto"/>
            <w:vAlign w:val="center"/>
            <w:hideMark/>
          </w:tcPr>
          <w:p w:rsidR="004C74C2" w:rsidRPr="00B53423" w:rsidRDefault="004C74C2" w:rsidP="0015232B">
            <w:pPr>
              <w:spacing w:before="0"/>
              <w:ind w:right="252"/>
              <w:jc w:val="right"/>
              <w:rPr>
                <w:rFonts w:cs="Calibri"/>
              </w:rPr>
            </w:pPr>
            <w:r w:rsidRPr="00B53423">
              <w:rPr>
                <w:rFonts w:cs="Calibri"/>
              </w:rPr>
              <w:t xml:space="preserve">    </w:t>
            </w:r>
          </w:p>
        </w:tc>
        <w:tc>
          <w:tcPr>
            <w:tcW w:w="937" w:type="dxa"/>
            <w:shd w:val="clear" w:color="auto" w:fill="auto"/>
            <w:vAlign w:val="center"/>
            <w:hideMark/>
          </w:tcPr>
          <w:p w:rsidR="004C74C2" w:rsidRPr="00B53423" w:rsidRDefault="004C74C2" w:rsidP="0015232B">
            <w:pPr>
              <w:spacing w:before="0"/>
              <w:jc w:val="right"/>
              <w:rPr>
                <w:rFonts w:cs="Calibri"/>
              </w:rPr>
            </w:pPr>
          </w:p>
        </w:tc>
        <w:tc>
          <w:tcPr>
            <w:tcW w:w="1045" w:type="dxa"/>
            <w:shd w:val="clear" w:color="auto" w:fill="auto"/>
            <w:vAlign w:val="center"/>
            <w:hideMark/>
          </w:tcPr>
          <w:p w:rsidR="004C74C2" w:rsidRPr="00B53423" w:rsidRDefault="004C74C2" w:rsidP="0015232B">
            <w:pPr>
              <w:spacing w:before="0"/>
              <w:jc w:val="right"/>
              <w:rPr>
                <w:rFonts w:cs="Calibri"/>
              </w:rPr>
            </w:pPr>
            <w:r w:rsidRPr="00B53423">
              <w:rPr>
                <w:rFonts w:cs="Calibri"/>
              </w:rPr>
              <w:t>33.55</w:t>
            </w:r>
          </w:p>
        </w:tc>
        <w:tc>
          <w:tcPr>
            <w:tcW w:w="945" w:type="dxa"/>
            <w:shd w:val="clear" w:color="auto" w:fill="auto"/>
            <w:vAlign w:val="center"/>
            <w:hideMark/>
          </w:tcPr>
          <w:p w:rsidR="004C74C2" w:rsidRPr="00B53423" w:rsidRDefault="004C74C2" w:rsidP="0015232B">
            <w:pPr>
              <w:spacing w:before="0"/>
              <w:jc w:val="right"/>
              <w:rPr>
                <w:rFonts w:cs="Calibri"/>
              </w:rPr>
            </w:pPr>
            <w:r w:rsidRPr="00B53423">
              <w:rPr>
                <w:rFonts w:cs="Calibri"/>
              </w:rPr>
              <w:t xml:space="preserve"> 33.55 </w:t>
            </w:r>
          </w:p>
        </w:tc>
      </w:tr>
      <w:tr w:rsidR="004C74C2" w:rsidRPr="00B53423" w:rsidTr="009268E4">
        <w:trPr>
          <w:trHeight w:val="300"/>
        </w:trPr>
        <w:tc>
          <w:tcPr>
            <w:tcW w:w="3304"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 xml:space="preserve">Debt Funded </w:t>
            </w:r>
          </w:p>
        </w:tc>
        <w:tc>
          <w:tcPr>
            <w:tcW w:w="1177" w:type="dxa"/>
          </w:tcPr>
          <w:p w:rsidR="004C74C2" w:rsidRPr="00B53423" w:rsidRDefault="004C74C2" w:rsidP="0015232B">
            <w:pPr>
              <w:spacing w:before="0"/>
              <w:jc w:val="center"/>
              <w:rPr>
                <w:rFonts w:cs="Calibri"/>
              </w:rPr>
            </w:pPr>
            <w:r w:rsidRPr="00B53423">
              <w:rPr>
                <w:rFonts w:cs="Calibri"/>
              </w:rPr>
              <w:t>D= 70%*C</w:t>
            </w:r>
          </w:p>
        </w:tc>
        <w:tc>
          <w:tcPr>
            <w:tcW w:w="1374" w:type="dxa"/>
            <w:shd w:val="clear" w:color="auto" w:fill="auto"/>
            <w:vAlign w:val="center"/>
            <w:hideMark/>
          </w:tcPr>
          <w:p w:rsidR="004C74C2" w:rsidRPr="00B53423" w:rsidRDefault="004C74C2" w:rsidP="0015232B">
            <w:pPr>
              <w:spacing w:before="0"/>
              <w:ind w:right="252"/>
              <w:jc w:val="right"/>
              <w:rPr>
                <w:rFonts w:cs="Calibri"/>
              </w:rPr>
            </w:pPr>
            <w:r w:rsidRPr="00B53423">
              <w:rPr>
                <w:rFonts w:cs="Calibri"/>
              </w:rPr>
              <w:t xml:space="preserve">  4.51  </w:t>
            </w:r>
          </w:p>
        </w:tc>
        <w:tc>
          <w:tcPr>
            <w:tcW w:w="937" w:type="dxa"/>
            <w:shd w:val="clear" w:color="auto" w:fill="auto"/>
            <w:vAlign w:val="center"/>
            <w:hideMark/>
          </w:tcPr>
          <w:p w:rsidR="004C74C2" w:rsidRPr="00B53423" w:rsidRDefault="004C74C2" w:rsidP="0015232B">
            <w:pPr>
              <w:spacing w:before="0"/>
              <w:jc w:val="right"/>
              <w:rPr>
                <w:rFonts w:cs="Calibri"/>
              </w:rPr>
            </w:pPr>
            <w:r w:rsidRPr="00B53423">
              <w:rPr>
                <w:rFonts w:cs="Calibri"/>
              </w:rPr>
              <w:t> </w:t>
            </w:r>
          </w:p>
        </w:tc>
        <w:tc>
          <w:tcPr>
            <w:tcW w:w="1045" w:type="dxa"/>
            <w:shd w:val="clear" w:color="auto" w:fill="auto"/>
            <w:vAlign w:val="center"/>
            <w:hideMark/>
          </w:tcPr>
          <w:p w:rsidR="004C74C2" w:rsidRPr="00B53423" w:rsidRDefault="004C74C2" w:rsidP="0015232B">
            <w:pPr>
              <w:spacing w:before="0"/>
              <w:jc w:val="right"/>
              <w:rPr>
                <w:rFonts w:cs="Calibri"/>
              </w:rPr>
            </w:pPr>
            <w:r w:rsidRPr="00B53423">
              <w:rPr>
                <w:rFonts w:cs="Calibri"/>
              </w:rPr>
              <w:t>23.49</w:t>
            </w:r>
          </w:p>
        </w:tc>
        <w:tc>
          <w:tcPr>
            <w:tcW w:w="945" w:type="dxa"/>
            <w:shd w:val="clear" w:color="auto" w:fill="auto"/>
            <w:vAlign w:val="center"/>
            <w:hideMark/>
          </w:tcPr>
          <w:p w:rsidR="004C74C2" w:rsidRPr="00B53423" w:rsidRDefault="004C74C2" w:rsidP="0015232B">
            <w:pPr>
              <w:spacing w:before="0"/>
              <w:jc w:val="right"/>
              <w:rPr>
                <w:rFonts w:cs="Calibri"/>
              </w:rPr>
            </w:pPr>
            <w:r w:rsidRPr="00B53423">
              <w:rPr>
                <w:rFonts w:cs="Calibri"/>
              </w:rPr>
              <w:t xml:space="preserve">23.49 </w:t>
            </w:r>
          </w:p>
        </w:tc>
      </w:tr>
      <w:tr w:rsidR="004C74C2" w:rsidRPr="00B53423" w:rsidTr="009268E4">
        <w:trPr>
          <w:trHeight w:val="300"/>
        </w:trPr>
        <w:tc>
          <w:tcPr>
            <w:tcW w:w="3304"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Equity Funded</w:t>
            </w:r>
          </w:p>
        </w:tc>
        <w:tc>
          <w:tcPr>
            <w:tcW w:w="1177" w:type="dxa"/>
          </w:tcPr>
          <w:p w:rsidR="004C74C2" w:rsidRPr="00B53423" w:rsidRDefault="004C74C2" w:rsidP="0015232B">
            <w:pPr>
              <w:spacing w:before="0"/>
              <w:jc w:val="center"/>
              <w:rPr>
                <w:rFonts w:cs="Calibri"/>
              </w:rPr>
            </w:pPr>
            <w:r w:rsidRPr="00B53423">
              <w:rPr>
                <w:rFonts w:cs="Calibri"/>
              </w:rPr>
              <w:t>E=30%*C</w:t>
            </w:r>
          </w:p>
        </w:tc>
        <w:tc>
          <w:tcPr>
            <w:tcW w:w="1374" w:type="dxa"/>
            <w:shd w:val="clear" w:color="auto" w:fill="auto"/>
            <w:vAlign w:val="center"/>
            <w:hideMark/>
          </w:tcPr>
          <w:p w:rsidR="004C74C2" w:rsidRPr="00B53423" w:rsidRDefault="004C74C2" w:rsidP="0015232B">
            <w:pPr>
              <w:spacing w:before="0"/>
              <w:ind w:right="252"/>
              <w:jc w:val="right"/>
              <w:rPr>
                <w:rFonts w:cs="Calibri"/>
              </w:rPr>
            </w:pPr>
            <w:r w:rsidRPr="00B53423">
              <w:rPr>
                <w:rFonts w:cs="Calibri"/>
              </w:rPr>
              <w:t xml:space="preserve">  1.93  </w:t>
            </w:r>
          </w:p>
        </w:tc>
        <w:tc>
          <w:tcPr>
            <w:tcW w:w="937" w:type="dxa"/>
            <w:shd w:val="clear" w:color="auto" w:fill="auto"/>
            <w:vAlign w:val="center"/>
            <w:hideMark/>
          </w:tcPr>
          <w:p w:rsidR="004C74C2" w:rsidRPr="00B53423" w:rsidRDefault="004C74C2" w:rsidP="0015232B">
            <w:pPr>
              <w:spacing w:before="0"/>
              <w:jc w:val="right"/>
              <w:rPr>
                <w:rFonts w:cs="Calibri"/>
              </w:rPr>
            </w:pPr>
            <w:r w:rsidRPr="00B53423">
              <w:rPr>
                <w:rFonts w:cs="Calibri"/>
              </w:rPr>
              <w:t> </w:t>
            </w:r>
          </w:p>
        </w:tc>
        <w:tc>
          <w:tcPr>
            <w:tcW w:w="1045" w:type="dxa"/>
            <w:shd w:val="clear" w:color="auto" w:fill="auto"/>
            <w:vAlign w:val="center"/>
            <w:hideMark/>
          </w:tcPr>
          <w:p w:rsidR="004C74C2" w:rsidRPr="00B53423" w:rsidRDefault="004C74C2" w:rsidP="0015232B">
            <w:pPr>
              <w:spacing w:before="0"/>
              <w:jc w:val="right"/>
              <w:rPr>
                <w:rFonts w:cs="Calibri"/>
              </w:rPr>
            </w:pPr>
            <w:r w:rsidRPr="00B53423">
              <w:rPr>
                <w:rFonts w:cs="Calibri"/>
              </w:rPr>
              <w:t>10.07</w:t>
            </w:r>
          </w:p>
        </w:tc>
        <w:tc>
          <w:tcPr>
            <w:tcW w:w="945" w:type="dxa"/>
            <w:shd w:val="clear" w:color="auto" w:fill="auto"/>
            <w:vAlign w:val="center"/>
            <w:hideMark/>
          </w:tcPr>
          <w:p w:rsidR="004C74C2" w:rsidRPr="00B53423" w:rsidRDefault="004C74C2" w:rsidP="0015232B">
            <w:pPr>
              <w:spacing w:before="0"/>
              <w:jc w:val="right"/>
              <w:rPr>
                <w:rFonts w:cs="Calibri"/>
              </w:rPr>
            </w:pPr>
            <w:r w:rsidRPr="00B53423">
              <w:rPr>
                <w:rFonts w:cs="Calibri"/>
              </w:rPr>
              <w:t xml:space="preserve">10.07 </w:t>
            </w:r>
          </w:p>
        </w:tc>
      </w:tr>
    </w:tbl>
    <w:p w:rsidR="004C74C2" w:rsidRPr="00B53423" w:rsidRDefault="004C74C2" w:rsidP="0015232B">
      <w:pPr>
        <w:spacing w:before="0"/>
        <w:jc w:val="center"/>
        <w:rPr>
          <w:rFonts w:asciiTheme="minorHAnsi" w:hAnsiTheme="minorHAnsi" w:cstheme="minorHAnsi"/>
          <w:b/>
        </w:rPr>
      </w:pPr>
    </w:p>
    <w:p w:rsidR="004C74C2" w:rsidRPr="00B53423" w:rsidRDefault="004C74C2" w:rsidP="0015232B">
      <w:pPr>
        <w:pStyle w:val="Heading3"/>
        <w:keepNext w:val="0"/>
        <w:ind w:hanging="1080"/>
      </w:pPr>
      <w:r w:rsidRPr="00B53423">
        <w:t xml:space="preserve">From the above Tables it is seen, that the total investments made by the Petitioner in FY 2009-10 were to the tune of Rs. 50.99 Crore. The consumer contributions, capital subsidies and grants received during the corresponding period is Rs. 17.44 Crore. Thus, balance Rs. 33.55 Crore have been funded through debt and equity. Considering a debt equity ratio of 70:30, Rs. 23.49 Crore or 70% of the capital investment is approved to be funded through debt and balance 30% equivalent to Rs. 10.07 Crore through equity. Allowable depreciation for the year has been considered as normative loan repayment. The closing loan balance of FY 2008-09 approved in </w:t>
      </w:r>
      <w:r w:rsidR="00CE6562" w:rsidRPr="00B53423">
        <w:t xml:space="preserve">Section </w:t>
      </w:r>
      <w:fldSimple w:instr=" REF _Ref396853853 \r \h  \* MERGEFORMAT ">
        <w:r w:rsidR="00847C1B">
          <w:t>4.5</w:t>
        </w:r>
      </w:fldSimple>
      <w:r w:rsidR="00CE6562" w:rsidRPr="00B53423">
        <w:t xml:space="preserve"> </w:t>
      </w:r>
      <w:r w:rsidRPr="00B53423">
        <w:t xml:space="preserve"> has been considered as the opening loan balance of FY 2009-10. The actual weighted average rate as per Audited Accounts has been considered for computing the interest.</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Considering the above, the gross interest on long term loan is Rs. 2.12 Crore. The interest capitalisation has been considered at the same rate as per Audited Accounts. The computations for interest on long term loan are depicted below:</w:t>
      </w:r>
    </w:p>
    <w:p w:rsidR="004C74C2" w:rsidRPr="00B53423" w:rsidRDefault="004C74C2" w:rsidP="0015232B"/>
    <w:p w:rsidR="004C74C2" w:rsidRPr="00B53423" w:rsidRDefault="004C74C2" w:rsidP="0015232B">
      <w:pPr>
        <w:jc w:val="center"/>
        <w:rPr>
          <w:b/>
        </w:rPr>
      </w:pPr>
      <w:bookmarkStart w:id="469" w:name="_Toc399626345"/>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10</w:t>
      </w:r>
      <w:r w:rsidR="005D68E7" w:rsidRPr="00B53423">
        <w:rPr>
          <w:rFonts w:asciiTheme="minorHAnsi" w:hAnsiTheme="minorHAnsi" w:cstheme="minorHAnsi"/>
          <w:b/>
        </w:rPr>
        <w:fldChar w:fldCharType="end"/>
      </w:r>
      <w:r w:rsidRPr="00B53423">
        <w:rPr>
          <w:rFonts w:asciiTheme="minorHAnsi" w:hAnsiTheme="minorHAnsi" w:cstheme="minorHAnsi"/>
          <w:b/>
        </w:rPr>
        <w:t>:</w:t>
      </w:r>
      <w:r w:rsidRPr="00B53423">
        <w:rPr>
          <w:b/>
        </w:rPr>
        <w:t xml:space="preserve"> APPROVED INTEREST ON LONG TERM LOAN FOR FY 2009-10 (Rs. Crore)</w:t>
      </w:r>
      <w:bookmarkEnd w:id="469"/>
    </w:p>
    <w:tbl>
      <w:tblPr>
        <w:tblW w:w="8782"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055"/>
        <w:gridCol w:w="990"/>
        <w:gridCol w:w="1327"/>
        <w:gridCol w:w="1193"/>
        <w:gridCol w:w="1217"/>
      </w:tblGrid>
      <w:tr w:rsidR="004C74C2" w:rsidRPr="00B53423" w:rsidTr="009268E4">
        <w:trPr>
          <w:trHeight w:val="900"/>
          <w:tblHeader/>
        </w:trPr>
        <w:tc>
          <w:tcPr>
            <w:tcW w:w="4055" w:type="dxa"/>
            <w:shd w:val="clear" w:color="auto" w:fill="DBE5F1" w:themeFill="accent1" w:themeFillTint="33"/>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99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327"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93"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17"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4055"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Opening Balance</w:t>
            </w:r>
          </w:p>
        </w:tc>
        <w:tc>
          <w:tcPr>
            <w:tcW w:w="99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327" w:type="dxa"/>
            <w:shd w:val="clear" w:color="auto" w:fill="auto"/>
            <w:noWrap/>
            <w:vAlign w:val="bottom"/>
            <w:hideMark/>
          </w:tcPr>
          <w:p w:rsidR="004C74C2" w:rsidRPr="00B53423" w:rsidRDefault="004C74C2" w:rsidP="0015232B">
            <w:pPr>
              <w:spacing w:before="0" w:line="240" w:lineRule="auto"/>
              <w:ind w:right="139"/>
              <w:jc w:val="right"/>
              <w:rPr>
                <w:rFonts w:asciiTheme="minorHAnsi" w:hAnsiTheme="minorHAnsi" w:cstheme="minorHAnsi"/>
                <w:sz w:val="20"/>
                <w:szCs w:val="20"/>
              </w:rPr>
            </w:pPr>
            <w:r w:rsidRPr="00B53423">
              <w:rPr>
                <w:rFonts w:asciiTheme="minorHAnsi" w:hAnsiTheme="minorHAnsi" w:cstheme="minorHAnsi"/>
                <w:sz w:val="20"/>
                <w:szCs w:val="20"/>
              </w:rPr>
              <w:t xml:space="preserve">       178.98 </w:t>
            </w:r>
          </w:p>
        </w:tc>
        <w:tc>
          <w:tcPr>
            <w:tcW w:w="1193"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26.65</w:t>
            </w:r>
          </w:p>
        </w:tc>
        <w:tc>
          <w:tcPr>
            <w:tcW w:w="121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27.08</w:t>
            </w:r>
          </w:p>
        </w:tc>
      </w:tr>
      <w:tr w:rsidR="004C74C2" w:rsidRPr="00B53423" w:rsidTr="009268E4">
        <w:trPr>
          <w:trHeight w:val="278"/>
        </w:trPr>
        <w:tc>
          <w:tcPr>
            <w:tcW w:w="4055"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Additions: 70% of the Asset Capitalization</w:t>
            </w:r>
          </w:p>
        </w:tc>
        <w:tc>
          <w:tcPr>
            <w:tcW w:w="99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327" w:type="dxa"/>
            <w:shd w:val="clear" w:color="auto" w:fill="auto"/>
            <w:noWrap/>
            <w:hideMark/>
          </w:tcPr>
          <w:p w:rsidR="004C74C2" w:rsidRPr="00B53423" w:rsidRDefault="004C74C2" w:rsidP="0015232B">
            <w:pPr>
              <w:spacing w:before="0" w:line="240" w:lineRule="auto"/>
              <w:ind w:right="139"/>
              <w:jc w:val="right"/>
              <w:rPr>
                <w:rFonts w:asciiTheme="minorHAnsi" w:hAnsiTheme="minorHAnsi" w:cstheme="minorHAnsi"/>
                <w:sz w:val="20"/>
                <w:szCs w:val="20"/>
              </w:rPr>
            </w:pPr>
            <w:r w:rsidRPr="00B53423">
              <w:rPr>
                <w:rFonts w:asciiTheme="minorHAnsi" w:hAnsiTheme="minorHAnsi" w:cstheme="minorHAnsi"/>
                <w:sz w:val="20"/>
                <w:szCs w:val="20"/>
              </w:rPr>
              <w:t xml:space="preserve">                  -   </w:t>
            </w:r>
          </w:p>
        </w:tc>
        <w:tc>
          <w:tcPr>
            <w:tcW w:w="1193" w:type="dxa"/>
            <w:shd w:val="clear" w:color="auto" w:fill="auto"/>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23.49</w:t>
            </w:r>
          </w:p>
        </w:tc>
        <w:tc>
          <w:tcPr>
            <w:tcW w:w="121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23.49</w:t>
            </w:r>
          </w:p>
        </w:tc>
      </w:tr>
      <w:tr w:rsidR="004C74C2" w:rsidRPr="00B53423" w:rsidTr="009268E4">
        <w:trPr>
          <w:trHeight w:val="600"/>
        </w:trPr>
        <w:tc>
          <w:tcPr>
            <w:tcW w:w="4055"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Allowable Depreciation during the Year</w:t>
            </w:r>
          </w:p>
        </w:tc>
        <w:tc>
          <w:tcPr>
            <w:tcW w:w="99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327" w:type="dxa"/>
            <w:shd w:val="clear" w:color="auto" w:fill="auto"/>
            <w:noWrap/>
            <w:hideMark/>
          </w:tcPr>
          <w:p w:rsidR="004C74C2" w:rsidRPr="00B53423" w:rsidRDefault="004C74C2" w:rsidP="0015232B">
            <w:pPr>
              <w:spacing w:before="0" w:line="240" w:lineRule="auto"/>
              <w:ind w:right="139"/>
              <w:jc w:val="right"/>
              <w:rPr>
                <w:rFonts w:asciiTheme="minorHAnsi" w:hAnsiTheme="minorHAnsi" w:cstheme="minorHAnsi"/>
                <w:sz w:val="20"/>
                <w:szCs w:val="20"/>
              </w:rPr>
            </w:pPr>
            <w:r w:rsidRPr="00B53423">
              <w:rPr>
                <w:rFonts w:asciiTheme="minorHAnsi" w:hAnsiTheme="minorHAnsi" w:cstheme="minorHAnsi"/>
                <w:sz w:val="20"/>
                <w:szCs w:val="20"/>
              </w:rPr>
              <w:t xml:space="preserve">                  -   </w:t>
            </w:r>
          </w:p>
        </w:tc>
        <w:tc>
          <w:tcPr>
            <w:tcW w:w="1193" w:type="dxa"/>
            <w:shd w:val="clear" w:color="auto" w:fill="auto"/>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27.06</w:t>
            </w:r>
          </w:p>
        </w:tc>
        <w:tc>
          <w:tcPr>
            <w:tcW w:w="121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27.06</w:t>
            </w:r>
          </w:p>
        </w:tc>
      </w:tr>
      <w:tr w:rsidR="004C74C2" w:rsidRPr="00B53423" w:rsidTr="009268E4">
        <w:trPr>
          <w:trHeight w:val="300"/>
        </w:trPr>
        <w:tc>
          <w:tcPr>
            <w:tcW w:w="4055" w:type="dxa"/>
            <w:shd w:val="clear" w:color="auto" w:fill="auto"/>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Closing Balance</w:t>
            </w:r>
          </w:p>
        </w:tc>
        <w:tc>
          <w:tcPr>
            <w:tcW w:w="99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327" w:type="dxa"/>
            <w:shd w:val="clear" w:color="auto" w:fill="auto"/>
            <w:noWrap/>
            <w:vAlign w:val="bottom"/>
            <w:hideMark/>
          </w:tcPr>
          <w:p w:rsidR="004C74C2" w:rsidRPr="00B53423" w:rsidRDefault="004C74C2" w:rsidP="0015232B">
            <w:pPr>
              <w:spacing w:before="0" w:line="240" w:lineRule="auto"/>
              <w:ind w:right="139"/>
              <w:jc w:val="right"/>
              <w:rPr>
                <w:rFonts w:asciiTheme="minorHAnsi" w:hAnsiTheme="minorHAnsi" w:cstheme="minorHAnsi"/>
                <w:sz w:val="20"/>
                <w:szCs w:val="20"/>
              </w:rPr>
            </w:pPr>
            <w:r w:rsidRPr="00B53423">
              <w:rPr>
                <w:rFonts w:asciiTheme="minorHAnsi" w:hAnsiTheme="minorHAnsi" w:cstheme="minorHAnsi"/>
                <w:sz w:val="20"/>
                <w:szCs w:val="20"/>
              </w:rPr>
              <w:t xml:space="preserve">          89.37 </w:t>
            </w:r>
          </w:p>
        </w:tc>
        <w:tc>
          <w:tcPr>
            <w:tcW w:w="1193"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23.08</w:t>
            </w:r>
          </w:p>
        </w:tc>
        <w:tc>
          <w:tcPr>
            <w:tcW w:w="121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23.51</w:t>
            </w:r>
          </w:p>
        </w:tc>
      </w:tr>
      <w:tr w:rsidR="004C74C2" w:rsidRPr="00B53423" w:rsidTr="009268E4">
        <w:trPr>
          <w:trHeight w:val="300"/>
        </w:trPr>
        <w:tc>
          <w:tcPr>
            <w:tcW w:w="4055"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Average Rate of Interest</w:t>
            </w:r>
          </w:p>
        </w:tc>
        <w:tc>
          <w:tcPr>
            <w:tcW w:w="99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327" w:type="dxa"/>
            <w:shd w:val="clear" w:color="auto" w:fill="auto"/>
            <w:noWrap/>
            <w:vAlign w:val="bottom"/>
            <w:hideMark/>
          </w:tcPr>
          <w:p w:rsidR="004C74C2" w:rsidRPr="00B53423" w:rsidRDefault="004C74C2" w:rsidP="0015232B">
            <w:pPr>
              <w:spacing w:before="0" w:line="240" w:lineRule="auto"/>
              <w:ind w:right="139"/>
              <w:jc w:val="right"/>
              <w:rPr>
                <w:rFonts w:asciiTheme="minorHAnsi" w:hAnsiTheme="minorHAnsi" w:cstheme="minorHAnsi"/>
                <w:sz w:val="20"/>
                <w:szCs w:val="20"/>
              </w:rPr>
            </w:pPr>
            <w:r w:rsidRPr="00B53423">
              <w:rPr>
                <w:rFonts w:asciiTheme="minorHAnsi" w:hAnsiTheme="minorHAnsi" w:cstheme="minorHAnsi"/>
                <w:sz w:val="20"/>
                <w:szCs w:val="20"/>
              </w:rPr>
              <w:t>8.38%</w:t>
            </w:r>
          </w:p>
        </w:tc>
        <w:tc>
          <w:tcPr>
            <w:tcW w:w="1193" w:type="dxa"/>
            <w:shd w:val="clear" w:color="auto" w:fill="auto"/>
            <w:vAlign w:val="bottom"/>
            <w:hideMark/>
          </w:tcPr>
          <w:p w:rsidR="004C74C2" w:rsidRPr="00B53423" w:rsidRDefault="002B3D6B"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8.38%</w:t>
            </w:r>
          </w:p>
        </w:tc>
        <w:tc>
          <w:tcPr>
            <w:tcW w:w="121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8.38%</w:t>
            </w:r>
          </w:p>
        </w:tc>
      </w:tr>
      <w:tr w:rsidR="004C74C2" w:rsidRPr="00B53423" w:rsidTr="009268E4">
        <w:trPr>
          <w:trHeight w:val="300"/>
        </w:trPr>
        <w:tc>
          <w:tcPr>
            <w:tcW w:w="4055" w:type="dxa"/>
            <w:shd w:val="clear" w:color="auto" w:fill="auto"/>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Gross Allowable Interest</w:t>
            </w:r>
          </w:p>
        </w:tc>
        <w:tc>
          <w:tcPr>
            <w:tcW w:w="99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10.76</w:t>
            </w:r>
          </w:p>
        </w:tc>
        <w:tc>
          <w:tcPr>
            <w:tcW w:w="1327" w:type="dxa"/>
            <w:shd w:val="clear" w:color="auto" w:fill="auto"/>
            <w:noWrap/>
            <w:vAlign w:val="bottom"/>
            <w:hideMark/>
          </w:tcPr>
          <w:p w:rsidR="004C74C2" w:rsidRPr="00B53423" w:rsidRDefault="004C74C2" w:rsidP="0015232B">
            <w:pPr>
              <w:spacing w:before="0" w:line="240" w:lineRule="auto"/>
              <w:ind w:right="139"/>
              <w:jc w:val="right"/>
              <w:rPr>
                <w:rFonts w:asciiTheme="minorHAnsi" w:hAnsiTheme="minorHAnsi" w:cstheme="minorHAnsi"/>
                <w:sz w:val="20"/>
                <w:szCs w:val="20"/>
              </w:rPr>
            </w:pPr>
            <w:r w:rsidRPr="00B53423">
              <w:rPr>
                <w:rFonts w:asciiTheme="minorHAnsi" w:hAnsiTheme="minorHAnsi" w:cstheme="minorHAnsi"/>
                <w:sz w:val="20"/>
                <w:szCs w:val="20"/>
              </w:rPr>
              <w:t xml:space="preserve">          11.24 </w:t>
            </w:r>
          </w:p>
        </w:tc>
        <w:tc>
          <w:tcPr>
            <w:tcW w:w="1193"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2.08</w:t>
            </w:r>
          </w:p>
        </w:tc>
        <w:tc>
          <w:tcPr>
            <w:tcW w:w="121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2.12</w:t>
            </w:r>
          </w:p>
        </w:tc>
      </w:tr>
      <w:tr w:rsidR="004C74C2" w:rsidRPr="00B53423" w:rsidTr="009268E4">
        <w:trPr>
          <w:trHeight w:val="300"/>
        </w:trPr>
        <w:tc>
          <w:tcPr>
            <w:tcW w:w="4055"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Interest Capitalized</w:t>
            </w:r>
          </w:p>
        </w:tc>
        <w:tc>
          <w:tcPr>
            <w:tcW w:w="990"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2.47</w:t>
            </w:r>
          </w:p>
        </w:tc>
        <w:tc>
          <w:tcPr>
            <w:tcW w:w="1327" w:type="dxa"/>
            <w:shd w:val="clear" w:color="auto" w:fill="auto"/>
            <w:noWrap/>
            <w:vAlign w:val="bottom"/>
            <w:hideMark/>
          </w:tcPr>
          <w:p w:rsidR="004C74C2" w:rsidRPr="00B53423" w:rsidRDefault="004C74C2" w:rsidP="0015232B">
            <w:pPr>
              <w:spacing w:before="0" w:line="240" w:lineRule="auto"/>
              <w:ind w:right="139"/>
              <w:jc w:val="right"/>
              <w:rPr>
                <w:rFonts w:asciiTheme="minorHAnsi" w:hAnsiTheme="minorHAnsi" w:cstheme="minorHAnsi"/>
                <w:sz w:val="20"/>
                <w:szCs w:val="20"/>
              </w:rPr>
            </w:pPr>
            <w:r w:rsidRPr="00B53423">
              <w:rPr>
                <w:rFonts w:asciiTheme="minorHAnsi" w:hAnsiTheme="minorHAnsi" w:cstheme="minorHAnsi"/>
                <w:sz w:val="20"/>
                <w:szCs w:val="20"/>
              </w:rPr>
              <w:t xml:space="preserve">           -   </w:t>
            </w:r>
          </w:p>
        </w:tc>
        <w:tc>
          <w:tcPr>
            <w:tcW w:w="1193"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0.00</w:t>
            </w:r>
          </w:p>
        </w:tc>
        <w:tc>
          <w:tcPr>
            <w:tcW w:w="121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0.00</w:t>
            </w:r>
          </w:p>
        </w:tc>
      </w:tr>
      <w:tr w:rsidR="004C74C2" w:rsidRPr="00B53423" w:rsidTr="009268E4">
        <w:trPr>
          <w:trHeight w:val="300"/>
        </w:trPr>
        <w:tc>
          <w:tcPr>
            <w:tcW w:w="4055" w:type="dxa"/>
            <w:shd w:val="clear" w:color="auto" w:fill="auto"/>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Allowable Interest</w:t>
            </w:r>
          </w:p>
        </w:tc>
        <w:tc>
          <w:tcPr>
            <w:tcW w:w="99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sz w:val="20"/>
                <w:szCs w:val="20"/>
              </w:rPr>
            </w:pPr>
            <w:r w:rsidRPr="00B53423">
              <w:rPr>
                <w:rFonts w:asciiTheme="minorHAnsi" w:hAnsiTheme="minorHAnsi" w:cstheme="minorHAnsi"/>
                <w:sz w:val="20"/>
                <w:szCs w:val="20"/>
              </w:rPr>
              <w:t>8.29</w:t>
            </w:r>
          </w:p>
        </w:tc>
        <w:tc>
          <w:tcPr>
            <w:tcW w:w="1327" w:type="dxa"/>
            <w:shd w:val="clear" w:color="auto" w:fill="auto"/>
            <w:noWrap/>
            <w:vAlign w:val="bottom"/>
            <w:hideMark/>
          </w:tcPr>
          <w:p w:rsidR="004C74C2" w:rsidRPr="00B53423" w:rsidRDefault="004C74C2" w:rsidP="0015232B">
            <w:pPr>
              <w:spacing w:before="0" w:line="240" w:lineRule="auto"/>
              <w:ind w:right="139"/>
              <w:jc w:val="right"/>
              <w:rPr>
                <w:rFonts w:asciiTheme="minorHAnsi" w:hAnsiTheme="minorHAnsi" w:cstheme="minorHAnsi"/>
                <w:sz w:val="20"/>
                <w:szCs w:val="20"/>
              </w:rPr>
            </w:pPr>
            <w:r w:rsidRPr="00B53423">
              <w:rPr>
                <w:rFonts w:asciiTheme="minorHAnsi" w:hAnsiTheme="minorHAnsi" w:cstheme="minorHAnsi"/>
                <w:sz w:val="20"/>
                <w:szCs w:val="20"/>
              </w:rPr>
              <w:t xml:space="preserve">  11.24 </w:t>
            </w:r>
          </w:p>
        </w:tc>
        <w:tc>
          <w:tcPr>
            <w:tcW w:w="1193"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2.08</w:t>
            </w:r>
          </w:p>
        </w:tc>
        <w:tc>
          <w:tcPr>
            <w:tcW w:w="121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2.12</w:t>
            </w:r>
          </w:p>
        </w:tc>
      </w:tr>
    </w:tbl>
    <w:p w:rsidR="004C74C2" w:rsidRPr="00B53423" w:rsidRDefault="004C74C2" w:rsidP="0015232B">
      <w:pPr>
        <w:spacing w:before="0"/>
        <w:jc w:val="center"/>
        <w:rPr>
          <w:b/>
        </w:rPr>
      </w:pPr>
    </w:p>
    <w:p w:rsidR="004C74C2" w:rsidRPr="00B53423" w:rsidRDefault="004C74C2" w:rsidP="0015232B">
      <w:pPr>
        <w:pStyle w:val="Heading3"/>
        <w:keepNext w:val="0"/>
        <w:ind w:hanging="1080"/>
      </w:pPr>
      <w:r w:rsidRPr="00B53423">
        <w:t>Accordingly, the net interest on long term loan approved by the Commission for Truing up of FY 2009-10 after reducing the interest capitalised of Rs. 0.00 Crore works out to Rs. 2.12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720"/>
        <w:rPr>
          <w:b/>
        </w:rPr>
      </w:pPr>
      <w:r w:rsidRPr="00B53423">
        <w:rPr>
          <w:b/>
        </w:rPr>
        <w:t>Finance Charges</w:t>
      </w:r>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ind w:hanging="1080"/>
      </w:pPr>
      <w:r w:rsidRPr="00B53423">
        <w:t>The Petitioner submitted that the finance charges constitutes of components such as guarantee fees, bank charges which are imposed by Government, financial institutions, etc. and are uncontrollable in nature. The Petitioner has claimed Finance charges of Rs. 26.96 Crore as against Rs. 6.63 Crore approved by the Commission in the Tariff Order dated 14</w:t>
      </w:r>
      <w:r w:rsidRPr="00B53423">
        <w:rPr>
          <w:vertAlign w:val="superscript"/>
        </w:rPr>
        <w:t>th</w:t>
      </w:r>
      <w:r w:rsidRPr="00B53423">
        <w:t xml:space="preserve"> October, 2010 in Petition No. 634 of 2009 for FY 2009-10.</w:t>
      </w:r>
    </w:p>
    <w:p w:rsidR="004C74C2" w:rsidRPr="00B53423" w:rsidRDefault="004C74C2" w:rsidP="0015232B">
      <w:pPr>
        <w:pStyle w:val="Heading3"/>
        <w:keepNext w:val="0"/>
        <w:numPr>
          <w:ilvl w:val="0"/>
          <w:numId w:val="0"/>
        </w:numPr>
        <w:ind w:left="450"/>
      </w:pPr>
      <w:r w:rsidRPr="00B53423">
        <w:t xml:space="preserve"> </w:t>
      </w:r>
    </w:p>
    <w:p w:rsidR="004C74C2" w:rsidRPr="00B53423" w:rsidRDefault="004C74C2" w:rsidP="0015232B">
      <w:pPr>
        <w:pStyle w:val="Heading3"/>
        <w:keepNext w:val="0"/>
        <w:ind w:hanging="1080"/>
      </w:pPr>
      <w:r w:rsidRPr="00B53423">
        <w:t>The Petitioner has claimed finance charges towards items such as interest on electricity duty, bank charges, discount to consumers, interest on consumer security deposits, etc.</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 xml:space="preserve">As discussed in detail in </w:t>
      </w:r>
      <w:r w:rsidR="004D0378" w:rsidRPr="00B53423">
        <w:t xml:space="preserve">para </w:t>
      </w:r>
      <w:fldSimple w:instr=" REF _Ref396853920 \r \h  \* MERGEFORMAT ">
        <w:r w:rsidR="00847C1B">
          <w:t>4.5.19</w:t>
        </w:r>
      </w:fldSimple>
      <w:r w:rsidR="004D0378" w:rsidRPr="00B53423">
        <w:t>,</w:t>
      </w:r>
      <w:r w:rsidRPr="00B53423">
        <w:t xml:space="preserve"> the Commission has disallowed the interest on electricity duty of Rs. 26.96 Crore as claimed by the Petitioner.</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 xml:space="preserve">Further as discussed in detail in </w:t>
      </w:r>
      <w:r w:rsidR="004D0378" w:rsidRPr="00B53423">
        <w:t xml:space="preserve">Para </w:t>
      </w:r>
      <w:fldSimple w:instr=" REF _Ref396853930 \r \h  \* MERGEFORMAT ">
        <w:r w:rsidR="00847C1B">
          <w:t>4.5.20</w:t>
        </w:r>
      </w:fldSimple>
      <w:r w:rsidRPr="00B53423">
        <w:t xml:space="preserve"> of this Order the Commission approves the actual expenses incurred towards discount to consumers. Also, bank charges and interest on consumer security deposits have been allowed at actual based on Audited Accounts as detailed in </w:t>
      </w:r>
      <w:r w:rsidR="004D0378" w:rsidRPr="00B53423">
        <w:t xml:space="preserve">Para </w:t>
      </w:r>
      <w:fldSimple w:instr=" REF _Ref396853942 \r \h  \* MERGEFORMAT ">
        <w:r w:rsidR="00847C1B">
          <w:t>4.5.21</w:t>
        </w:r>
      </w:fldSimple>
      <w:r w:rsidR="004D0378" w:rsidRPr="00B53423">
        <w:t>.</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 xml:space="preserve">Thus, the Commission has approved finance charges amounting to </w:t>
      </w:r>
      <w:r w:rsidR="004D0378" w:rsidRPr="00B53423">
        <w:t>Rs. 4.9</w:t>
      </w:r>
      <w:r w:rsidR="00F126DD" w:rsidRPr="00B53423">
        <w:t>8</w:t>
      </w:r>
      <w:r w:rsidR="004D0378" w:rsidRPr="00B53423">
        <w:t xml:space="preserve"> Crore</w:t>
      </w:r>
      <w:r w:rsidRPr="00B53423">
        <w:t xml:space="preserve"> for FY 2009-10 as against Rs. </w:t>
      </w:r>
      <w:r w:rsidR="00F126DD" w:rsidRPr="00B53423">
        <w:t>26.96</w:t>
      </w:r>
      <w:r w:rsidRPr="00B53423">
        <w:t xml:space="preserve"> Crore claimed by the Petitioner as shown in the Table below:</w:t>
      </w:r>
    </w:p>
    <w:p w:rsidR="004C74C2" w:rsidRPr="00B53423" w:rsidRDefault="004C74C2" w:rsidP="0015232B">
      <w:pPr>
        <w:pStyle w:val="ListParagraph"/>
        <w:ind w:left="180"/>
      </w:pPr>
    </w:p>
    <w:p w:rsidR="004C74C2" w:rsidRPr="00B53423" w:rsidRDefault="004C74C2" w:rsidP="0015232B">
      <w:pPr>
        <w:pStyle w:val="ListParagraph"/>
        <w:spacing w:before="240"/>
        <w:ind w:left="432"/>
        <w:rPr>
          <w:rFonts w:asciiTheme="minorHAnsi" w:hAnsiTheme="minorHAnsi" w:cstheme="minorHAnsi"/>
          <w:b/>
        </w:rPr>
      </w:pPr>
      <w:bookmarkStart w:id="470" w:name="_Toc399626346"/>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11</w:t>
      </w:r>
      <w:r w:rsidR="005D68E7" w:rsidRPr="00B53423">
        <w:rPr>
          <w:rFonts w:asciiTheme="minorHAnsi" w:hAnsiTheme="minorHAnsi" w:cstheme="minorHAnsi"/>
          <w:b/>
        </w:rPr>
        <w:fldChar w:fldCharType="end"/>
      </w:r>
      <w:r w:rsidRPr="00B53423">
        <w:rPr>
          <w:rFonts w:asciiTheme="minorHAnsi" w:hAnsiTheme="minorHAnsi" w:cstheme="minorHAnsi"/>
          <w:b/>
        </w:rPr>
        <w:t>: ALLOWABLE FINANCE CHARGES FOR FY 2009-10 (Rs. Crore)</w:t>
      </w:r>
      <w:bookmarkEnd w:id="470"/>
    </w:p>
    <w:tbl>
      <w:tblPr>
        <w:tblW w:w="8288" w:type="dxa"/>
        <w:tblInd w:w="103" w:type="dxa"/>
        <w:tblLook w:val="04A0"/>
      </w:tblPr>
      <w:tblGrid>
        <w:gridCol w:w="4360"/>
        <w:gridCol w:w="960"/>
        <w:gridCol w:w="976"/>
        <w:gridCol w:w="960"/>
        <w:gridCol w:w="1048"/>
      </w:tblGrid>
      <w:tr w:rsidR="004C74C2" w:rsidRPr="00B53423" w:rsidTr="009268E4">
        <w:trPr>
          <w:trHeight w:val="1020"/>
          <w:tblHeader/>
        </w:trPr>
        <w:tc>
          <w:tcPr>
            <w:tcW w:w="4360" w:type="dxa"/>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IN" w:eastAsia="en-IN"/>
              </w:rPr>
              <w:t>Particulars</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Tariff Order</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sz w:val="20"/>
                <w:szCs w:val="20"/>
                <w:lang w:val="en-US"/>
              </w:rPr>
            </w:pPr>
            <w:r w:rsidRPr="00B53423">
              <w:rPr>
                <w:rFonts w:cs="Calibri"/>
                <w:b/>
                <w:bCs/>
                <w:sz w:val="20"/>
                <w:szCs w:val="20"/>
                <w:lang w:val="en-US"/>
              </w:rPr>
              <w:t>Actuals as per Audited Accounts</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1048"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Interest on Electricity Duty</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21.97</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21.97</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Finance Charges / Guarantee Fees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0.02</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Bank Charges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0.06</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0.06</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0.06</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Discount to Consumers on sale of energy</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0.50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0.82</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0.82</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0.82</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Interest on Consumer Security Deposits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6.11</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4.10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4.10</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4.10</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b/>
                <w:bCs/>
                <w:color w:val="000000"/>
                <w:lang w:val="en-US"/>
              </w:rPr>
            </w:pPr>
            <w:r w:rsidRPr="00B53423">
              <w:rPr>
                <w:rFonts w:cs="Calibri"/>
                <w:b/>
                <w:bCs/>
                <w:color w:val="000000"/>
              </w:rPr>
              <w:t>Total Finance Charges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6.63</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26.96</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26.96</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4.98</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720"/>
        <w:rPr>
          <w:b/>
        </w:rPr>
      </w:pPr>
      <w:r w:rsidRPr="00B53423">
        <w:rPr>
          <w:b/>
        </w:rPr>
        <w:t>Interest on Working Capital</w:t>
      </w:r>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ind w:hanging="1080"/>
      </w:pPr>
      <w:r w:rsidRPr="00B53423">
        <w:t>The Petitioner submitted that Tariff Regulations provide for normative interest on working capital based on the principles outline in the Distribution Tariff Regulations, 2006. The Petitioner submitted that in accordance with the Regulations it is eligible for interest on working capital. The Petitioner further submitted that Regulation 4.8(2</w:t>
      </w:r>
      <w:proofErr w:type="gramStart"/>
      <w:r w:rsidRPr="00B53423">
        <w:t>)(</w:t>
      </w:r>
      <w:proofErr w:type="gramEnd"/>
      <w:r w:rsidRPr="00B53423">
        <w:t>B) of the Distribution Tariff Regulations, 2006 specifies the rate of interest on working capital borrowing as the bank rate specified by RBI plus some margin approved by the Commission. The Petitioner submitted that it has accordingly considered a rate of 11.75% which is line with the rate approved by the Commission in its Tariff Order for FY 2009-10. The Petitioner further requested the Commission to approve normative interest on working of Rs. 6.15 Crore as against Rs. 7.84 Crore approved by the Commission in the Tariff Order of FY 2009-10.</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Based on the methodology specified in the Distribution Tariff Regulations, 2006 the Commission in the Tariff Order dated 14</w:t>
      </w:r>
      <w:r w:rsidRPr="00B53423">
        <w:rPr>
          <w:vertAlign w:val="superscript"/>
        </w:rPr>
        <w:t>th</w:t>
      </w:r>
      <w:r w:rsidRPr="00B53423">
        <w:t xml:space="preserve"> October, 2010 in Petition No. 634 of 2009 for FY 2009-10 had allowed normative interest on working capital of Rs. 7.84 Crore. Following the similar approach and in accordance with the Regulations, the Commission in this Order has assessed the working capital and interest thereon based on the Trued-up ARR of the Petitioner.</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 xml:space="preserve">The Commission has approved </w:t>
      </w:r>
      <w:r w:rsidR="004D0378" w:rsidRPr="00B53423">
        <w:t>Rs. 6.15 Crore</w:t>
      </w:r>
      <w:r w:rsidRPr="00B53423">
        <w:t xml:space="preserve"> towards interest on working capital for FY 2009-10 which is same as that claimed by the Petitioner. The summary of the interest on working capital approved by the Commission in the Tariff Order for FY 2009-10, claimed by the Petitioner and that approved by the Commission in the present Truing up Order is shown in the Table below:</w:t>
      </w:r>
    </w:p>
    <w:p w:rsidR="005D7AFD" w:rsidRPr="00B53423" w:rsidRDefault="005D7AFD" w:rsidP="0015232B">
      <w:pPr>
        <w:pStyle w:val="Heading3"/>
        <w:keepNext w:val="0"/>
        <w:numPr>
          <w:ilvl w:val="0"/>
          <w:numId w:val="0"/>
        </w:numPr>
        <w:ind w:left="720"/>
      </w:pPr>
    </w:p>
    <w:p w:rsidR="004C74C2" w:rsidRPr="00B53423" w:rsidRDefault="004C74C2" w:rsidP="0015232B">
      <w:pPr>
        <w:spacing w:before="240"/>
        <w:rPr>
          <w:rFonts w:asciiTheme="minorHAnsi" w:hAnsiTheme="minorHAnsi" w:cstheme="minorHAnsi"/>
          <w:b/>
        </w:rPr>
      </w:pPr>
      <w:bookmarkStart w:id="471" w:name="_Toc399626347"/>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12</w:t>
      </w:r>
      <w:r w:rsidR="005D68E7" w:rsidRPr="00B53423">
        <w:rPr>
          <w:rFonts w:asciiTheme="minorHAnsi" w:hAnsiTheme="minorHAnsi" w:cstheme="minorHAnsi"/>
          <w:b/>
        </w:rPr>
        <w:fldChar w:fldCharType="end"/>
      </w:r>
      <w:r w:rsidRPr="00B53423">
        <w:rPr>
          <w:rFonts w:asciiTheme="minorHAnsi" w:hAnsiTheme="minorHAnsi" w:cstheme="minorHAnsi"/>
          <w:b/>
        </w:rPr>
        <w:t>: ALLOWABLE INTEREST ON WORKING CAPITAL FOR FY 2009-10 (Rs. Crore)</w:t>
      </w:r>
      <w:bookmarkEnd w:id="471"/>
    </w:p>
    <w:tbl>
      <w:tblPr>
        <w:tblW w:w="8957" w:type="dxa"/>
        <w:tblInd w:w="-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10"/>
        <w:gridCol w:w="1080"/>
        <w:gridCol w:w="1170"/>
        <w:gridCol w:w="1080"/>
        <w:gridCol w:w="1217"/>
      </w:tblGrid>
      <w:tr w:rsidR="004C74C2" w:rsidRPr="00B53423" w:rsidTr="009268E4">
        <w:trPr>
          <w:trHeight w:val="1020"/>
          <w:tblHeader/>
        </w:trPr>
        <w:tc>
          <w:tcPr>
            <w:tcW w:w="4410"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IN" w:eastAsia="en-IN"/>
              </w:rPr>
              <w:t>Particulars</w:t>
            </w:r>
          </w:p>
        </w:tc>
        <w:tc>
          <w:tcPr>
            <w:tcW w:w="1080"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Tariff Order</w:t>
            </w:r>
          </w:p>
        </w:tc>
        <w:tc>
          <w:tcPr>
            <w:tcW w:w="1170"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lang w:val="en-US"/>
              </w:rPr>
            </w:pPr>
            <w:r w:rsidRPr="00B53423">
              <w:rPr>
                <w:rFonts w:asciiTheme="minorHAnsi" w:hAnsiTheme="minorHAnsi" w:cstheme="minorHAnsi"/>
                <w:b/>
                <w:bCs/>
                <w:lang w:val="en-US"/>
              </w:rPr>
              <w:t>Actuals as per Audited Accounts</w:t>
            </w:r>
          </w:p>
        </w:tc>
        <w:tc>
          <w:tcPr>
            <w:tcW w:w="1080"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True-up Petition</w:t>
            </w:r>
          </w:p>
        </w:tc>
        <w:tc>
          <w:tcPr>
            <w:tcW w:w="1217"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Allowable</w:t>
            </w:r>
          </w:p>
        </w:tc>
      </w:tr>
      <w:tr w:rsidR="004C74C2" w:rsidRPr="00B53423" w:rsidTr="009268E4">
        <w:trPr>
          <w:trHeight w:val="300"/>
        </w:trPr>
        <w:tc>
          <w:tcPr>
            <w:tcW w:w="4410" w:type="dxa"/>
            <w:shd w:val="clear" w:color="auto" w:fill="auto"/>
            <w:noWrap/>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 xml:space="preserve">One month's O &amp; M  Expenses </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7.64 </w:t>
            </w:r>
          </w:p>
        </w:tc>
        <w:tc>
          <w:tcPr>
            <w:tcW w:w="1170" w:type="dxa"/>
            <w:shd w:val="clear" w:color="auto" w:fill="auto"/>
            <w:noWrap/>
            <w:hideMark/>
          </w:tcPr>
          <w:p w:rsidR="004C74C2" w:rsidRPr="00B53423" w:rsidRDefault="004C74C2" w:rsidP="0015232B">
            <w:pPr>
              <w:spacing w:before="0" w:line="240" w:lineRule="auto"/>
              <w:jc w:val="right"/>
            </w:pPr>
            <w:r w:rsidRPr="00B53423">
              <w:t> </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10.01 </w:t>
            </w:r>
          </w:p>
        </w:tc>
        <w:tc>
          <w:tcPr>
            <w:tcW w:w="1217" w:type="dxa"/>
            <w:shd w:val="clear" w:color="auto" w:fill="auto"/>
            <w:noWrap/>
            <w:hideMark/>
          </w:tcPr>
          <w:p w:rsidR="004C74C2" w:rsidRPr="00B53423" w:rsidRDefault="004C74C2" w:rsidP="0015232B">
            <w:pPr>
              <w:spacing w:before="0" w:line="240" w:lineRule="auto"/>
              <w:jc w:val="right"/>
            </w:pPr>
            <w:r w:rsidRPr="00B53423">
              <w:t xml:space="preserve">10.01 </w:t>
            </w:r>
          </w:p>
        </w:tc>
      </w:tr>
      <w:tr w:rsidR="004C74C2" w:rsidRPr="00B53423" w:rsidTr="009268E4">
        <w:trPr>
          <w:trHeight w:val="300"/>
        </w:trPr>
        <w:tc>
          <w:tcPr>
            <w:tcW w:w="4410" w:type="dxa"/>
            <w:shd w:val="clear" w:color="auto" w:fill="auto"/>
            <w:noWrap/>
            <w:vAlign w:val="center"/>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One-twelfth of the sum of the book value of stores, materials and supplies at the end of each month of such financial year</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1.96 </w:t>
            </w:r>
          </w:p>
        </w:tc>
        <w:tc>
          <w:tcPr>
            <w:tcW w:w="1170" w:type="dxa"/>
            <w:shd w:val="clear" w:color="auto" w:fill="auto"/>
            <w:noWrap/>
            <w:hideMark/>
          </w:tcPr>
          <w:p w:rsidR="004C74C2" w:rsidRPr="00B53423" w:rsidRDefault="004C74C2" w:rsidP="0015232B">
            <w:pPr>
              <w:spacing w:before="0" w:line="240" w:lineRule="auto"/>
              <w:jc w:val="right"/>
            </w:pPr>
          </w:p>
        </w:tc>
        <w:tc>
          <w:tcPr>
            <w:tcW w:w="1080" w:type="dxa"/>
            <w:shd w:val="clear" w:color="auto" w:fill="auto"/>
            <w:noWrap/>
            <w:hideMark/>
          </w:tcPr>
          <w:p w:rsidR="004C74C2" w:rsidRPr="00B53423" w:rsidRDefault="004C74C2" w:rsidP="0015232B">
            <w:pPr>
              <w:spacing w:before="0" w:line="240" w:lineRule="auto"/>
              <w:jc w:val="right"/>
            </w:pPr>
            <w:r w:rsidRPr="00B53423">
              <w:t xml:space="preserve">   2.32 </w:t>
            </w:r>
          </w:p>
        </w:tc>
        <w:tc>
          <w:tcPr>
            <w:tcW w:w="1217" w:type="dxa"/>
            <w:shd w:val="clear" w:color="auto" w:fill="auto"/>
            <w:noWrap/>
            <w:hideMark/>
          </w:tcPr>
          <w:p w:rsidR="004C74C2" w:rsidRPr="00B53423" w:rsidRDefault="004C74C2" w:rsidP="0015232B">
            <w:pPr>
              <w:spacing w:before="0" w:line="240" w:lineRule="auto"/>
              <w:jc w:val="right"/>
            </w:pPr>
            <w:r w:rsidRPr="00B53423">
              <w:t xml:space="preserve">    2.32 </w:t>
            </w:r>
          </w:p>
        </w:tc>
      </w:tr>
      <w:tr w:rsidR="004C74C2" w:rsidRPr="00B53423" w:rsidTr="009268E4">
        <w:trPr>
          <w:trHeight w:val="575"/>
        </w:trPr>
        <w:tc>
          <w:tcPr>
            <w:tcW w:w="4410" w:type="dxa"/>
            <w:shd w:val="clear" w:color="auto" w:fill="auto"/>
            <w:noWrap/>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Receivables equivalent to 60 days average billing of Beneficiaries</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154.24 </w:t>
            </w:r>
          </w:p>
        </w:tc>
        <w:tc>
          <w:tcPr>
            <w:tcW w:w="1170" w:type="dxa"/>
            <w:shd w:val="clear" w:color="auto" w:fill="auto"/>
            <w:noWrap/>
            <w:hideMark/>
          </w:tcPr>
          <w:p w:rsidR="004C74C2" w:rsidRPr="00B53423" w:rsidRDefault="004C74C2" w:rsidP="0015232B">
            <w:pPr>
              <w:spacing w:before="0" w:line="240" w:lineRule="auto"/>
              <w:jc w:val="right"/>
            </w:pPr>
            <w:r w:rsidRPr="00B53423">
              <w:t> </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131.59 </w:t>
            </w:r>
          </w:p>
        </w:tc>
        <w:tc>
          <w:tcPr>
            <w:tcW w:w="1217" w:type="dxa"/>
            <w:shd w:val="clear" w:color="auto" w:fill="auto"/>
            <w:noWrap/>
            <w:hideMark/>
          </w:tcPr>
          <w:p w:rsidR="004C74C2" w:rsidRPr="00B53423" w:rsidRDefault="004C74C2" w:rsidP="0015232B">
            <w:pPr>
              <w:spacing w:before="0" w:line="240" w:lineRule="auto"/>
              <w:jc w:val="right"/>
            </w:pPr>
            <w:r w:rsidRPr="00B53423">
              <w:t xml:space="preserve"> 131.59 </w:t>
            </w:r>
          </w:p>
        </w:tc>
      </w:tr>
      <w:tr w:rsidR="004C74C2" w:rsidRPr="00B53423" w:rsidTr="009268E4">
        <w:trPr>
          <w:trHeight w:val="300"/>
        </w:trPr>
        <w:tc>
          <w:tcPr>
            <w:tcW w:w="4410"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Gross Total</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163.84 </w:t>
            </w:r>
          </w:p>
        </w:tc>
        <w:tc>
          <w:tcPr>
            <w:tcW w:w="1170" w:type="dxa"/>
            <w:shd w:val="clear" w:color="auto" w:fill="auto"/>
            <w:noWrap/>
            <w:hideMark/>
          </w:tcPr>
          <w:p w:rsidR="004C74C2" w:rsidRPr="00B53423" w:rsidRDefault="004C74C2" w:rsidP="0015232B">
            <w:pPr>
              <w:spacing w:before="0" w:line="240" w:lineRule="auto"/>
              <w:jc w:val="right"/>
            </w:pPr>
            <w:r w:rsidRPr="00B53423">
              <w:t> </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143.92 </w:t>
            </w:r>
          </w:p>
        </w:tc>
        <w:tc>
          <w:tcPr>
            <w:tcW w:w="1217" w:type="dxa"/>
            <w:shd w:val="clear" w:color="auto" w:fill="auto"/>
            <w:noWrap/>
            <w:hideMark/>
          </w:tcPr>
          <w:p w:rsidR="004C74C2" w:rsidRPr="00B53423" w:rsidRDefault="004C74C2" w:rsidP="0015232B">
            <w:pPr>
              <w:spacing w:before="0" w:line="240" w:lineRule="auto"/>
              <w:jc w:val="right"/>
            </w:pPr>
            <w:r w:rsidRPr="00B53423">
              <w:t xml:space="preserve"> 143.92 </w:t>
            </w:r>
          </w:p>
        </w:tc>
      </w:tr>
      <w:tr w:rsidR="004C74C2" w:rsidRPr="00B53423" w:rsidTr="009268E4">
        <w:trPr>
          <w:trHeight w:val="300"/>
        </w:trPr>
        <w:tc>
          <w:tcPr>
            <w:tcW w:w="4410"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 </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w:t>
            </w:r>
          </w:p>
        </w:tc>
        <w:tc>
          <w:tcPr>
            <w:tcW w:w="1170" w:type="dxa"/>
            <w:shd w:val="clear" w:color="auto" w:fill="auto"/>
            <w:noWrap/>
            <w:hideMark/>
          </w:tcPr>
          <w:p w:rsidR="004C74C2" w:rsidRPr="00B53423" w:rsidRDefault="004C74C2" w:rsidP="0015232B">
            <w:pPr>
              <w:spacing w:before="0" w:line="240" w:lineRule="auto"/>
              <w:jc w:val="right"/>
            </w:pPr>
            <w:r w:rsidRPr="00B53423">
              <w:t> </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w:t>
            </w:r>
          </w:p>
        </w:tc>
        <w:tc>
          <w:tcPr>
            <w:tcW w:w="1217" w:type="dxa"/>
            <w:shd w:val="clear" w:color="auto" w:fill="auto"/>
            <w:noWrap/>
            <w:hideMark/>
          </w:tcPr>
          <w:p w:rsidR="004C74C2" w:rsidRPr="00B53423" w:rsidRDefault="004C74C2" w:rsidP="0015232B">
            <w:pPr>
              <w:spacing w:before="0" w:line="240" w:lineRule="auto"/>
              <w:jc w:val="right"/>
            </w:pPr>
            <w:r w:rsidRPr="00B53423">
              <w:t xml:space="preserve">     </w:t>
            </w:r>
          </w:p>
        </w:tc>
      </w:tr>
      <w:tr w:rsidR="004C74C2" w:rsidRPr="00B53423" w:rsidTr="009268E4">
        <w:trPr>
          <w:trHeight w:val="300"/>
        </w:trPr>
        <w:tc>
          <w:tcPr>
            <w:tcW w:w="4410"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Security Deposits by the beneficiaries (if any )</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97.08 </w:t>
            </w:r>
          </w:p>
        </w:tc>
        <w:tc>
          <w:tcPr>
            <w:tcW w:w="1170" w:type="dxa"/>
            <w:shd w:val="clear" w:color="auto" w:fill="auto"/>
            <w:noWrap/>
            <w:hideMark/>
          </w:tcPr>
          <w:p w:rsidR="004C74C2" w:rsidRPr="00B53423" w:rsidRDefault="004C74C2" w:rsidP="0015232B">
            <w:pPr>
              <w:spacing w:before="0" w:line="240" w:lineRule="auto"/>
              <w:jc w:val="right"/>
            </w:pPr>
          </w:p>
        </w:tc>
        <w:tc>
          <w:tcPr>
            <w:tcW w:w="1080" w:type="dxa"/>
            <w:shd w:val="clear" w:color="auto" w:fill="auto"/>
            <w:noWrap/>
            <w:hideMark/>
          </w:tcPr>
          <w:p w:rsidR="004C74C2" w:rsidRPr="00B53423" w:rsidRDefault="004C74C2" w:rsidP="0015232B">
            <w:pPr>
              <w:spacing w:before="0" w:line="240" w:lineRule="auto"/>
              <w:jc w:val="right"/>
            </w:pPr>
            <w:r w:rsidRPr="00B53423">
              <w:t xml:space="preserve">  91.55 </w:t>
            </w:r>
          </w:p>
        </w:tc>
        <w:tc>
          <w:tcPr>
            <w:tcW w:w="1217" w:type="dxa"/>
            <w:shd w:val="clear" w:color="auto" w:fill="auto"/>
            <w:noWrap/>
            <w:hideMark/>
          </w:tcPr>
          <w:p w:rsidR="004C74C2" w:rsidRPr="00B53423" w:rsidRDefault="004C74C2" w:rsidP="0015232B">
            <w:pPr>
              <w:spacing w:before="0" w:line="240" w:lineRule="auto"/>
              <w:jc w:val="right"/>
            </w:pPr>
            <w:r w:rsidRPr="00B53423">
              <w:t xml:space="preserve">  91.55 </w:t>
            </w:r>
          </w:p>
        </w:tc>
      </w:tr>
      <w:tr w:rsidR="004C74C2" w:rsidRPr="00B53423" w:rsidTr="009268E4">
        <w:trPr>
          <w:trHeight w:val="300"/>
        </w:trPr>
        <w:tc>
          <w:tcPr>
            <w:tcW w:w="4410"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Net Working Capital</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66.76 </w:t>
            </w:r>
          </w:p>
        </w:tc>
        <w:tc>
          <w:tcPr>
            <w:tcW w:w="1170" w:type="dxa"/>
            <w:shd w:val="clear" w:color="auto" w:fill="auto"/>
            <w:noWrap/>
            <w:hideMark/>
          </w:tcPr>
          <w:p w:rsidR="004C74C2" w:rsidRPr="00B53423" w:rsidRDefault="004C74C2" w:rsidP="0015232B">
            <w:pPr>
              <w:spacing w:before="0" w:line="240" w:lineRule="auto"/>
              <w:jc w:val="right"/>
            </w:pPr>
            <w:r w:rsidRPr="00B53423">
              <w:t> </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52.37 </w:t>
            </w:r>
          </w:p>
        </w:tc>
        <w:tc>
          <w:tcPr>
            <w:tcW w:w="1217" w:type="dxa"/>
            <w:shd w:val="clear" w:color="auto" w:fill="auto"/>
            <w:noWrap/>
            <w:hideMark/>
          </w:tcPr>
          <w:p w:rsidR="004C74C2" w:rsidRPr="00B53423" w:rsidRDefault="004C74C2" w:rsidP="0015232B">
            <w:pPr>
              <w:spacing w:before="0" w:line="240" w:lineRule="auto"/>
              <w:jc w:val="right"/>
            </w:pPr>
            <w:r w:rsidRPr="00B53423">
              <w:t xml:space="preserve"> 52.37 </w:t>
            </w:r>
          </w:p>
        </w:tc>
      </w:tr>
      <w:tr w:rsidR="004C74C2" w:rsidRPr="00B53423" w:rsidTr="009268E4">
        <w:trPr>
          <w:trHeight w:val="300"/>
        </w:trPr>
        <w:tc>
          <w:tcPr>
            <w:tcW w:w="4410" w:type="dxa"/>
            <w:shd w:val="clear" w:color="auto" w:fill="auto"/>
            <w:noWrap/>
            <w:vAlign w:val="bottom"/>
            <w:hideMark/>
          </w:tcPr>
          <w:p w:rsidR="004C74C2" w:rsidRPr="00B53423" w:rsidRDefault="004C74C2" w:rsidP="0015232B">
            <w:pPr>
              <w:spacing w:before="0" w:line="240" w:lineRule="auto"/>
              <w:jc w:val="center"/>
              <w:rPr>
                <w:rFonts w:asciiTheme="minorHAnsi" w:hAnsiTheme="minorHAnsi" w:cstheme="minorHAnsi"/>
              </w:rPr>
            </w:pPr>
            <w:r w:rsidRPr="00B53423">
              <w:rPr>
                <w:rFonts w:asciiTheme="minorHAnsi" w:hAnsiTheme="minorHAnsi" w:cstheme="minorHAnsi"/>
              </w:rPr>
              <w:t> </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w:t>
            </w:r>
          </w:p>
        </w:tc>
        <w:tc>
          <w:tcPr>
            <w:tcW w:w="1170" w:type="dxa"/>
            <w:shd w:val="clear" w:color="auto" w:fill="auto"/>
            <w:noWrap/>
            <w:hideMark/>
          </w:tcPr>
          <w:p w:rsidR="004C74C2" w:rsidRPr="00B53423" w:rsidRDefault="004C74C2" w:rsidP="0015232B">
            <w:pPr>
              <w:spacing w:before="0" w:line="240" w:lineRule="auto"/>
              <w:jc w:val="right"/>
            </w:pPr>
            <w:r w:rsidRPr="00B53423">
              <w:t> </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w:t>
            </w:r>
          </w:p>
        </w:tc>
        <w:tc>
          <w:tcPr>
            <w:tcW w:w="1217" w:type="dxa"/>
            <w:shd w:val="clear" w:color="auto" w:fill="auto"/>
            <w:noWrap/>
            <w:hideMark/>
          </w:tcPr>
          <w:p w:rsidR="004C74C2" w:rsidRPr="00B53423" w:rsidRDefault="004C74C2" w:rsidP="0015232B">
            <w:pPr>
              <w:spacing w:before="0" w:line="240" w:lineRule="auto"/>
              <w:jc w:val="right"/>
            </w:pPr>
            <w:r w:rsidRPr="00B53423">
              <w:t xml:space="preserve">     </w:t>
            </w:r>
          </w:p>
        </w:tc>
      </w:tr>
      <w:tr w:rsidR="004C74C2" w:rsidRPr="00B53423" w:rsidTr="009268E4">
        <w:trPr>
          <w:trHeight w:val="300"/>
        </w:trPr>
        <w:tc>
          <w:tcPr>
            <w:tcW w:w="4410"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Rate of Interest for Working Capital</w:t>
            </w:r>
          </w:p>
        </w:tc>
        <w:tc>
          <w:tcPr>
            <w:tcW w:w="1080" w:type="dxa"/>
            <w:shd w:val="clear" w:color="auto" w:fill="auto"/>
            <w:noWrap/>
            <w:hideMark/>
          </w:tcPr>
          <w:p w:rsidR="004C74C2" w:rsidRPr="00B53423" w:rsidRDefault="004C74C2" w:rsidP="0015232B">
            <w:pPr>
              <w:spacing w:before="0" w:line="240" w:lineRule="auto"/>
              <w:jc w:val="right"/>
            </w:pPr>
            <w:r w:rsidRPr="00B53423">
              <w:t>11.75%</w:t>
            </w:r>
          </w:p>
        </w:tc>
        <w:tc>
          <w:tcPr>
            <w:tcW w:w="1170" w:type="dxa"/>
            <w:shd w:val="clear" w:color="auto" w:fill="auto"/>
            <w:noWrap/>
            <w:hideMark/>
          </w:tcPr>
          <w:p w:rsidR="004C74C2" w:rsidRPr="00B53423" w:rsidRDefault="004C74C2" w:rsidP="0015232B">
            <w:pPr>
              <w:spacing w:before="0" w:line="240" w:lineRule="auto"/>
              <w:jc w:val="right"/>
            </w:pPr>
            <w:r w:rsidRPr="00B53423">
              <w:t> </w:t>
            </w:r>
          </w:p>
        </w:tc>
        <w:tc>
          <w:tcPr>
            <w:tcW w:w="1080" w:type="dxa"/>
            <w:shd w:val="clear" w:color="auto" w:fill="auto"/>
            <w:noWrap/>
            <w:hideMark/>
          </w:tcPr>
          <w:p w:rsidR="004C74C2" w:rsidRPr="00B53423" w:rsidRDefault="004C74C2" w:rsidP="0015232B">
            <w:pPr>
              <w:spacing w:before="0" w:line="240" w:lineRule="auto"/>
              <w:jc w:val="right"/>
            </w:pPr>
            <w:r w:rsidRPr="00B53423">
              <w:t>11.75%</w:t>
            </w:r>
          </w:p>
        </w:tc>
        <w:tc>
          <w:tcPr>
            <w:tcW w:w="1217" w:type="dxa"/>
            <w:shd w:val="clear" w:color="auto" w:fill="auto"/>
            <w:noWrap/>
            <w:hideMark/>
          </w:tcPr>
          <w:p w:rsidR="004C74C2" w:rsidRPr="00B53423" w:rsidRDefault="004C74C2" w:rsidP="0015232B">
            <w:pPr>
              <w:spacing w:before="0" w:line="240" w:lineRule="auto"/>
              <w:jc w:val="right"/>
            </w:pPr>
            <w:r w:rsidRPr="00B53423">
              <w:t>11.75%</w:t>
            </w:r>
          </w:p>
        </w:tc>
      </w:tr>
      <w:tr w:rsidR="004C74C2" w:rsidRPr="00B53423" w:rsidTr="009268E4">
        <w:trPr>
          <w:trHeight w:val="300"/>
        </w:trPr>
        <w:tc>
          <w:tcPr>
            <w:tcW w:w="4410"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Interest on Working Capital</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7.84 </w:t>
            </w:r>
          </w:p>
        </w:tc>
        <w:tc>
          <w:tcPr>
            <w:tcW w:w="1170" w:type="dxa"/>
            <w:shd w:val="clear" w:color="auto" w:fill="auto"/>
            <w:noWrap/>
            <w:hideMark/>
          </w:tcPr>
          <w:p w:rsidR="004C74C2" w:rsidRPr="00B53423" w:rsidRDefault="004C74C2" w:rsidP="0015232B">
            <w:pPr>
              <w:spacing w:before="0" w:line="240" w:lineRule="auto"/>
              <w:jc w:val="right"/>
            </w:pPr>
            <w:r w:rsidRPr="00B53423">
              <w:t xml:space="preserve"> 4.66 </w:t>
            </w:r>
          </w:p>
        </w:tc>
        <w:tc>
          <w:tcPr>
            <w:tcW w:w="1080" w:type="dxa"/>
            <w:shd w:val="clear" w:color="auto" w:fill="auto"/>
            <w:noWrap/>
            <w:hideMark/>
          </w:tcPr>
          <w:p w:rsidR="004C74C2" w:rsidRPr="00B53423" w:rsidRDefault="004C74C2" w:rsidP="0015232B">
            <w:pPr>
              <w:spacing w:before="0" w:line="240" w:lineRule="auto"/>
              <w:jc w:val="right"/>
            </w:pPr>
            <w:r w:rsidRPr="00B53423">
              <w:t xml:space="preserve"> 6.15 </w:t>
            </w:r>
          </w:p>
        </w:tc>
        <w:tc>
          <w:tcPr>
            <w:tcW w:w="1217" w:type="dxa"/>
            <w:shd w:val="clear" w:color="auto" w:fill="auto"/>
            <w:noWrap/>
            <w:hideMark/>
          </w:tcPr>
          <w:p w:rsidR="004C74C2" w:rsidRPr="00B53423" w:rsidRDefault="004C74C2" w:rsidP="0015232B">
            <w:pPr>
              <w:spacing w:before="0" w:line="240" w:lineRule="auto"/>
              <w:jc w:val="right"/>
            </w:pPr>
            <w:r w:rsidRPr="00B53423">
              <w:t xml:space="preserve"> 6.15 </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720"/>
        <w:rPr>
          <w:b/>
        </w:rPr>
      </w:pPr>
      <w:r w:rsidRPr="00B53423">
        <w:rPr>
          <w:b/>
        </w:rPr>
        <w:t>Total Interest and Finance Charges</w:t>
      </w:r>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ind w:hanging="1080"/>
      </w:pPr>
      <w:r w:rsidRPr="00B53423">
        <w:t>The following Table summarises the interest and finance charges approved by the Commission in the Tariff Order, interest and finance charges claimed by the Petitioner and that approved by the Commission in this Order:</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rPr>
          <w:rFonts w:asciiTheme="minorHAnsi" w:hAnsiTheme="minorHAnsi" w:cstheme="minorHAnsi"/>
          <w:b/>
        </w:rPr>
      </w:pPr>
      <w:bookmarkStart w:id="472" w:name="_Toc399626348"/>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13</w:t>
      </w:r>
      <w:r w:rsidR="005D68E7" w:rsidRPr="00B53423">
        <w:rPr>
          <w:rFonts w:asciiTheme="minorHAnsi" w:hAnsiTheme="minorHAnsi" w:cstheme="minorHAnsi"/>
          <w:b/>
        </w:rPr>
        <w:fldChar w:fldCharType="end"/>
      </w:r>
      <w:r w:rsidRPr="00B53423">
        <w:rPr>
          <w:rFonts w:asciiTheme="minorHAnsi" w:hAnsiTheme="minorHAnsi" w:cstheme="minorHAnsi"/>
          <w:b/>
        </w:rPr>
        <w:t>: ALLOWABLE INTEREST AND FINANCE CHARGES FOR FY 2009-10 (Rs. Crore)</w:t>
      </w:r>
      <w:bookmarkEnd w:id="472"/>
    </w:p>
    <w:tbl>
      <w:tblPr>
        <w:tblW w:w="9047" w:type="dxa"/>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78"/>
        <w:gridCol w:w="1119"/>
        <w:gridCol w:w="1727"/>
        <w:gridCol w:w="1119"/>
        <w:gridCol w:w="1204"/>
      </w:tblGrid>
      <w:tr w:rsidR="004C74C2" w:rsidRPr="00B53423" w:rsidTr="009268E4">
        <w:trPr>
          <w:trHeight w:val="900"/>
          <w:tblHeader/>
        </w:trPr>
        <w:tc>
          <w:tcPr>
            <w:tcW w:w="3917" w:type="dxa"/>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129"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743"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29"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129"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b/>
                <w:bCs/>
                <w:i/>
                <w:iCs/>
                <w:color w:val="000000"/>
                <w:lang w:val="en-US"/>
              </w:rPr>
            </w:pPr>
            <w:r w:rsidRPr="00B53423">
              <w:rPr>
                <w:rFonts w:cs="Calibri"/>
                <w:b/>
                <w:bCs/>
                <w:i/>
                <w:iCs/>
                <w:color w:val="000000"/>
                <w:lang w:val="en-US"/>
              </w:rPr>
              <w:t>A: Interest on Long Term Loans</w:t>
            </w:r>
          </w:p>
        </w:tc>
        <w:tc>
          <w:tcPr>
            <w:tcW w:w="1129" w:type="dxa"/>
            <w:shd w:val="clear" w:color="auto" w:fill="auto"/>
            <w:noWrap/>
            <w:vAlign w:val="bottom"/>
            <w:hideMark/>
          </w:tcPr>
          <w:p w:rsidR="004C74C2" w:rsidRPr="00B53423" w:rsidRDefault="004C74C2" w:rsidP="0015232B">
            <w:pPr>
              <w:spacing w:before="0" w:line="240" w:lineRule="auto"/>
              <w:rPr>
                <w:rFonts w:cs="Calibri"/>
                <w:color w:val="000000"/>
              </w:rPr>
            </w:pPr>
            <w:r w:rsidRPr="00B53423">
              <w:rPr>
                <w:rFonts w:cs="Calibri"/>
                <w:color w:val="000000"/>
              </w:rPr>
              <w:t> </w:t>
            </w:r>
          </w:p>
        </w:tc>
        <w:tc>
          <w:tcPr>
            <w:tcW w:w="1743" w:type="dxa"/>
            <w:shd w:val="clear" w:color="auto" w:fill="auto"/>
            <w:noWrap/>
            <w:vAlign w:val="bottom"/>
            <w:hideMark/>
          </w:tcPr>
          <w:p w:rsidR="004C74C2" w:rsidRPr="00B53423" w:rsidRDefault="004C74C2" w:rsidP="0015232B">
            <w:pPr>
              <w:spacing w:before="0" w:line="240" w:lineRule="auto"/>
              <w:rPr>
                <w:rFonts w:cs="Calibri"/>
                <w:color w:val="000000"/>
              </w:rPr>
            </w:pPr>
            <w:r w:rsidRPr="00B53423">
              <w:rPr>
                <w:rFonts w:cs="Calibri"/>
                <w:color w:val="000000"/>
              </w:rPr>
              <w:t> </w:t>
            </w:r>
          </w:p>
        </w:tc>
        <w:tc>
          <w:tcPr>
            <w:tcW w:w="1129" w:type="dxa"/>
            <w:shd w:val="clear" w:color="auto" w:fill="auto"/>
            <w:noWrap/>
            <w:vAlign w:val="bottom"/>
            <w:hideMark/>
          </w:tcPr>
          <w:p w:rsidR="004C74C2" w:rsidRPr="00B53423" w:rsidRDefault="004C74C2" w:rsidP="0015232B">
            <w:pPr>
              <w:spacing w:before="0" w:line="240" w:lineRule="auto"/>
              <w:rPr>
                <w:rFonts w:cs="Calibri"/>
                <w:color w:val="000000"/>
              </w:rPr>
            </w:pPr>
            <w:r w:rsidRPr="00B53423">
              <w:rPr>
                <w:rFonts w:cs="Calibri"/>
                <w:color w:val="000000"/>
              </w:rPr>
              <w:t> </w:t>
            </w:r>
          </w:p>
        </w:tc>
        <w:tc>
          <w:tcPr>
            <w:tcW w:w="1129" w:type="dxa"/>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Gross Interest on Long Term Loan</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color w:val="000000"/>
              </w:rPr>
            </w:pPr>
            <w:r w:rsidRPr="00B53423">
              <w:rPr>
                <w:rFonts w:cs="Calibri"/>
                <w:color w:val="000000"/>
              </w:rPr>
              <w:t>10.76</w:t>
            </w: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color w:val="000000"/>
              </w:rPr>
            </w:pPr>
            <w:r w:rsidRPr="00B53423">
              <w:rPr>
                <w:rFonts w:cs="Calibri"/>
                <w:color w:val="000000"/>
              </w:rPr>
              <w:t>11.86</w:t>
            </w: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color w:val="000000"/>
              </w:rPr>
            </w:pPr>
            <w:r w:rsidRPr="00B53423">
              <w:rPr>
                <w:rFonts w:cs="Calibri"/>
                <w:color w:val="000000"/>
              </w:rPr>
              <w:t>2.08</w:t>
            </w: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color w:val="000000"/>
              </w:rPr>
            </w:pPr>
            <w:r w:rsidRPr="00B53423">
              <w:rPr>
                <w:rFonts w:cs="Calibri"/>
                <w:color w:val="000000"/>
              </w:rPr>
              <w:t>2.12</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Interest Capitalisation</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color w:val="000000"/>
              </w:rPr>
            </w:pPr>
            <w:r w:rsidRPr="00B53423">
              <w:rPr>
                <w:rFonts w:cs="Calibri"/>
                <w:color w:val="000000"/>
              </w:rPr>
              <w:t>2.47</w:t>
            </w: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color w:val="000000"/>
              </w:rPr>
            </w:pPr>
            <w:r w:rsidRPr="00B53423">
              <w:rPr>
                <w:rFonts w:cs="Calibri"/>
                <w:color w:val="000000"/>
              </w:rPr>
              <w:t>0.00</w:t>
            </w: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color w:val="000000"/>
              </w:rPr>
            </w:pPr>
            <w:r w:rsidRPr="00B53423">
              <w:rPr>
                <w:rFonts w:cs="Calibri"/>
                <w:color w:val="000000"/>
              </w:rPr>
              <w:t>0.00</w:t>
            </w: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color w:val="000000"/>
              </w:rPr>
            </w:pPr>
            <w:r w:rsidRPr="00B53423">
              <w:rPr>
                <w:rFonts w:cs="Calibri"/>
                <w:color w:val="000000"/>
              </w:rPr>
              <w:t>0.00</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Interest on Long Term Loans</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b/>
                <w:bCs/>
                <w:color w:val="000000"/>
              </w:rPr>
            </w:pPr>
            <w:r w:rsidRPr="00B53423">
              <w:rPr>
                <w:rFonts w:cs="Calibri"/>
                <w:b/>
                <w:bCs/>
                <w:color w:val="000000"/>
              </w:rPr>
              <w:t>8.29</w:t>
            </w: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b/>
                <w:bCs/>
                <w:color w:val="000000"/>
              </w:rPr>
            </w:pPr>
            <w:r w:rsidRPr="00B53423">
              <w:rPr>
                <w:rFonts w:cs="Calibri"/>
                <w:b/>
                <w:bCs/>
                <w:color w:val="000000"/>
              </w:rPr>
              <w:t>11.86</w:t>
            </w: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b/>
                <w:bCs/>
                <w:color w:val="000000"/>
              </w:rPr>
            </w:pPr>
            <w:r w:rsidRPr="00B53423">
              <w:rPr>
                <w:rFonts w:cs="Calibri"/>
                <w:b/>
                <w:bCs/>
                <w:color w:val="000000"/>
              </w:rPr>
              <w:t>2.08</w:t>
            </w: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b/>
                <w:bCs/>
                <w:color w:val="000000"/>
              </w:rPr>
            </w:pPr>
            <w:r w:rsidRPr="00B53423">
              <w:rPr>
                <w:rFonts w:cs="Calibri"/>
                <w:b/>
                <w:bCs/>
                <w:color w:val="000000"/>
              </w:rPr>
              <w:t>2.12</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color w:val="000000"/>
              </w:rPr>
            </w:pP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color w:val="000000"/>
              </w:rPr>
            </w:pP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color w:val="000000"/>
              </w:rPr>
            </w:pP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color w:val="000000"/>
              </w:rPr>
            </w:pP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b/>
                <w:bCs/>
                <w:i/>
                <w:iCs/>
                <w:color w:val="000000"/>
                <w:lang w:val="en-US"/>
              </w:rPr>
            </w:pPr>
            <w:r w:rsidRPr="00B53423">
              <w:rPr>
                <w:rFonts w:cs="Calibri"/>
                <w:b/>
                <w:bCs/>
                <w:i/>
                <w:iCs/>
                <w:color w:val="000000"/>
                <w:lang w:val="en-US"/>
              </w:rPr>
              <w:t>B: Finance and Other Charges</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color w:val="000000"/>
              </w:rPr>
            </w:pPr>
            <w:r w:rsidRPr="00B53423">
              <w:rPr>
                <w:rFonts w:cs="Calibri"/>
                <w:color w:val="000000"/>
              </w:rPr>
              <w:t>0.00</w:t>
            </w: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color w:val="000000"/>
              </w:rPr>
            </w:pPr>
            <w:r w:rsidRPr="00B53423">
              <w:rPr>
                <w:rFonts w:cs="Calibri"/>
                <w:color w:val="000000"/>
              </w:rPr>
              <w:t>0.00</w:t>
            </w: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color w:val="000000"/>
              </w:rPr>
            </w:pPr>
            <w:r w:rsidRPr="00B53423">
              <w:rPr>
                <w:rFonts w:cs="Calibri"/>
                <w:color w:val="000000"/>
              </w:rPr>
              <w:t>0.00</w:t>
            </w: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color w:val="000000"/>
              </w:rPr>
            </w:pPr>
            <w:r w:rsidRPr="00B53423">
              <w:rPr>
                <w:rFonts w:cs="Calibri"/>
                <w:color w:val="000000"/>
              </w:rPr>
              <w:t>0.00</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Interest on Electricity Duty</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color w:val="000000"/>
              </w:rPr>
            </w:pPr>
            <w:r w:rsidRPr="00B53423">
              <w:rPr>
                <w:rFonts w:cs="Calibri"/>
                <w:color w:val="000000"/>
              </w:rPr>
              <w:t>0.00</w:t>
            </w: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color w:val="000000"/>
              </w:rPr>
            </w:pPr>
            <w:r w:rsidRPr="00B53423">
              <w:rPr>
                <w:rFonts w:cs="Calibri"/>
                <w:color w:val="000000"/>
              </w:rPr>
              <w:t>21.97</w:t>
            </w: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color w:val="000000"/>
              </w:rPr>
            </w:pPr>
            <w:r w:rsidRPr="00B53423">
              <w:rPr>
                <w:rFonts w:cs="Calibri"/>
                <w:color w:val="000000"/>
              </w:rPr>
              <w:t>21.97</w:t>
            </w: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color w:val="000000"/>
              </w:rPr>
            </w:pPr>
            <w:r w:rsidRPr="00B53423">
              <w:rPr>
                <w:rFonts w:cs="Calibri"/>
                <w:color w:val="000000"/>
              </w:rPr>
              <w:t>0.00</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Finance Charges / Guarantee Fees</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color w:val="000000"/>
              </w:rPr>
            </w:pPr>
            <w:r w:rsidRPr="00B53423">
              <w:rPr>
                <w:rFonts w:cs="Calibri"/>
                <w:color w:val="000000"/>
              </w:rPr>
              <w:t>0.02</w:t>
            </w: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color w:val="000000"/>
              </w:rPr>
            </w:pPr>
            <w:r w:rsidRPr="00B53423">
              <w:rPr>
                <w:rFonts w:cs="Calibri"/>
                <w:color w:val="000000"/>
              </w:rPr>
              <w:t>0.00</w:t>
            </w: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color w:val="000000"/>
              </w:rPr>
            </w:pPr>
            <w:r w:rsidRPr="00B53423">
              <w:rPr>
                <w:rFonts w:cs="Calibri"/>
                <w:color w:val="000000"/>
              </w:rPr>
              <w:t>0.00</w:t>
            </w: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color w:val="000000"/>
              </w:rPr>
            </w:pPr>
            <w:r w:rsidRPr="00B53423">
              <w:rPr>
                <w:rFonts w:cs="Calibri"/>
                <w:color w:val="000000"/>
              </w:rPr>
              <w:t>0.00</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Bank Charges</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color w:val="000000"/>
              </w:rPr>
            </w:pPr>
            <w:r w:rsidRPr="00B53423">
              <w:rPr>
                <w:rFonts w:cs="Calibri"/>
                <w:color w:val="000000"/>
              </w:rPr>
              <w:t>0.00</w:t>
            </w: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color w:val="000000"/>
              </w:rPr>
            </w:pPr>
            <w:r w:rsidRPr="00B53423">
              <w:rPr>
                <w:rFonts w:cs="Calibri"/>
                <w:color w:val="000000"/>
              </w:rPr>
              <w:t>0.06</w:t>
            </w: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color w:val="000000"/>
              </w:rPr>
            </w:pPr>
            <w:r w:rsidRPr="00B53423">
              <w:rPr>
                <w:rFonts w:cs="Calibri"/>
                <w:color w:val="000000"/>
              </w:rPr>
              <w:t>0.06</w:t>
            </w: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color w:val="000000"/>
              </w:rPr>
            </w:pPr>
            <w:r w:rsidRPr="00B53423">
              <w:rPr>
                <w:rFonts w:cs="Calibri"/>
                <w:color w:val="000000"/>
              </w:rPr>
              <w:t>0.06</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Discount to Consumers on sale of energy</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color w:val="000000"/>
              </w:rPr>
            </w:pPr>
            <w:r w:rsidRPr="00B53423">
              <w:rPr>
                <w:rFonts w:cs="Calibri"/>
                <w:color w:val="000000"/>
              </w:rPr>
              <w:t>0.50</w:t>
            </w: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color w:val="000000"/>
              </w:rPr>
            </w:pPr>
            <w:r w:rsidRPr="00B53423">
              <w:rPr>
                <w:rFonts w:cs="Calibri"/>
                <w:color w:val="000000"/>
              </w:rPr>
              <w:t>0.82</w:t>
            </w: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color w:val="000000"/>
              </w:rPr>
            </w:pPr>
            <w:r w:rsidRPr="00B53423">
              <w:rPr>
                <w:rFonts w:cs="Calibri"/>
                <w:color w:val="000000"/>
              </w:rPr>
              <w:t>0.82</w:t>
            </w: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color w:val="000000"/>
              </w:rPr>
            </w:pPr>
            <w:r w:rsidRPr="00B53423">
              <w:rPr>
                <w:rFonts w:cs="Calibri"/>
                <w:color w:val="000000"/>
              </w:rPr>
              <w:t>0.82</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Interest on Consumer Security Deposits</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color w:val="000000"/>
              </w:rPr>
            </w:pPr>
            <w:r w:rsidRPr="00B53423">
              <w:rPr>
                <w:rFonts w:cs="Calibri"/>
                <w:color w:val="000000"/>
              </w:rPr>
              <w:t>6.11</w:t>
            </w: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color w:val="000000"/>
              </w:rPr>
            </w:pPr>
            <w:r w:rsidRPr="00B53423">
              <w:rPr>
                <w:rFonts w:cs="Calibri"/>
                <w:color w:val="000000"/>
              </w:rPr>
              <w:t>4.10</w:t>
            </w: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color w:val="000000"/>
              </w:rPr>
            </w:pPr>
            <w:r w:rsidRPr="00B53423">
              <w:rPr>
                <w:rFonts w:cs="Calibri"/>
                <w:color w:val="000000"/>
              </w:rPr>
              <w:t>4.10</w:t>
            </w: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color w:val="000000"/>
              </w:rPr>
            </w:pPr>
            <w:r w:rsidRPr="00B53423">
              <w:rPr>
                <w:rFonts w:cs="Calibri"/>
                <w:color w:val="000000"/>
              </w:rPr>
              <w:t>4.10</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Finance Charges</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b/>
                <w:bCs/>
                <w:color w:val="000000"/>
              </w:rPr>
            </w:pPr>
            <w:r w:rsidRPr="00B53423">
              <w:rPr>
                <w:rFonts w:cs="Calibri"/>
                <w:b/>
                <w:bCs/>
                <w:color w:val="000000"/>
              </w:rPr>
              <w:t>6.63</w:t>
            </w: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b/>
                <w:bCs/>
                <w:color w:val="000000"/>
              </w:rPr>
            </w:pPr>
            <w:r w:rsidRPr="00B53423">
              <w:rPr>
                <w:rFonts w:cs="Calibri"/>
                <w:b/>
                <w:bCs/>
                <w:color w:val="000000"/>
              </w:rPr>
              <w:t>26.96</w:t>
            </w: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b/>
                <w:bCs/>
                <w:color w:val="000000"/>
              </w:rPr>
            </w:pPr>
            <w:r w:rsidRPr="00B53423">
              <w:rPr>
                <w:rFonts w:cs="Calibri"/>
                <w:b/>
                <w:bCs/>
                <w:color w:val="000000"/>
              </w:rPr>
              <w:t>26.96</w:t>
            </w: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b/>
                <w:bCs/>
                <w:color w:val="000000"/>
              </w:rPr>
            </w:pPr>
            <w:r w:rsidRPr="00B53423">
              <w:rPr>
                <w:rFonts w:cs="Calibri"/>
                <w:b/>
                <w:bCs/>
                <w:color w:val="000000"/>
              </w:rPr>
              <w:t>4.98</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color w:val="000000"/>
              </w:rPr>
            </w:pP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color w:val="000000"/>
              </w:rPr>
            </w:pP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color w:val="000000"/>
              </w:rPr>
            </w:pP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color w:val="000000"/>
              </w:rPr>
            </w:pP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b/>
                <w:bCs/>
                <w:i/>
                <w:iCs/>
                <w:color w:val="000000"/>
                <w:lang w:val="en-US"/>
              </w:rPr>
            </w:pPr>
            <w:r w:rsidRPr="00B53423">
              <w:rPr>
                <w:rFonts w:cs="Calibri"/>
                <w:b/>
                <w:bCs/>
                <w:i/>
                <w:iCs/>
                <w:color w:val="000000"/>
                <w:lang w:val="en-US"/>
              </w:rPr>
              <w:t>C: Interest on Working Capital</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b/>
                <w:bCs/>
                <w:color w:val="000000"/>
              </w:rPr>
            </w:pPr>
            <w:r w:rsidRPr="00B53423">
              <w:rPr>
                <w:rFonts w:cs="Calibri"/>
                <w:b/>
                <w:bCs/>
                <w:color w:val="000000"/>
              </w:rPr>
              <w:t>7.84</w:t>
            </w: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b/>
                <w:bCs/>
                <w:color w:val="000000"/>
              </w:rPr>
            </w:pPr>
            <w:r w:rsidRPr="00B53423">
              <w:rPr>
                <w:rFonts w:cs="Calibri"/>
                <w:b/>
                <w:bCs/>
                <w:color w:val="000000"/>
              </w:rPr>
              <w:t>4.66</w:t>
            </w: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b/>
                <w:bCs/>
                <w:color w:val="000000"/>
              </w:rPr>
            </w:pPr>
            <w:r w:rsidRPr="00B53423">
              <w:rPr>
                <w:rFonts w:cs="Calibri"/>
                <w:b/>
                <w:bCs/>
                <w:color w:val="000000"/>
              </w:rPr>
              <w:t>6.15</w:t>
            </w: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b/>
                <w:bCs/>
                <w:color w:val="000000"/>
              </w:rPr>
            </w:pPr>
            <w:r w:rsidRPr="00B53423">
              <w:rPr>
                <w:rFonts w:cs="Calibri"/>
                <w:b/>
                <w:bCs/>
                <w:color w:val="000000"/>
              </w:rPr>
              <w:t>6.15</w:t>
            </w: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color w:val="000000"/>
              </w:rPr>
            </w:pP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color w:val="000000"/>
              </w:rPr>
            </w:pP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color w:val="000000"/>
              </w:rPr>
            </w:pP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color w:val="000000"/>
              </w:rPr>
            </w:pPr>
          </w:p>
        </w:tc>
      </w:tr>
      <w:tr w:rsidR="004C74C2" w:rsidRPr="00B53423" w:rsidTr="009268E4">
        <w:trPr>
          <w:trHeight w:val="300"/>
        </w:trPr>
        <w:tc>
          <w:tcPr>
            <w:tcW w:w="3917"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(A+B+C)</w:t>
            </w:r>
          </w:p>
        </w:tc>
        <w:tc>
          <w:tcPr>
            <w:tcW w:w="1129" w:type="dxa"/>
            <w:shd w:val="clear" w:color="auto" w:fill="auto"/>
            <w:noWrap/>
            <w:vAlign w:val="bottom"/>
            <w:hideMark/>
          </w:tcPr>
          <w:p w:rsidR="004C74C2" w:rsidRPr="00B53423" w:rsidRDefault="004C74C2" w:rsidP="0015232B">
            <w:pPr>
              <w:spacing w:before="0" w:line="240" w:lineRule="auto"/>
              <w:ind w:right="76"/>
              <w:jc w:val="right"/>
              <w:rPr>
                <w:rFonts w:cs="Calibri"/>
                <w:b/>
                <w:bCs/>
                <w:color w:val="000000"/>
              </w:rPr>
            </w:pPr>
            <w:r w:rsidRPr="00B53423">
              <w:rPr>
                <w:rFonts w:cs="Calibri"/>
                <w:b/>
                <w:bCs/>
                <w:color w:val="000000"/>
              </w:rPr>
              <w:t>22.76</w:t>
            </w:r>
          </w:p>
        </w:tc>
        <w:tc>
          <w:tcPr>
            <w:tcW w:w="1743" w:type="dxa"/>
            <w:shd w:val="clear" w:color="auto" w:fill="auto"/>
            <w:noWrap/>
            <w:vAlign w:val="bottom"/>
            <w:hideMark/>
          </w:tcPr>
          <w:p w:rsidR="004C74C2" w:rsidRPr="00B53423" w:rsidRDefault="004C74C2" w:rsidP="0015232B">
            <w:pPr>
              <w:spacing w:before="0" w:line="240" w:lineRule="auto"/>
              <w:ind w:right="378"/>
              <w:jc w:val="right"/>
              <w:rPr>
                <w:rFonts w:cs="Calibri"/>
                <w:b/>
                <w:bCs/>
                <w:color w:val="000000"/>
              </w:rPr>
            </w:pPr>
            <w:r w:rsidRPr="00B53423">
              <w:rPr>
                <w:rFonts w:cs="Calibri"/>
                <w:b/>
                <w:bCs/>
                <w:color w:val="000000"/>
              </w:rPr>
              <w:t>43.47</w:t>
            </w:r>
          </w:p>
        </w:tc>
        <w:tc>
          <w:tcPr>
            <w:tcW w:w="1129" w:type="dxa"/>
            <w:shd w:val="clear" w:color="auto" w:fill="auto"/>
            <w:noWrap/>
            <w:vAlign w:val="bottom"/>
            <w:hideMark/>
          </w:tcPr>
          <w:p w:rsidR="004C74C2" w:rsidRPr="00B53423" w:rsidRDefault="004C74C2" w:rsidP="0015232B">
            <w:pPr>
              <w:spacing w:before="0" w:line="240" w:lineRule="auto"/>
              <w:ind w:right="67"/>
              <w:jc w:val="right"/>
              <w:rPr>
                <w:rFonts w:cs="Calibri"/>
                <w:b/>
                <w:bCs/>
                <w:color w:val="000000"/>
              </w:rPr>
            </w:pPr>
            <w:r w:rsidRPr="00B53423">
              <w:rPr>
                <w:rFonts w:cs="Calibri"/>
                <w:b/>
                <w:bCs/>
                <w:color w:val="000000"/>
              </w:rPr>
              <w:t>35.19</w:t>
            </w:r>
          </w:p>
        </w:tc>
        <w:tc>
          <w:tcPr>
            <w:tcW w:w="1129" w:type="dxa"/>
            <w:shd w:val="clear" w:color="auto" w:fill="auto"/>
            <w:noWrap/>
            <w:vAlign w:val="bottom"/>
            <w:hideMark/>
          </w:tcPr>
          <w:p w:rsidR="004C74C2" w:rsidRPr="00B53423" w:rsidRDefault="004C74C2" w:rsidP="0015232B">
            <w:pPr>
              <w:spacing w:before="0" w:line="240" w:lineRule="auto"/>
              <w:ind w:right="96"/>
              <w:jc w:val="right"/>
              <w:rPr>
                <w:rFonts w:cs="Calibri"/>
                <w:b/>
                <w:bCs/>
                <w:color w:val="000000"/>
              </w:rPr>
            </w:pPr>
            <w:r w:rsidRPr="00B53423">
              <w:rPr>
                <w:rFonts w:cs="Calibri"/>
                <w:b/>
                <w:bCs/>
                <w:color w:val="000000"/>
              </w:rPr>
              <w:t>13.26</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rPr>
          <w:caps/>
        </w:rPr>
      </w:pPr>
      <w:bookmarkStart w:id="473" w:name="_Toc399626182"/>
      <w:r w:rsidRPr="00B53423">
        <w:rPr>
          <w:caps/>
        </w:rPr>
        <w:t>Depreciation</w:t>
      </w:r>
      <w:bookmarkEnd w:id="473"/>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14</w:t>
      </w:r>
      <w:r w:rsidRPr="00B53423">
        <w:rPr>
          <w:vertAlign w:val="superscript"/>
        </w:rPr>
        <w:t>th</w:t>
      </w:r>
      <w:r w:rsidRPr="00B53423">
        <w:t xml:space="preserve"> October, 2010 in Petition No. 634 of 2009 for FY 2009-10, the Commission had approved a depreciation expense of Rs. 24.32 Crore on a gross fixed asset base of Rs. 382.81 Crore.</w:t>
      </w:r>
    </w:p>
    <w:p w:rsidR="004C74C2" w:rsidRPr="00B53423" w:rsidRDefault="004C74C2" w:rsidP="0015232B">
      <w:pPr>
        <w:pStyle w:val="Heading3"/>
        <w:keepNext w:val="0"/>
        <w:numPr>
          <w:ilvl w:val="0"/>
          <w:numId w:val="0"/>
        </w:numPr>
        <w:ind w:left="450"/>
        <w:rPr>
          <w:sz w:val="22"/>
          <w:szCs w:val="22"/>
        </w:rPr>
      </w:pPr>
    </w:p>
    <w:p w:rsidR="004C74C2" w:rsidRPr="00B53423" w:rsidRDefault="004C74C2" w:rsidP="0015232B">
      <w:pPr>
        <w:pStyle w:val="Heading3"/>
        <w:keepNext w:val="0"/>
        <w:ind w:hanging="1080"/>
        <w:rPr>
          <w:sz w:val="22"/>
          <w:szCs w:val="22"/>
        </w:rPr>
      </w:pPr>
      <w:r w:rsidRPr="00B53423">
        <w:t>The Petitioner submitted that the actual depreciation expense as per Audited Accounts is Rs. 16.23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2009-10</w:t>
      </w:r>
      <w:r w:rsidRPr="00B53423">
        <w:rPr>
          <w:sz w:val="22"/>
          <w:szCs w:val="22"/>
        </w:rPr>
        <w:t>.</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added that for the purpose of True-up it has computed depreciation expense on the actual gross fixed asset base using the same depreciation rates which were used by the Commission in the Tariff Order dated 14</w:t>
      </w:r>
      <w:r w:rsidRPr="00B53423">
        <w:rPr>
          <w:vertAlign w:val="superscript"/>
        </w:rPr>
        <w:t>th</w:t>
      </w:r>
      <w:r w:rsidRPr="00B53423">
        <w:t xml:space="preserve"> October, 2010 in Petition No. 634 of 2009 for FY 2009-10. However, it was observed that the Petitioner had considered depreciation rate of 7.91% to compute the depreciation as against the depreciation rate of 6.98% approved by the Commission in the Tariff Order dated 14</w:t>
      </w:r>
      <w:r w:rsidRPr="00B53423">
        <w:rPr>
          <w:vertAlign w:val="superscript"/>
        </w:rPr>
        <w:t>th</w:t>
      </w:r>
      <w:r w:rsidRPr="00B53423">
        <w:t xml:space="preserve"> October, 2010 in Petition No. 634 of 2009 for FY 2009-10. In reply to the Commission’s query regarding variation in Depreciation rate the Petitioner submitted the revised depreciation computation after considering the depreciation rate approved by the Commission in the aforesaid Tariff Order as shown in the Table below:</w:t>
      </w:r>
    </w:p>
    <w:p w:rsidR="004C74C2" w:rsidRPr="00B53423" w:rsidRDefault="004C74C2" w:rsidP="0015232B">
      <w:pPr>
        <w:spacing w:before="240"/>
        <w:rPr>
          <w:rFonts w:asciiTheme="minorHAnsi" w:hAnsiTheme="minorHAnsi" w:cstheme="minorHAnsi"/>
          <w:b/>
        </w:rPr>
      </w:pPr>
    </w:p>
    <w:p w:rsidR="004C74C2" w:rsidRPr="00B53423" w:rsidRDefault="004C74C2" w:rsidP="0015232B">
      <w:pPr>
        <w:spacing w:before="240"/>
        <w:rPr>
          <w:rFonts w:asciiTheme="minorHAnsi" w:hAnsiTheme="minorHAnsi" w:cstheme="minorHAnsi"/>
          <w:b/>
        </w:rPr>
      </w:pPr>
      <w:bookmarkStart w:id="474" w:name="_Toc399626349"/>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14</w:t>
      </w:r>
      <w:r w:rsidR="005D68E7" w:rsidRPr="00B53423">
        <w:rPr>
          <w:rFonts w:asciiTheme="minorHAnsi" w:hAnsiTheme="minorHAnsi" w:cstheme="minorHAnsi"/>
          <w:b/>
        </w:rPr>
        <w:fldChar w:fldCharType="end"/>
      </w:r>
      <w:r w:rsidRPr="00B53423">
        <w:rPr>
          <w:rFonts w:asciiTheme="minorHAnsi" w:hAnsiTheme="minorHAnsi" w:cstheme="minorHAnsi"/>
          <w:b/>
        </w:rPr>
        <w:t>: ALLOWABLE DEPRECIATION SUBMITTED BY THE PETITIONER (Rs. Crore)</w:t>
      </w:r>
      <w:bookmarkEnd w:id="474"/>
    </w:p>
    <w:tbl>
      <w:tblPr>
        <w:tblW w:w="5142" w:type="pct"/>
        <w:tblInd w:w="-25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979"/>
        <w:gridCol w:w="990"/>
        <w:gridCol w:w="1159"/>
        <w:gridCol w:w="1182"/>
        <w:gridCol w:w="1151"/>
        <w:gridCol w:w="1369"/>
        <w:gridCol w:w="1307"/>
      </w:tblGrid>
      <w:tr w:rsidR="004C74C2" w:rsidRPr="00B53423" w:rsidTr="009268E4">
        <w:trPr>
          <w:trHeight w:val="730"/>
          <w:tblHeader/>
        </w:trPr>
        <w:tc>
          <w:tcPr>
            <w:tcW w:w="1083" w:type="pct"/>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Particulars</w:t>
            </w:r>
          </w:p>
        </w:tc>
        <w:tc>
          <w:tcPr>
            <w:tcW w:w="542" w:type="pct"/>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Opening GFA</w:t>
            </w:r>
          </w:p>
        </w:tc>
        <w:tc>
          <w:tcPr>
            <w:tcW w:w="634" w:type="pct"/>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Additions to GFA</w:t>
            </w:r>
          </w:p>
        </w:tc>
        <w:tc>
          <w:tcPr>
            <w:tcW w:w="647" w:type="pct"/>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Deductions to GFA</w:t>
            </w:r>
          </w:p>
        </w:tc>
        <w:tc>
          <w:tcPr>
            <w:tcW w:w="630" w:type="pct"/>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 xml:space="preserve">Closing </w:t>
            </w:r>
            <w:r w:rsidRPr="00B53423">
              <w:rPr>
                <w:rFonts w:asciiTheme="minorHAnsi" w:hAnsiTheme="minorHAnsi" w:cstheme="minorHAnsi"/>
                <w:b/>
                <w:bCs/>
                <w:color w:val="000000"/>
                <w:sz w:val="20"/>
                <w:szCs w:val="20"/>
                <w:lang w:val="en-IN" w:eastAsia="en-IN"/>
              </w:rPr>
              <w:br/>
              <w:t>GFA</w:t>
            </w:r>
          </w:p>
        </w:tc>
        <w:tc>
          <w:tcPr>
            <w:tcW w:w="749" w:type="pct"/>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Depreciation Rates considered</w:t>
            </w:r>
          </w:p>
        </w:tc>
        <w:tc>
          <w:tcPr>
            <w:tcW w:w="716" w:type="pct"/>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Allowable Depreciation</w:t>
            </w:r>
          </w:p>
        </w:tc>
      </w:tr>
      <w:tr w:rsidR="004C74C2" w:rsidRPr="00B53423" w:rsidTr="009268E4">
        <w:trPr>
          <w:trHeight w:val="300"/>
        </w:trPr>
        <w:tc>
          <w:tcPr>
            <w:tcW w:w="1083" w:type="pct"/>
            <w:shd w:val="clear" w:color="000000" w:fill="FFFFFF"/>
            <w:vAlign w:val="center"/>
            <w:hideMark/>
          </w:tcPr>
          <w:p w:rsidR="004C74C2" w:rsidRPr="00B53423" w:rsidRDefault="004C74C2" w:rsidP="0015232B">
            <w:pPr>
              <w:spacing w:before="0" w:line="240" w:lineRule="auto"/>
              <w:jc w:val="left"/>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Buildings</w:t>
            </w:r>
          </w:p>
        </w:tc>
        <w:tc>
          <w:tcPr>
            <w:tcW w:w="542" w:type="pct"/>
            <w:shd w:val="clear" w:color="000000" w:fill="FFFFFF"/>
            <w:noWrap/>
            <w:vAlign w:val="center"/>
            <w:hideMark/>
          </w:tcPr>
          <w:p w:rsidR="004C74C2" w:rsidRPr="00B53423" w:rsidRDefault="004C74C2" w:rsidP="0015232B">
            <w:pPr>
              <w:spacing w:before="0" w:line="240" w:lineRule="auto"/>
              <w:jc w:val="right"/>
              <w:rPr>
                <w:rFonts w:asciiTheme="minorHAnsi" w:hAnsiTheme="minorHAnsi" w:cstheme="minorHAnsi"/>
                <w:color w:val="000000"/>
                <w:sz w:val="20"/>
                <w:szCs w:val="20"/>
                <w:lang w:val="en-IN" w:eastAsia="en-IN"/>
              </w:rPr>
            </w:pPr>
          </w:p>
        </w:tc>
        <w:tc>
          <w:tcPr>
            <w:tcW w:w="634" w:type="pct"/>
            <w:shd w:val="clear" w:color="000000" w:fill="FFFFFF"/>
            <w:noWrap/>
            <w:vAlign w:val="center"/>
            <w:hideMark/>
          </w:tcPr>
          <w:p w:rsidR="004C74C2" w:rsidRPr="00B53423" w:rsidRDefault="004C74C2" w:rsidP="0015232B">
            <w:pPr>
              <w:spacing w:before="0" w:line="240" w:lineRule="auto"/>
              <w:jc w:val="right"/>
              <w:rPr>
                <w:rFonts w:asciiTheme="minorHAnsi" w:hAnsiTheme="minorHAnsi" w:cstheme="minorHAnsi"/>
                <w:color w:val="000000"/>
                <w:sz w:val="20"/>
                <w:szCs w:val="20"/>
                <w:lang w:val="en-IN" w:eastAsia="en-IN"/>
              </w:rPr>
            </w:pPr>
          </w:p>
        </w:tc>
        <w:tc>
          <w:tcPr>
            <w:tcW w:w="647" w:type="pct"/>
            <w:shd w:val="clear" w:color="000000" w:fill="FFFFFF"/>
            <w:noWrap/>
            <w:vAlign w:val="center"/>
            <w:hideMark/>
          </w:tcPr>
          <w:p w:rsidR="004C74C2" w:rsidRPr="00B53423" w:rsidRDefault="004C74C2" w:rsidP="0015232B">
            <w:pPr>
              <w:spacing w:before="0" w:line="240" w:lineRule="auto"/>
              <w:jc w:val="right"/>
              <w:rPr>
                <w:rFonts w:asciiTheme="minorHAnsi" w:hAnsiTheme="minorHAnsi" w:cstheme="minorHAnsi"/>
                <w:color w:val="000000"/>
                <w:sz w:val="20"/>
                <w:szCs w:val="20"/>
                <w:lang w:val="en-IN" w:eastAsia="en-IN"/>
              </w:rPr>
            </w:pPr>
          </w:p>
        </w:tc>
        <w:tc>
          <w:tcPr>
            <w:tcW w:w="630" w:type="pct"/>
            <w:shd w:val="clear" w:color="000000" w:fill="FFFFFF"/>
            <w:noWrap/>
            <w:vAlign w:val="center"/>
            <w:hideMark/>
          </w:tcPr>
          <w:p w:rsidR="004C74C2" w:rsidRPr="00B53423" w:rsidRDefault="004C74C2" w:rsidP="0015232B">
            <w:pPr>
              <w:spacing w:before="0" w:line="240" w:lineRule="auto"/>
              <w:jc w:val="right"/>
              <w:rPr>
                <w:rFonts w:asciiTheme="minorHAnsi" w:hAnsiTheme="minorHAnsi" w:cstheme="minorHAnsi"/>
                <w:color w:val="000000"/>
                <w:sz w:val="20"/>
                <w:szCs w:val="20"/>
                <w:lang w:val="en-IN" w:eastAsia="en-IN"/>
              </w:rPr>
            </w:pPr>
          </w:p>
        </w:tc>
        <w:tc>
          <w:tcPr>
            <w:tcW w:w="749" w:type="pct"/>
            <w:shd w:val="clear" w:color="000000" w:fill="FFFFFF"/>
            <w:noWrap/>
            <w:vAlign w:val="center"/>
            <w:hideMark/>
          </w:tcPr>
          <w:p w:rsidR="004C74C2" w:rsidRPr="00B53423" w:rsidRDefault="004C74C2" w:rsidP="0015232B">
            <w:pPr>
              <w:spacing w:before="0" w:line="240" w:lineRule="auto"/>
              <w:jc w:val="right"/>
              <w:rPr>
                <w:rFonts w:asciiTheme="minorHAnsi" w:hAnsiTheme="minorHAnsi" w:cstheme="minorHAnsi"/>
                <w:color w:val="000000"/>
                <w:sz w:val="20"/>
                <w:szCs w:val="20"/>
                <w:lang w:val="en-IN" w:eastAsia="en-IN"/>
              </w:rPr>
            </w:pPr>
          </w:p>
        </w:tc>
        <w:tc>
          <w:tcPr>
            <w:tcW w:w="716" w:type="pct"/>
            <w:shd w:val="clear" w:color="000000" w:fill="FFFFFF"/>
            <w:noWrap/>
            <w:vAlign w:val="center"/>
            <w:hideMark/>
          </w:tcPr>
          <w:p w:rsidR="004C74C2" w:rsidRPr="00B53423" w:rsidRDefault="004C74C2" w:rsidP="0015232B">
            <w:pPr>
              <w:spacing w:before="0" w:line="240" w:lineRule="auto"/>
              <w:jc w:val="right"/>
              <w:rPr>
                <w:rFonts w:asciiTheme="minorHAnsi" w:hAnsiTheme="minorHAnsi" w:cstheme="minorHAnsi"/>
                <w:color w:val="000000"/>
                <w:sz w:val="20"/>
                <w:szCs w:val="20"/>
                <w:lang w:val="en-IN" w:eastAsia="en-IN"/>
              </w:rPr>
            </w:pPr>
          </w:p>
        </w:tc>
      </w:tr>
      <w:tr w:rsidR="004C74C2" w:rsidRPr="00B53423" w:rsidTr="009268E4">
        <w:trPr>
          <w:trHeight w:val="257"/>
        </w:trPr>
        <w:tc>
          <w:tcPr>
            <w:tcW w:w="1083" w:type="pct"/>
            <w:shd w:val="clear" w:color="000000" w:fill="FFFFFF"/>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a. Residential Colonies</w:t>
            </w:r>
          </w:p>
        </w:tc>
        <w:tc>
          <w:tcPr>
            <w:tcW w:w="542"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10.10</w:t>
            </w:r>
          </w:p>
        </w:tc>
        <w:tc>
          <w:tcPr>
            <w:tcW w:w="634"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0.08</w:t>
            </w:r>
          </w:p>
        </w:tc>
        <w:tc>
          <w:tcPr>
            <w:tcW w:w="647"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630"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10.18</w:t>
            </w:r>
          </w:p>
        </w:tc>
        <w:tc>
          <w:tcPr>
            <w:tcW w:w="749"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6.98%</w:t>
            </w:r>
          </w:p>
        </w:tc>
        <w:tc>
          <w:tcPr>
            <w:tcW w:w="716"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0.71</w:t>
            </w:r>
          </w:p>
        </w:tc>
      </w:tr>
      <w:tr w:rsidR="004C74C2" w:rsidRPr="00B53423" w:rsidTr="009268E4">
        <w:trPr>
          <w:trHeight w:val="300"/>
        </w:trPr>
        <w:tc>
          <w:tcPr>
            <w:tcW w:w="1083" w:type="pct"/>
            <w:shd w:val="clear" w:color="000000" w:fill="FFFFFF"/>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b. Office Building</w:t>
            </w:r>
          </w:p>
        </w:tc>
        <w:tc>
          <w:tcPr>
            <w:tcW w:w="542"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1.07</w:t>
            </w:r>
          </w:p>
        </w:tc>
        <w:tc>
          <w:tcPr>
            <w:tcW w:w="634"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0.13</w:t>
            </w:r>
          </w:p>
        </w:tc>
        <w:tc>
          <w:tcPr>
            <w:tcW w:w="647"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630"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1.20</w:t>
            </w:r>
          </w:p>
        </w:tc>
        <w:tc>
          <w:tcPr>
            <w:tcW w:w="749"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6.98%</w:t>
            </w:r>
          </w:p>
        </w:tc>
        <w:tc>
          <w:tcPr>
            <w:tcW w:w="716"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0.08</w:t>
            </w:r>
          </w:p>
        </w:tc>
      </w:tr>
      <w:tr w:rsidR="004C74C2" w:rsidRPr="00B53423" w:rsidTr="009268E4">
        <w:trPr>
          <w:trHeight w:val="237"/>
        </w:trPr>
        <w:tc>
          <w:tcPr>
            <w:tcW w:w="1083" w:type="pct"/>
            <w:shd w:val="clear" w:color="000000" w:fill="FFFFFF"/>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c. Building containing Sub-stations</w:t>
            </w:r>
          </w:p>
        </w:tc>
        <w:tc>
          <w:tcPr>
            <w:tcW w:w="542"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15.17</w:t>
            </w:r>
          </w:p>
        </w:tc>
        <w:tc>
          <w:tcPr>
            <w:tcW w:w="634"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0.49</w:t>
            </w:r>
          </w:p>
        </w:tc>
        <w:tc>
          <w:tcPr>
            <w:tcW w:w="647"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630"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15.66</w:t>
            </w:r>
          </w:p>
        </w:tc>
        <w:tc>
          <w:tcPr>
            <w:tcW w:w="749"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6.98%</w:t>
            </w:r>
          </w:p>
        </w:tc>
        <w:tc>
          <w:tcPr>
            <w:tcW w:w="716"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1.08</w:t>
            </w:r>
          </w:p>
        </w:tc>
      </w:tr>
      <w:tr w:rsidR="004C74C2" w:rsidRPr="00B53423" w:rsidTr="009268E4">
        <w:trPr>
          <w:trHeight w:val="300"/>
        </w:trPr>
        <w:tc>
          <w:tcPr>
            <w:tcW w:w="1083" w:type="pct"/>
            <w:shd w:val="clear" w:color="000000" w:fill="FFFFFF"/>
            <w:vAlign w:val="center"/>
            <w:hideMark/>
          </w:tcPr>
          <w:p w:rsidR="004C74C2" w:rsidRPr="00B53423" w:rsidRDefault="004C74C2" w:rsidP="0015232B">
            <w:pPr>
              <w:spacing w:before="0" w:line="240" w:lineRule="auto"/>
              <w:jc w:val="left"/>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Plants &amp; Machinery</w:t>
            </w:r>
          </w:p>
        </w:tc>
        <w:tc>
          <w:tcPr>
            <w:tcW w:w="542"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w:t>
            </w:r>
          </w:p>
        </w:tc>
        <w:tc>
          <w:tcPr>
            <w:tcW w:w="634"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w:t>
            </w:r>
          </w:p>
        </w:tc>
        <w:tc>
          <w:tcPr>
            <w:tcW w:w="647"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w:t>
            </w:r>
          </w:p>
        </w:tc>
        <w:tc>
          <w:tcPr>
            <w:tcW w:w="630"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w:t>
            </w:r>
          </w:p>
        </w:tc>
        <w:tc>
          <w:tcPr>
            <w:tcW w:w="749"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w:t>
            </w:r>
          </w:p>
        </w:tc>
        <w:tc>
          <w:tcPr>
            <w:tcW w:w="716"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w:t>
            </w:r>
          </w:p>
        </w:tc>
      </w:tr>
      <w:tr w:rsidR="004C74C2" w:rsidRPr="00B53423" w:rsidTr="009268E4">
        <w:trPr>
          <w:trHeight w:val="300"/>
        </w:trPr>
        <w:tc>
          <w:tcPr>
            <w:tcW w:w="1083" w:type="pct"/>
            <w:shd w:val="clear" w:color="000000" w:fill="FFFFFF"/>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a. Plant &amp; Machinery</w:t>
            </w:r>
          </w:p>
        </w:tc>
        <w:tc>
          <w:tcPr>
            <w:tcW w:w="542"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113.46</w:t>
            </w:r>
          </w:p>
        </w:tc>
        <w:tc>
          <w:tcPr>
            <w:tcW w:w="634"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21.34</w:t>
            </w:r>
          </w:p>
        </w:tc>
        <w:tc>
          <w:tcPr>
            <w:tcW w:w="647"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630"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134.80</w:t>
            </w:r>
          </w:p>
        </w:tc>
        <w:tc>
          <w:tcPr>
            <w:tcW w:w="749"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6.98%</w:t>
            </w:r>
          </w:p>
        </w:tc>
        <w:tc>
          <w:tcPr>
            <w:tcW w:w="716"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8.66</w:t>
            </w:r>
          </w:p>
        </w:tc>
      </w:tr>
      <w:tr w:rsidR="004C74C2" w:rsidRPr="00B53423" w:rsidTr="009268E4">
        <w:trPr>
          <w:trHeight w:val="600"/>
        </w:trPr>
        <w:tc>
          <w:tcPr>
            <w:tcW w:w="1083" w:type="pct"/>
            <w:shd w:val="clear" w:color="000000" w:fill="FFFFFF"/>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b. Lines, Cables, Networks etc.</w:t>
            </w:r>
          </w:p>
        </w:tc>
        <w:tc>
          <w:tcPr>
            <w:tcW w:w="542"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295.25</w:t>
            </w:r>
          </w:p>
        </w:tc>
        <w:tc>
          <w:tcPr>
            <w:tcW w:w="634"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34.05</w:t>
            </w:r>
          </w:p>
        </w:tc>
        <w:tc>
          <w:tcPr>
            <w:tcW w:w="647"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630"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329.30</w:t>
            </w:r>
          </w:p>
        </w:tc>
        <w:tc>
          <w:tcPr>
            <w:tcW w:w="749"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6.98%</w:t>
            </w:r>
          </w:p>
        </w:tc>
        <w:tc>
          <w:tcPr>
            <w:tcW w:w="716"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21.80</w:t>
            </w:r>
          </w:p>
        </w:tc>
      </w:tr>
      <w:tr w:rsidR="004C74C2" w:rsidRPr="00B53423" w:rsidTr="009268E4">
        <w:trPr>
          <w:trHeight w:val="300"/>
        </w:trPr>
        <w:tc>
          <w:tcPr>
            <w:tcW w:w="1083" w:type="pct"/>
            <w:shd w:val="clear" w:color="000000" w:fill="FFFFFF"/>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c. Office Equipments</w:t>
            </w:r>
          </w:p>
        </w:tc>
        <w:tc>
          <w:tcPr>
            <w:tcW w:w="542"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5.62</w:t>
            </w:r>
          </w:p>
        </w:tc>
        <w:tc>
          <w:tcPr>
            <w:tcW w:w="634"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0.06</w:t>
            </w:r>
          </w:p>
        </w:tc>
        <w:tc>
          <w:tcPr>
            <w:tcW w:w="647"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630"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5.69</w:t>
            </w:r>
          </w:p>
        </w:tc>
        <w:tc>
          <w:tcPr>
            <w:tcW w:w="749"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6.98%</w:t>
            </w:r>
          </w:p>
        </w:tc>
        <w:tc>
          <w:tcPr>
            <w:tcW w:w="716"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0.39</w:t>
            </w:r>
          </w:p>
        </w:tc>
      </w:tr>
      <w:tr w:rsidR="004C74C2" w:rsidRPr="00B53423" w:rsidTr="009268E4">
        <w:trPr>
          <w:trHeight w:val="300"/>
        </w:trPr>
        <w:tc>
          <w:tcPr>
            <w:tcW w:w="1083" w:type="pct"/>
            <w:shd w:val="clear" w:color="000000" w:fill="FFFFFF"/>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d. Computers</w:t>
            </w:r>
          </w:p>
        </w:tc>
        <w:tc>
          <w:tcPr>
            <w:tcW w:w="542"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2.12</w:t>
            </w:r>
          </w:p>
        </w:tc>
        <w:tc>
          <w:tcPr>
            <w:tcW w:w="634"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0.39</w:t>
            </w:r>
          </w:p>
        </w:tc>
        <w:tc>
          <w:tcPr>
            <w:tcW w:w="647"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630"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2.51</w:t>
            </w:r>
          </w:p>
        </w:tc>
        <w:tc>
          <w:tcPr>
            <w:tcW w:w="749"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6.98%</w:t>
            </w:r>
          </w:p>
        </w:tc>
        <w:tc>
          <w:tcPr>
            <w:tcW w:w="716"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0.16</w:t>
            </w:r>
          </w:p>
        </w:tc>
      </w:tr>
      <w:tr w:rsidR="004C74C2" w:rsidRPr="00B53423" w:rsidTr="009268E4">
        <w:trPr>
          <w:trHeight w:val="300"/>
        </w:trPr>
        <w:tc>
          <w:tcPr>
            <w:tcW w:w="1083" w:type="pct"/>
            <w:shd w:val="clear" w:color="000000" w:fill="FFFFFF"/>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Furniture &amp; Fixtures</w:t>
            </w:r>
          </w:p>
        </w:tc>
        <w:tc>
          <w:tcPr>
            <w:tcW w:w="542"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0.98</w:t>
            </w:r>
          </w:p>
        </w:tc>
        <w:tc>
          <w:tcPr>
            <w:tcW w:w="634"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0.07</w:t>
            </w:r>
          </w:p>
        </w:tc>
        <w:tc>
          <w:tcPr>
            <w:tcW w:w="647"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630"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1.05</w:t>
            </w:r>
          </w:p>
        </w:tc>
        <w:tc>
          <w:tcPr>
            <w:tcW w:w="749"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6.98%</w:t>
            </w:r>
          </w:p>
        </w:tc>
        <w:tc>
          <w:tcPr>
            <w:tcW w:w="716"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0.07</w:t>
            </w:r>
          </w:p>
        </w:tc>
      </w:tr>
      <w:tr w:rsidR="004C74C2" w:rsidRPr="00B53423" w:rsidTr="009268E4">
        <w:trPr>
          <w:trHeight w:val="300"/>
        </w:trPr>
        <w:tc>
          <w:tcPr>
            <w:tcW w:w="1083" w:type="pct"/>
            <w:shd w:val="clear" w:color="000000" w:fill="FFFFFF"/>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Vehicles</w:t>
            </w:r>
          </w:p>
        </w:tc>
        <w:tc>
          <w:tcPr>
            <w:tcW w:w="542"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3.16</w:t>
            </w:r>
          </w:p>
        </w:tc>
        <w:tc>
          <w:tcPr>
            <w:tcW w:w="634"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0.12</w:t>
            </w:r>
          </w:p>
        </w:tc>
        <w:tc>
          <w:tcPr>
            <w:tcW w:w="647"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630"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3.28</w:t>
            </w:r>
          </w:p>
        </w:tc>
        <w:tc>
          <w:tcPr>
            <w:tcW w:w="749"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6.98%</w:t>
            </w:r>
          </w:p>
        </w:tc>
        <w:tc>
          <w:tcPr>
            <w:tcW w:w="716"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0.22</w:t>
            </w:r>
          </w:p>
        </w:tc>
      </w:tr>
      <w:tr w:rsidR="004C74C2" w:rsidRPr="00B53423" w:rsidTr="009268E4">
        <w:trPr>
          <w:trHeight w:val="300"/>
        </w:trPr>
        <w:tc>
          <w:tcPr>
            <w:tcW w:w="1083" w:type="pct"/>
            <w:shd w:val="clear" w:color="000000" w:fill="FFFFFF"/>
            <w:vAlign w:val="center"/>
            <w:hideMark/>
          </w:tcPr>
          <w:p w:rsidR="004C74C2" w:rsidRPr="00B53423" w:rsidRDefault="004C74C2" w:rsidP="0015232B">
            <w:pPr>
              <w:spacing w:before="0" w:line="240" w:lineRule="auto"/>
              <w:jc w:val="left"/>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Grand Total</w:t>
            </w:r>
          </w:p>
        </w:tc>
        <w:tc>
          <w:tcPr>
            <w:tcW w:w="542"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b/>
                <w:bCs/>
                <w:color w:val="000000"/>
                <w:sz w:val="20"/>
                <w:szCs w:val="20"/>
                <w:lang w:val="en-IN" w:eastAsia="en-IN"/>
              </w:rPr>
            </w:pPr>
            <w:r w:rsidRPr="00B53423">
              <w:rPr>
                <w:rFonts w:asciiTheme="minorHAnsi" w:hAnsiTheme="minorHAnsi" w:cstheme="minorHAnsi"/>
                <w:b/>
                <w:bCs/>
                <w:sz w:val="20"/>
                <w:szCs w:val="20"/>
              </w:rPr>
              <w:t>446.94</w:t>
            </w:r>
          </w:p>
        </w:tc>
        <w:tc>
          <w:tcPr>
            <w:tcW w:w="634"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b/>
                <w:bCs/>
                <w:color w:val="000000"/>
                <w:sz w:val="20"/>
                <w:szCs w:val="20"/>
                <w:lang w:val="en-IN" w:eastAsia="en-IN"/>
              </w:rPr>
            </w:pPr>
            <w:r w:rsidRPr="00B53423">
              <w:rPr>
                <w:rFonts w:asciiTheme="minorHAnsi" w:hAnsiTheme="minorHAnsi" w:cstheme="minorHAnsi"/>
                <w:b/>
                <w:bCs/>
                <w:sz w:val="20"/>
                <w:szCs w:val="20"/>
              </w:rPr>
              <w:t>56.74</w:t>
            </w:r>
          </w:p>
        </w:tc>
        <w:tc>
          <w:tcPr>
            <w:tcW w:w="647"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b/>
                <w:bCs/>
                <w:color w:val="000000"/>
                <w:sz w:val="20"/>
                <w:szCs w:val="20"/>
                <w:lang w:val="en-IN" w:eastAsia="en-IN"/>
              </w:rPr>
            </w:pPr>
          </w:p>
        </w:tc>
        <w:tc>
          <w:tcPr>
            <w:tcW w:w="630"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b/>
                <w:bCs/>
                <w:color w:val="000000"/>
                <w:sz w:val="20"/>
                <w:szCs w:val="20"/>
                <w:lang w:val="en-IN" w:eastAsia="en-IN"/>
              </w:rPr>
            </w:pPr>
            <w:r w:rsidRPr="00B53423">
              <w:rPr>
                <w:rFonts w:asciiTheme="minorHAnsi" w:hAnsiTheme="minorHAnsi" w:cstheme="minorHAnsi"/>
                <w:b/>
                <w:bCs/>
                <w:sz w:val="20"/>
                <w:szCs w:val="20"/>
              </w:rPr>
              <w:t>503.68</w:t>
            </w:r>
          </w:p>
        </w:tc>
        <w:tc>
          <w:tcPr>
            <w:tcW w:w="749"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b/>
                <w:bCs/>
                <w:color w:val="000000"/>
                <w:sz w:val="20"/>
                <w:szCs w:val="20"/>
                <w:lang w:val="en-IN" w:eastAsia="en-IN"/>
              </w:rPr>
            </w:pPr>
          </w:p>
        </w:tc>
        <w:tc>
          <w:tcPr>
            <w:tcW w:w="716"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b/>
                <w:bCs/>
                <w:color w:val="000000"/>
                <w:sz w:val="20"/>
                <w:szCs w:val="20"/>
                <w:lang w:val="en-IN" w:eastAsia="en-IN"/>
              </w:rPr>
            </w:pPr>
            <w:r w:rsidRPr="00B53423">
              <w:rPr>
                <w:rFonts w:asciiTheme="minorHAnsi" w:hAnsiTheme="minorHAnsi" w:cstheme="minorHAnsi"/>
                <w:b/>
                <w:bCs/>
                <w:sz w:val="20"/>
                <w:szCs w:val="20"/>
              </w:rPr>
              <w:t>33.18</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regards the Commission’s query regarding source-wise of funding of capitalization, the Petitioner submitted that the Commission in the True up Order dated 21</w:t>
      </w:r>
      <w:r w:rsidRPr="00B53423">
        <w:rPr>
          <w:vertAlign w:val="superscript"/>
        </w:rPr>
        <w:t>st</w:t>
      </w:r>
      <w:r w:rsidRPr="00B53423">
        <w:t xml:space="preserve"> May, 2013 for FY 2000-01 to 2007-08 and in the suo-motu Tariff Order dated 31</w:t>
      </w:r>
      <w:r w:rsidRPr="00B53423">
        <w:rPr>
          <w:vertAlign w:val="superscript"/>
        </w:rPr>
        <w:t>st</w:t>
      </w:r>
      <w:r w:rsidRPr="00B53423">
        <w:t xml:space="preserve"> May, 2012 for FY 2013-14 had considered a normative tariff approach wherein it had considered a normative gearing of 70:30 and 70% of the capital expenditure undertaken in any year was considered to be financed through loan and balance 30% has been considered to be financed through equity contributions. The Petitioner further submitted that in its aforesaid Orders the portion of capital expenditure financed through consumer contributions, capital subsidies and grants was separated by the Commission as the depreciation and interest thereon would not be charged to the consumers.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 added that since it is agreeable to this normative approach approved by the Commission hence no deviation in this approach has been sought by it.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It was further observed that the Petitioner had not reduced the depreciation charged on assets created out of consumer contributions, capital grants and subsidies. In this regards the Commission vide its deficiency note sought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In its reply the Petitioner submitted that the philosophy for reduction of depreciation on assets created out of consumer contributions, grants and subsidies from the gross depreciation expense was settled in the True up Order for FY 2000-01 to 2007-08 before which the True-up Petitions for FY 2008-09 to 2011-12 were filed by  it. The Petitioner further submitted that subsequent to the principle being established by the Commission, it is agreeable to this methodology and has submitted the revised Table depicting the allowable depreciation as shown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ind w:left="720"/>
        <w:jc w:val="center"/>
        <w:rPr>
          <w:rFonts w:asciiTheme="minorHAnsi" w:hAnsiTheme="minorHAnsi" w:cstheme="minorHAnsi"/>
          <w:b/>
        </w:rPr>
      </w:pPr>
      <w:bookmarkStart w:id="475" w:name="_Toc399626350"/>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15</w:t>
      </w:r>
      <w:r w:rsidR="005D68E7" w:rsidRPr="00B53423">
        <w:rPr>
          <w:rFonts w:asciiTheme="minorHAnsi" w:hAnsiTheme="minorHAnsi" w:cstheme="minorHAnsi"/>
          <w:b/>
        </w:rPr>
        <w:fldChar w:fldCharType="end"/>
      </w:r>
      <w:r w:rsidRPr="00B53423">
        <w:rPr>
          <w:rFonts w:asciiTheme="minorHAnsi" w:hAnsiTheme="minorHAnsi" w:cstheme="minorHAnsi"/>
          <w:b/>
        </w:rPr>
        <w:t>: REVISED ALLOWABLE DEPRECIATION SUBMITTED BY THE PETITIONER (Rs. Crore)</w:t>
      </w:r>
      <w:bookmarkEnd w:id="475"/>
    </w:p>
    <w:tbl>
      <w:tblPr>
        <w:tblW w:w="7424" w:type="dxa"/>
        <w:jc w:val="center"/>
        <w:tblInd w:w="-27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6075"/>
        <w:gridCol w:w="1349"/>
      </w:tblGrid>
      <w:tr w:rsidR="004C74C2" w:rsidRPr="00B53423" w:rsidTr="009268E4">
        <w:trPr>
          <w:trHeight w:val="300"/>
          <w:jc w:val="center"/>
        </w:trPr>
        <w:tc>
          <w:tcPr>
            <w:tcW w:w="6075" w:type="dxa"/>
            <w:shd w:val="clear" w:color="auto" w:fill="DBE5F1" w:themeFill="accent1" w:themeFillTint="33"/>
            <w:noWrap/>
            <w:vAlign w:val="center"/>
            <w:hideMark/>
          </w:tcPr>
          <w:p w:rsidR="004C74C2" w:rsidRPr="00B53423" w:rsidRDefault="004C74C2" w:rsidP="0015232B">
            <w:pPr>
              <w:spacing w:line="240" w:lineRule="auto"/>
              <w:jc w:val="center"/>
              <w:rPr>
                <w:b/>
                <w:bCs/>
              </w:rPr>
            </w:pPr>
            <w:r w:rsidRPr="00B53423">
              <w:rPr>
                <w:b/>
                <w:bCs/>
              </w:rPr>
              <w:t>Particulars</w:t>
            </w:r>
          </w:p>
        </w:tc>
        <w:tc>
          <w:tcPr>
            <w:tcW w:w="1349" w:type="dxa"/>
            <w:shd w:val="clear" w:color="auto" w:fill="DBE5F1" w:themeFill="accent1" w:themeFillTint="33"/>
            <w:noWrap/>
            <w:vAlign w:val="center"/>
            <w:hideMark/>
          </w:tcPr>
          <w:p w:rsidR="004C74C2" w:rsidRPr="00B53423" w:rsidRDefault="004C74C2" w:rsidP="0015232B">
            <w:pPr>
              <w:spacing w:line="240" w:lineRule="auto"/>
              <w:jc w:val="center"/>
              <w:rPr>
                <w:b/>
                <w:bCs/>
              </w:rPr>
            </w:pPr>
            <w:r w:rsidRPr="00B53423">
              <w:rPr>
                <w:b/>
                <w:bCs/>
              </w:rPr>
              <w:t>2009-10</w:t>
            </w:r>
          </w:p>
        </w:tc>
      </w:tr>
      <w:tr w:rsidR="004C74C2" w:rsidRPr="00B53423" w:rsidTr="009268E4">
        <w:trPr>
          <w:trHeight w:val="300"/>
          <w:jc w:val="center"/>
        </w:trPr>
        <w:tc>
          <w:tcPr>
            <w:tcW w:w="6075" w:type="dxa"/>
            <w:shd w:val="clear" w:color="auto" w:fill="auto"/>
            <w:noWrap/>
            <w:vAlign w:val="center"/>
            <w:hideMark/>
          </w:tcPr>
          <w:p w:rsidR="004C74C2" w:rsidRPr="00B53423" w:rsidRDefault="004C74C2" w:rsidP="0015232B">
            <w:pPr>
              <w:spacing w:before="0" w:line="240" w:lineRule="auto"/>
              <w:rPr>
                <w:color w:val="000000"/>
              </w:rPr>
            </w:pPr>
            <w:r w:rsidRPr="00B53423">
              <w:rPr>
                <w:color w:val="000000"/>
              </w:rPr>
              <w:t>Gross Allowable Depreciation</w:t>
            </w:r>
          </w:p>
        </w:tc>
        <w:tc>
          <w:tcPr>
            <w:tcW w:w="1349" w:type="dxa"/>
            <w:shd w:val="clear" w:color="auto" w:fill="auto"/>
            <w:noWrap/>
            <w:hideMark/>
          </w:tcPr>
          <w:p w:rsidR="004C74C2" w:rsidRPr="00B53423" w:rsidRDefault="004C74C2" w:rsidP="0015232B">
            <w:pPr>
              <w:spacing w:before="0" w:line="240" w:lineRule="auto"/>
              <w:ind w:right="288"/>
              <w:jc w:val="right"/>
              <w:rPr>
                <w:color w:val="000000"/>
              </w:rPr>
            </w:pPr>
            <w:r w:rsidRPr="00B53423">
              <w:rPr>
                <w:rFonts w:cs="Calibri"/>
                <w:color w:val="000000"/>
              </w:rPr>
              <w:t>33.18</w:t>
            </w:r>
          </w:p>
        </w:tc>
      </w:tr>
      <w:tr w:rsidR="004C74C2" w:rsidRPr="00B53423" w:rsidTr="009268E4">
        <w:trPr>
          <w:trHeight w:val="300"/>
          <w:jc w:val="center"/>
        </w:trPr>
        <w:tc>
          <w:tcPr>
            <w:tcW w:w="6075" w:type="dxa"/>
            <w:shd w:val="clear" w:color="auto" w:fill="auto"/>
            <w:noWrap/>
            <w:vAlign w:val="center"/>
            <w:hideMark/>
          </w:tcPr>
          <w:p w:rsidR="004C74C2" w:rsidRPr="00B53423" w:rsidRDefault="004C74C2" w:rsidP="0015232B">
            <w:pPr>
              <w:spacing w:before="0" w:line="240" w:lineRule="auto"/>
              <w:rPr>
                <w:color w:val="000000"/>
              </w:rPr>
            </w:pPr>
            <w:r w:rsidRPr="00B53423">
              <w:rPr>
                <w:color w:val="000000"/>
              </w:rPr>
              <w:t>Less: Depreciation on account of Consumer Contribution, Subsidies and Grants</w:t>
            </w:r>
          </w:p>
        </w:tc>
        <w:tc>
          <w:tcPr>
            <w:tcW w:w="1349" w:type="dxa"/>
            <w:shd w:val="clear" w:color="auto" w:fill="auto"/>
            <w:noWrap/>
            <w:hideMark/>
          </w:tcPr>
          <w:p w:rsidR="004C74C2" w:rsidRPr="00B53423" w:rsidRDefault="004C74C2" w:rsidP="0015232B">
            <w:pPr>
              <w:spacing w:before="0" w:line="240" w:lineRule="auto"/>
              <w:ind w:right="288"/>
              <w:jc w:val="right"/>
              <w:rPr>
                <w:color w:val="000000"/>
              </w:rPr>
            </w:pPr>
            <w:r w:rsidRPr="00B53423">
              <w:rPr>
                <w:rFonts w:cs="Calibri"/>
                <w:color w:val="000000"/>
              </w:rPr>
              <w:t>6.12</w:t>
            </w:r>
          </w:p>
        </w:tc>
      </w:tr>
      <w:tr w:rsidR="004C74C2" w:rsidRPr="00B53423" w:rsidTr="009268E4">
        <w:trPr>
          <w:trHeight w:val="300"/>
          <w:jc w:val="center"/>
        </w:trPr>
        <w:tc>
          <w:tcPr>
            <w:tcW w:w="6075" w:type="dxa"/>
            <w:shd w:val="clear" w:color="auto" w:fill="auto"/>
            <w:noWrap/>
            <w:vAlign w:val="center"/>
            <w:hideMark/>
          </w:tcPr>
          <w:p w:rsidR="004C74C2" w:rsidRPr="00B53423" w:rsidRDefault="004C74C2" w:rsidP="0015232B">
            <w:pPr>
              <w:spacing w:before="0" w:line="240" w:lineRule="auto"/>
              <w:rPr>
                <w:color w:val="000000"/>
              </w:rPr>
            </w:pPr>
            <w:r w:rsidRPr="00B53423">
              <w:rPr>
                <w:color w:val="000000"/>
              </w:rPr>
              <w:t>Net Allowable Depreciation</w:t>
            </w:r>
          </w:p>
        </w:tc>
        <w:tc>
          <w:tcPr>
            <w:tcW w:w="1349" w:type="dxa"/>
            <w:shd w:val="clear" w:color="auto" w:fill="auto"/>
            <w:noWrap/>
            <w:hideMark/>
          </w:tcPr>
          <w:p w:rsidR="004C74C2" w:rsidRPr="00B53423" w:rsidRDefault="004C74C2" w:rsidP="0015232B">
            <w:pPr>
              <w:spacing w:before="0" w:line="240" w:lineRule="auto"/>
              <w:ind w:right="288"/>
              <w:jc w:val="right"/>
            </w:pPr>
            <w:r w:rsidRPr="00B53423">
              <w:rPr>
                <w:rFonts w:cs="Calibri"/>
                <w:color w:val="000000"/>
              </w:rPr>
              <w:t>27.06</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asked the Petitioner to confirm that the cumulative depreciation in FY 2008-09 is less than 90% of GFA for all assets, since assets cannot be depreciated beyond 90% of GFA in accordance with the Distribution Tariff Regulations, 2006 which the Petitioner confirmed in reply to deficiency note.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As detailed in para </w:t>
      </w:r>
      <w:fldSimple w:instr=" REF _Ref396854043 \r \h  \* MERGEFORMAT ">
        <w:r w:rsidR="00847C1B">
          <w:t>4.6.10</w:t>
        </w:r>
      </w:fldSimple>
      <w:r w:rsidRPr="00B53423">
        <w:t xml:space="preserve"> the Commission has considered the same philosophy as adopted by the Petitioner. After scrutinising the Audited Accounts for FY 2009-10 as submitted by the Petitioner, the net entitlement towards depreciation expenses claimed by the Petitioner and that approved by the Commission for Truing up of FY 2009-10 is shown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ind w:firstLine="720"/>
        <w:jc w:val="center"/>
        <w:rPr>
          <w:rFonts w:asciiTheme="minorHAnsi" w:hAnsiTheme="minorHAnsi" w:cstheme="minorHAnsi"/>
          <w:b/>
        </w:rPr>
      </w:pPr>
      <w:bookmarkStart w:id="476" w:name="_Toc399626351"/>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16</w:t>
      </w:r>
      <w:r w:rsidR="005D68E7" w:rsidRPr="00B53423">
        <w:rPr>
          <w:rFonts w:asciiTheme="minorHAnsi" w:hAnsiTheme="minorHAnsi" w:cstheme="minorHAnsi"/>
          <w:b/>
        </w:rPr>
        <w:fldChar w:fldCharType="end"/>
      </w:r>
      <w:r w:rsidRPr="00B53423">
        <w:rPr>
          <w:rFonts w:asciiTheme="minorHAnsi" w:hAnsiTheme="minorHAnsi" w:cstheme="minorHAnsi"/>
          <w:b/>
        </w:rPr>
        <w:t>: DEPRECIATION EXPENSES FOR FY 2009-10 (Rs. Crore)</w:t>
      </w:r>
      <w:bookmarkEnd w:id="476"/>
    </w:p>
    <w:tbl>
      <w:tblPr>
        <w:tblW w:w="8057" w:type="dxa"/>
        <w:tblInd w:w="828" w:type="dxa"/>
        <w:tblLook w:val="04A0"/>
      </w:tblPr>
      <w:tblGrid>
        <w:gridCol w:w="3316"/>
        <w:gridCol w:w="986"/>
        <w:gridCol w:w="1369"/>
        <w:gridCol w:w="1176"/>
        <w:gridCol w:w="1210"/>
      </w:tblGrid>
      <w:tr w:rsidR="004C74C2" w:rsidRPr="00B53423" w:rsidTr="009268E4">
        <w:trPr>
          <w:trHeight w:val="900"/>
          <w:tblHeader/>
        </w:trPr>
        <w:tc>
          <w:tcPr>
            <w:tcW w:w="3330" w:type="dxa"/>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99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375"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81"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181"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330" w:type="dxa"/>
            <w:tcBorders>
              <w:top w:val="nil"/>
              <w:left w:val="dotted" w:sz="4" w:space="0" w:color="auto"/>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Gross Allowable Depreciation</w:t>
            </w:r>
          </w:p>
        </w:tc>
        <w:tc>
          <w:tcPr>
            <w:tcW w:w="99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right"/>
              <w:rPr>
                <w:rFonts w:cs="Calibri"/>
                <w:color w:val="000000"/>
              </w:rPr>
            </w:pPr>
            <w:r w:rsidRPr="00B53423">
              <w:rPr>
                <w:rFonts w:cs="Calibri"/>
                <w:color w:val="000000"/>
              </w:rPr>
              <w:t>24.32</w:t>
            </w:r>
          </w:p>
        </w:tc>
        <w:tc>
          <w:tcPr>
            <w:tcW w:w="1375"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right"/>
              <w:rPr>
                <w:rFonts w:cs="Calibri"/>
                <w:color w:val="000000"/>
              </w:rPr>
            </w:pPr>
            <w:r w:rsidRPr="00B53423">
              <w:rPr>
                <w:rFonts w:cs="Calibri"/>
                <w:color w:val="000000"/>
              </w:rPr>
              <w:t>16.23</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right"/>
              <w:rPr>
                <w:rFonts w:cs="Calibri"/>
                <w:color w:val="000000"/>
              </w:rPr>
            </w:pPr>
            <w:r w:rsidRPr="00B53423">
              <w:rPr>
                <w:rFonts w:cs="Calibri"/>
                <w:color w:val="000000"/>
              </w:rPr>
              <w:t>33.18</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right"/>
              <w:rPr>
                <w:rFonts w:cs="Calibri"/>
                <w:color w:val="000000"/>
              </w:rPr>
            </w:pPr>
            <w:r w:rsidRPr="00B53423">
              <w:rPr>
                <w:rFonts w:cs="Calibri"/>
                <w:color w:val="000000"/>
              </w:rPr>
              <w:t>33.18</w:t>
            </w:r>
          </w:p>
        </w:tc>
      </w:tr>
      <w:tr w:rsidR="004C74C2" w:rsidRPr="00B53423" w:rsidTr="009268E4">
        <w:trPr>
          <w:trHeight w:val="1200"/>
        </w:trPr>
        <w:tc>
          <w:tcPr>
            <w:tcW w:w="3330" w:type="dxa"/>
            <w:tcBorders>
              <w:top w:val="nil"/>
              <w:left w:val="dotted" w:sz="4" w:space="0" w:color="auto"/>
              <w:bottom w:val="dotted" w:sz="4" w:space="0" w:color="auto"/>
              <w:right w:val="dotted" w:sz="4" w:space="0" w:color="auto"/>
            </w:tcBorders>
            <w:shd w:val="clear" w:color="auto" w:fill="auto"/>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Equivalent amount of depreciation on assets acquired out of the consumer contribution and GoUP Subsidy</w:t>
            </w:r>
          </w:p>
        </w:tc>
        <w:tc>
          <w:tcPr>
            <w:tcW w:w="99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375"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right"/>
              <w:rPr>
                <w:rFonts w:cs="Calibri"/>
                <w:color w:val="000000"/>
              </w:rPr>
            </w:pPr>
            <w:r w:rsidRPr="00B53423">
              <w:rPr>
                <w:rFonts w:cs="Calibri"/>
                <w:color w:val="000000"/>
              </w:rPr>
              <w:t>6.12</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right"/>
              <w:rPr>
                <w:rFonts w:cs="Calibri"/>
                <w:color w:val="000000"/>
              </w:rPr>
            </w:pPr>
            <w:r w:rsidRPr="00B53423">
              <w:rPr>
                <w:rFonts w:cs="Calibri"/>
                <w:color w:val="000000"/>
              </w:rPr>
              <w:t>6.12</w:t>
            </w:r>
          </w:p>
        </w:tc>
      </w:tr>
      <w:tr w:rsidR="004C74C2" w:rsidRPr="00B53423" w:rsidTr="009268E4">
        <w:trPr>
          <w:trHeight w:val="300"/>
        </w:trPr>
        <w:tc>
          <w:tcPr>
            <w:tcW w:w="3330" w:type="dxa"/>
            <w:tcBorders>
              <w:top w:val="nil"/>
              <w:left w:val="dotted" w:sz="4" w:space="0" w:color="auto"/>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Allowable Depreciation</w:t>
            </w:r>
          </w:p>
        </w:tc>
        <w:tc>
          <w:tcPr>
            <w:tcW w:w="990"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right"/>
              <w:rPr>
                <w:rFonts w:cs="Calibri"/>
                <w:color w:val="000000"/>
              </w:rPr>
            </w:pPr>
            <w:r w:rsidRPr="00B53423">
              <w:rPr>
                <w:rFonts w:cs="Calibri"/>
                <w:color w:val="000000"/>
              </w:rPr>
              <w:t>24.32</w:t>
            </w:r>
          </w:p>
        </w:tc>
        <w:tc>
          <w:tcPr>
            <w:tcW w:w="1375"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right"/>
              <w:rPr>
                <w:rFonts w:cs="Calibri"/>
                <w:color w:val="000000"/>
              </w:rPr>
            </w:pPr>
            <w:r w:rsidRPr="00B53423">
              <w:rPr>
                <w:rFonts w:cs="Calibri"/>
                <w:color w:val="000000"/>
              </w:rPr>
              <w:t>16.23</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right"/>
              <w:rPr>
                <w:rFonts w:cs="Calibri"/>
                <w:color w:val="000000"/>
              </w:rPr>
            </w:pPr>
            <w:r w:rsidRPr="00B53423">
              <w:rPr>
                <w:rFonts w:cs="Calibri"/>
                <w:color w:val="000000"/>
              </w:rPr>
              <w:t>27.06</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right"/>
              <w:rPr>
                <w:rFonts w:cs="Calibri"/>
                <w:color w:val="000000"/>
              </w:rPr>
            </w:pPr>
            <w:r w:rsidRPr="00B53423">
              <w:rPr>
                <w:rFonts w:cs="Calibri"/>
                <w:color w:val="000000"/>
              </w:rPr>
              <w:t>27.06</w:t>
            </w:r>
          </w:p>
        </w:tc>
      </w:tr>
    </w:tbl>
    <w:p w:rsidR="004C74C2" w:rsidRPr="00B53423" w:rsidRDefault="004C74C2" w:rsidP="0015232B">
      <w:pPr>
        <w:pStyle w:val="Heading2"/>
        <w:keepNext w:val="0"/>
        <w:numPr>
          <w:ilvl w:val="0"/>
          <w:numId w:val="0"/>
        </w:numPr>
        <w:ind w:left="720"/>
      </w:pPr>
    </w:p>
    <w:p w:rsidR="004C74C2" w:rsidRPr="00B53423" w:rsidRDefault="004C74C2" w:rsidP="0015232B">
      <w:pPr>
        <w:pStyle w:val="Heading2"/>
        <w:keepNext w:val="0"/>
        <w:ind w:left="720" w:hanging="1080"/>
      </w:pPr>
      <w:bookmarkStart w:id="477" w:name="_Toc399626183"/>
      <w:r w:rsidRPr="00B53423">
        <w:t>PRIOR PERIOD EXPENSES</w:t>
      </w:r>
      <w:bookmarkEnd w:id="477"/>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there are certain expenses and incomes which are omitted to be accounted for in one or more financial years. The Petitioner further submitted that its financial statements are prepared in compliance with Generally Accepted Accounting Principles (GAAP) and Accounting Standards issued by Accounting Standards Board of Institute of Chartered Accountants of India. The Petitioner added that the Accounting Standards (AS 5) (Revised) on ‘Net Profit or Loss for the Period, Prior Period Items and Changes in Accounting Policies’ provides that when such omissions or errors are detected they should be accounted for in the relevant year in which they are detected as stated below:</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1440"/>
        <w:rPr>
          <w:i/>
        </w:rPr>
      </w:pPr>
      <w:r w:rsidRPr="00B53423">
        <w:rPr>
          <w:i/>
        </w:rPr>
        <w:t>“Prior period items are income or expenses which arise in the current period as a result of errors or omissions in the preparation of the financial statements of one or more prior periods”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accordingly it has accounted for such transactions in the True-up computations strictly as per its Audited Accounts.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audited financial statements for FY 2009-10, there has been recognition of Rs. 15.36 Crore of prior period incomes and prior period expenses of Rs. 1.22 Crore, thereby increasing the eligible True-up by Rs. 14.25 Crore. The Petitioner further submitted the detailed break-up of the prior period items for FY 2009-10 as per Audited Accounts as shown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pPr>
      <w:r w:rsidRPr="00B53423">
        <w:tab/>
      </w:r>
      <w:bookmarkStart w:id="478" w:name="_Toc399626352"/>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17</w:t>
      </w:r>
      <w:r w:rsidR="005D68E7" w:rsidRPr="00B53423">
        <w:rPr>
          <w:rFonts w:asciiTheme="minorHAnsi" w:hAnsiTheme="minorHAnsi" w:cstheme="minorHAnsi"/>
          <w:b/>
        </w:rPr>
        <w:fldChar w:fldCharType="end"/>
      </w:r>
      <w:r w:rsidRPr="00B53423">
        <w:rPr>
          <w:rFonts w:asciiTheme="minorHAnsi" w:hAnsiTheme="minorHAnsi" w:cstheme="minorHAnsi"/>
          <w:b/>
        </w:rPr>
        <w:t>: BREAK UP OF PRIOR PERIOD EXPENSES</w:t>
      </w:r>
      <w:r w:rsidR="00856959" w:rsidRPr="00B53423">
        <w:rPr>
          <w:rFonts w:asciiTheme="minorHAnsi" w:hAnsiTheme="minorHAnsi" w:cstheme="minorHAnsi"/>
          <w:b/>
        </w:rPr>
        <w:t xml:space="preserve"> / INCOMES</w:t>
      </w:r>
      <w:r w:rsidRPr="00B53423">
        <w:rPr>
          <w:rFonts w:asciiTheme="minorHAnsi" w:hAnsiTheme="minorHAnsi" w:cstheme="minorHAnsi"/>
          <w:b/>
        </w:rPr>
        <w:t xml:space="preserve"> (Rs. Crore)</w:t>
      </w:r>
      <w:bookmarkEnd w:id="478"/>
    </w:p>
    <w:tbl>
      <w:tblPr>
        <w:tblW w:w="7580" w:type="dxa"/>
        <w:jc w:val="center"/>
        <w:tblInd w:w="-22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40"/>
        <w:gridCol w:w="2340"/>
      </w:tblGrid>
      <w:tr w:rsidR="004C74C2" w:rsidRPr="00B53423" w:rsidTr="009268E4">
        <w:trPr>
          <w:trHeight w:val="300"/>
          <w:tblHeader/>
          <w:jc w:val="center"/>
        </w:trPr>
        <w:tc>
          <w:tcPr>
            <w:tcW w:w="5240" w:type="dxa"/>
            <w:shd w:val="clear" w:color="auto" w:fill="DBE5F1" w:themeFill="accent1" w:themeFillTint="33"/>
            <w:vAlign w:val="center"/>
            <w:hideMark/>
          </w:tcPr>
          <w:p w:rsidR="004C74C2" w:rsidRPr="00B53423" w:rsidRDefault="004C74C2" w:rsidP="0015232B">
            <w:pPr>
              <w:spacing w:before="0"/>
              <w:jc w:val="center"/>
              <w:rPr>
                <w:rFonts w:cs="Calibri"/>
                <w:b/>
                <w:color w:val="000000"/>
                <w:lang w:val="en-IN" w:eastAsia="en-IN"/>
              </w:rPr>
            </w:pPr>
            <w:r w:rsidRPr="00B53423">
              <w:rPr>
                <w:rFonts w:cs="Calibri"/>
                <w:b/>
                <w:color w:val="000000"/>
                <w:lang w:val="en-US" w:eastAsia="en-IN"/>
              </w:rPr>
              <w:t>Particulars</w:t>
            </w:r>
          </w:p>
        </w:tc>
        <w:tc>
          <w:tcPr>
            <w:tcW w:w="2340" w:type="dxa"/>
            <w:shd w:val="clear" w:color="auto" w:fill="DBE5F1" w:themeFill="accent1" w:themeFillTint="33"/>
            <w:noWrap/>
            <w:vAlign w:val="center"/>
            <w:hideMark/>
          </w:tcPr>
          <w:p w:rsidR="004C74C2" w:rsidRPr="00B53423" w:rsidRDefault="004C74C2" w:rsidP="0015232B">
            <w:pPr>
              <w:spacing w:before="0"/>
              <w:jc w:val="center"/>
              <w:rPr>
                <w:rFonts w:cs="Calibri"/>
                <w:b/>
                <w:color w:val="000000"/>
                <w:lang w:val="en-IN" w:eastAsia="en-IN"/>
              </w:rPr>
            </w:pPr>
            <w:r w:rsidRPr="00B53423">
              <w:rPr>
                <w:rFonts w:cs="Calibri"/>
                <w:b/>
                <w:color w:val="000000"/>
                <w:lang w:val="en-IN" w:eastAsia="en-IN"/>
              </w:rPr>
              <w:t>FY 2009-10</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cs="Calibri"/>
                <w:b/>
                <w:bCs/>
                <w:color w:val="000000"/>
                <w:lang w:val="en-IN" w:eastAsia="en-IN"/>
              </w:rPr>
            </w:pPr>
            <w:r w:rsidRPr="00B53423">
              <w:rPr>
                <w:rFonts w:cs="Calibri"/>
                <w:b/>
                <w:bCs/>
                <w:color w:val="000000"/>
                <w:lang w:val="en-US" w:eastAsia="en-IN"/>
              </w:rPr>
              <w:t>Prior Period Expenses</w:t>
            </w:r>
          </w:p>
        </w:tc>
        <w:tc>
          <w:tcPr>
            <w:tcW w:w="2340" w:type="dxa"/>
            <w:shd w:val="clear" w:color="000000" w:fill="FFFFFF"/>
            <w:noWrap/>
            <w:vAlign w:val="center"/>
            <w:hideMark/>
          </w:tcPr>
          <w:p w:rsidR="004C74C2" w:rsidRPr="00B53423" w:rsidRDefault="004C74C2" w:rsidP="0015232B">
            <w:pPr>
              <w:spacing w:before="0"/>
              <w:ind w:right="726"/>
              <w:jc w:val="right"/>
              <w:rPr>
                <w:rFonts w:cs="Calibri"/>
                <w:color w:val="000000"/>
                <w:lang w:val="en-IN" w:eastAsia="en-IN"/>
              </w:rPr>
            </w:pP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cs="Calibri"/>
                <w:color w:val="000000"/>
                <w:lang w:val="en-IN" w:eastAsia="en-IN"/>
              </w:rPr>
            </w:pPr>
            <w:r w:rsidRPr="00B53423">
              <w:rPr>
                <w:rFonts w:cs="Calibri"/>
                <w:color w:val="000000"/>
                <w:lang w:val="en-US" w:eastAsia="en-IN"/>
              </w:rPr>
              <w:t xml:space="preserve">Employees Cost </w:t>
            </w:r>
          </w:p>
        </w:tc>
        <w:tc>
          <w:tcPr>
            <w:tcW w:w="2340" w:type="dxa"/>
            <w:shd w:val="clear" w:color="000000" w:fill="FFFFFF"/>
            <w:noWrap/>
            <w:vAlign w:val="center"/>
            <w:hideMark/>
          </w:tcPr>
          <w:p w:rsidR="004C74C2" w:rsidRPr="00B53423" w:rsidRDefault="004C74C2" w:rsidP="0015232B">
            <w:pPr>
              <w:spacing w:before="0"/>
              <w:ind w:right="726"/>
              <w:jc w:val="right"/>
              <w:rPr>
                <w:rFonts w:cs="Calibri"/>
                <w:color w:val="000000"/>
                <w:lang w:val="en-IN" w:eastAsia="en-IN"/>
              </w:rPr>
            </w:pPr>
            <w:r w:rsidRPr="00B53423">
              <w:rPr>
                <w:rFonts w:cs="Calibri"/>
                <w:color w:val="000000"/>
                <w:lang w:val="en-US" w:eastAsia="en-IN"/>
              </w:rPr>
              <w:t>0.95</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cs="Calibri"/>
                <w:color w:val="000000"/>
                <w:lang w:val="en-IN" w:eastAsia="en-IN"/>
              </w:rPr>
            </w:pPr>
            <w:r w:rsidRPr="00B53423">
              <w:rPr>
                <w:rFonts w:cs="Calibri"/>
                <w:color w:val="000000"/>
                <w:lang w:val="en-US" w:eastAsia="en-IN"/>
              </w:rPr>
              <w:t>Operating Expenses</w:t>
            </w:r>
          </w:p>
        </w:tc>
        <w:tc>
          <w:tcPr>
            <w:tcW w:w="2340" w:type="dxa"/>
            <w:shd w:val="clear" w:color="000000" w:fill="FFFFFF"/>
            <w:noWrap/>
            <w:vAlign w:val="center"/>
            <w:hideMark/>
          </w:tcPr>
          <w:p w:rsidR="004C74C2" w:rsidRPr="00B53423" w:rsidRDefault="004C74C2" w:rsidP="0015232B">
            <w:pPr>
              <w:spacing w:before="0"/>
              <w:ind w:right="726"/>
              <w:jc w:val="right"/>
              <w:rPr>
                <w:rFonts w:cs="Calibri"/>
                <w:color w:val="000000"/>
                <w:lang w:val="en-IN" w:eastAsia="en-IN"/>
              </w:rPr>
            </w:pPr>
            <w:r w:rsidRPr="00B53423">
              <w:rPr>
                <w:rFonts w:cs="Calibri"/>
                <w:color w:val="000000"/>
                <w:lang w:val="en-US" w:eastAsia="en-IN"/>
              </w:rPr>
              <w:t>0.17</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cs="Calibri"/>
                <w:color w:val="000000"/>
                <w:lang w:val="en-IN" w:eastAsia="en-IN"/>
              </w:rPr>
            </w:pPr>
            <w:r w:rsidRPr="00B53423">
              <w:rPr>
                <w:rFonts w:cs="Calibri"/>
                <w:color w:val="000000"/>
                <w:lang w:val="en-US" w:eastAsia="en-IN"/>
              </w:rPr>
              <w:t>Interest and Financial Charges</w:t>
            </w:r>
          </w:p>
        </w:tc>
        <w:tc>
          <w:tcPr>
            <w:tcW w:w="2340" w:type="dxa"/>
            <w:shd w:val="clear" w:color="000000" w:fill="FFFFFF"/>
            <w:noWrap/>
            <w:vAlign w:val="center"/>
            <w:hideMark/>
          </w:tcPr>
          <w:p w:rsidR="004C74C2" w:rsidRPr="00B53423" w:rsidRDefault="004C74C2" w:rsidP="0015232B">
            <w:pPr>
              <w:spacing w:before="0"/>
              <w:ind w:right="726"/>
              <w:jc w:val="right"/>
              <w:rPr>
                <w:rFonts w:cs="Calibri"/>
                <w:color w:val="000000"/>
                <w:lang w:val="en-IN" w:eastAsia="en-IN"/>
              </w:rPr>
            </w:pPr>
            <w:r w:rsidRPr="00B53423">
              <w:rPr>
                <w:rFonts w:cs="Calibri"/>
                <w:color w:val="000000"/>
                <w:lang w:val="en-US" w:eastAsia="en-IN"/>
              </w:rPr>
              <w:t>-</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 xml:space="preserve"> Sub Total of Prior Period Expenses</w:t>
            </w:r>
          </w:p>
        </w:tc>
        <w:tc>
          <w:tcPr>
            <w:tcW w:w="2340" w:type="dxa"/>
            <w:shd w:val="clear" w:color="000000" w:fill="FFFFFF"/>
            <w:noWrap/>
            <w:vAlign w:val="center"/>
            <w:hideMark/>
          </w:tcPr>
          <w:p w:rsidR="004C74C2" w:rsidRPr="00B53423" w:rsidRDefault="004C74C2" w:rsidP="0015232B">
            <w:pPr>
              <w:spacing w:before="0"/>
              <w:ind w:right="726"/>
              <w:jc w:val="right"/>
              <w:rPr>
                <w:rFonts w:cs="Calibri"/>
                <w:b/>
                <w:bCs/>
                <w:color w:val="000000"/>
                <w:lang w:val="en-IN" w:eastAsia="en-IN"/>
              </w:rPr>
            </w:pPr>
            <w:r w:rsidRPr="00B53423">
              <w:rPr>
                <w:rFonts w:cs="Calibri"/>
                <w:b/>
                <w:bCs/>
                <w:color w:val="000000"/>
                <w:lang w:val="en-US" w:eastAsia="en-IN"/>
              </w:rPr>
              <w:t>1.12</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Prior Period Income</w:t>
            </w:r>
          </w:p>
        </w:tc>
        <w:tc>
          <w:tcPr>
            <w:tcW w:w="2340" w:type="dxa"/>
            <w:shd w:val="clear" w:color="000000" w:fill="FFFFFF"/>
            <w:noWrap/>
            <w:vAlign w:val="center"/>
            <w:hideMark/>
          </w:tcPr>
          <w:p w:rsidR="004C74C2" w:rsidRPr="00B53423" w:rsidRDefault="004C74C2" w:rsidP="0015232B">
            <w:pPr>
              <w:spacing w:before="0"/>
              <w:ind w:right="726"/>
              <w:jc w:val="right"/>
              <w:rPr>
                <w:rFonts w:cs="Calibri"/>
                <w:color w:val="000000"/>
                <w:lang w:val="en-IN" w:eastAsia="en-IN"/>
              </w:rPr>
            </w:pP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cs="Calibri"/>
                <w:color w:val="000000"/>
                <w:lang w:val="en-US" w:eastAsia="en-IN"/>
              </w:rPr>
            </w:pPr>
            <w:r w:rsidRPr="00B53423">
              <w:rPr>
                <w:rFonts w:cs="Calibri"/>
                <w:color w:val="000000"/>
                <w:lang w:val="en-US" w:eastAsia="en-IN"/>
              </w:rPr>
              <w:t>Power Purchase</w:t>
            </w:r>
          </w:p>
        </w:tc>
        <w:tc>
          <w:tcPr>
            <w:tcW w:w="2340" w:type="dxa"/>
            <w:shd w:val="clear" w:color="auto" w:fill="auto"/>
            <w:noWrap/>
            <w:vAlign w:val="center"/>
            <w:hideMark/>
          </w:tcPr>
          <w:p w:rsidR="004C74C2" w:rsidRPr="00B53423" w:rsidRDefault="004C74C2" w:rsidP="0015232B">
            <w:pPr>
              <w:spacing w:before="0"/>
              <w:ind w:right="726"/>
              <w:jc w:val="right"/>
              <w:rPr>
                <w:rFonts w:cs="Calibri"/>
                <w:color w:val="000000"/>
                <w:lang w:val="en-IN" w:eastAsia="en-IN"/>
              </w:rPr>
            </w:pPr>
            <w:r w:rsidRPr="00B53423">
              <w:rPr>
                <w:rFonts w:cs="Calibri"/>
                <w:color w:val="000000"/>
                <w:lang w:val="en-US" w:eastAsia="en-IN"/>
              </w:rPr>
              <w:t>15.35</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cs="Calibri"/>
                <w:color w:val="000000"/>
                <w:lang w:val="en-US" w:eastAsia="en-IN"/>
              </w:rPr>
            </w:pPr>
            <w:r w:rsidRPr="00B53423">
              <w:rPr>
                <w:rFonts w:cs="Calibri"/>
                <w:color w:val="000000"/>
                <w:lang w:val="en-US" w:eastAsia="en-IN"/>
              </w:rPr>
              <w:t>Sale of Energy</w:t>
            </w:r>
          </w:p>
        </w:tc>
        <w:tc>
          <w:tcPr>
            <w:tcW w:w="2340" w:type="dxa"/>
            <w:shd w:val="clear" w:color="auto" w:fill="auto"/>
            <w:noWrap/>
            <w:vAlign w:val="center"/>
            <w:hideMark/>
          </w:tcPr>
          <w:p w:rsidR="004C74C2" w:rsidRPr="00B53423" w:rsidRDefault="004C74C2" w:rsidP="0015232B">
            <w:pPr>
              <w:spacing w:before="0"/>
              <w:ind w:right="726"/>
              <w:jc w:val="right"/>
              <w:rPr>
                <w:rFonts w:cs="Calibri"/>
                <w:color w:val="000000"/>
                <w:lang w:val="en-IN" w:eastAsia="en-IN"/>
              </w:rPr>
            </w:pPr>
            <w:r w:rsidRPr="00B53423">
              <w:rPr>
                <w:rFonts w:cs="Calibri"/>
                <w:color w:val="000000"/>
                <w:lang w:val="en-US" w:eastAsia="en-IN"/>
              </w:rPr>
              <w:t>0.01</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cs="Calibri"/>
                <w:color w:val="000000"/>
                <w:lang w:val="en-US" w:eastAsia="en-IN"/>
              </w:rPr>
            </w:pPr>
            <w:r w:rsidRPr="00B53423">
              <w:rPr>
                <w:rFonts w:cs="Calibri"/>
                <w:color w:val="000000"/>
                <w:lang w:val="en-US" w:eastAsia="en-IN"/>
              </w:rPr>
              <w:t>Interest and Financial Charges</w:t>
            </w:r>
          </w:p>
        </w:tc>
        <w:tc>
          <w:tcPr>
            <w:tcW w:w="2340" w:type="dxa"/>
            <w:shd w:val="clear" w:color="auto" w:fill="auto"/>
            <w:noWrap/>
            <w:vAlign w:val="center"/>
            <w:hideMark/>
          </w:tcPr>
          <w:p w:rsidR="004C74C2" w:rsidRPr="00B53423" w:rsidRDefault="004C74C2" w:rsidP="0015232B">
            <w:pPr>
              <w:spacing w:before="0"/>
              <w:ind w:right="726"/>
              <w:jc w:val="right"/>
              <w:rPr>
                <w:rFonts w:cs="Calibri"/>
                <w:color w:val="000000"/>
                <w:lang w:val="en-IN" w:eastAsia="en-IN"/>
              </w:rPr>
            </w:pPr>
            <w:r w:rsidRPr="00B53423">
              <w:rPr>
                <w:rFonts w:cs="Calibri"/>
                <w:color w:val="000000"/>
                <w:lang w:val="en-US" w:eastAsia="en-IN"/>
              </w:rPr>
              <w:t>0.00</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 xml:space="preserve"> Sub Total of Prior Period Income</w:t>
            </w:r>
          </w:p>
        </w:tc>
        <w:tc>
          <w:tcPr>
            <w:tcW w:w="2340" w:type="dxa"/>
            <w:shd w:val="clear" w:color="000000" w:fill="FFFFFF"/>
            <w:noWrap/>
            <w:vAlign w:val="center"/>
            <w:hideMark/>
          </w:tcPr>
          <w:p w:rsidR="004C74C2" w:rsidRPr="00B53423" w:rsidRDefault="004C74C2" w:rsidP="0015232B">
            <w:pPr>
              <w:spacing w:before="0"/>
              <w:ind w:right="726"/>
              <w:jc w:val="right"/>
              <w:rPr>
                <w:rFonts w:cs="Calibri"/>
                <w:b/>
                <w:bCs/>
                <w:color w:val="000000"/>
                <w:lang w:val="en-IN" w:eastAsia="en-IN"/>
              </w:rPr>
            </w:pPr>
            <w:r w:rsidRPr="00B53423">
              <w:rPr>
                <w:rFonts w:cs="Calibri"/>
                <w:b/>
                <w:bCs/>
                <w:color w:val="000000"/>
                <w:lang w:val="en-US" w:eastAsia="en-IN"/>
              </w:rPr>
              <w:t>15.36</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Net Prior Period Income</w:t>
            </w:r>
          </w:p>
        </w:tc>
        <w:tc>
          <w:tcPr>
            <w:tcW w:w="2340" w:type="dxa"/>
            <w:shd w:val="clear" w:color="000000" w:fill="FFFFFF"/>
            <w:noWrap/>
            <w:vAlign w:val="center"/>
            <w:hideMark/>
          </w:tcPr>
          <w:p w:rsidR="004C74C2" w:rsidRPr="00B53423" w:rsidRDefault="004C74C2" w:rsidP="0015232B">
            <w:pPr>
              <w:spacing w:before="0"/>
              <w:ind w:right="726"/>
              <w:jc w:val="right"/>
              <w:rPr>
                <w:rFonts w:cs="Calibri"/>
                <w:b/>
                <w:bCs/>
                <w:color w:val="000000"/>
                <w:lang w:val="en-IN" w:eastAsia="en-IN"/>
              </w:rPr>
            </w:pPr>
            <w:r w:rsidRPr="00B53423">
              <w:rPr>
                <w:rFonts w:cs="Calibri"/>
                <w:b/>
                <w:bCs/>
                <w:color w:val="000000"/>
                <w:lang w:val="en-US" w:eastAsia="en-IN"/>
              </w:rPr>
              <w:t>14.25</w:t>
            </w:r>
          </w:p>
        </w:tc>
      </w:tr>
    </w:tbl>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As regards the prior period expenses</w:t>
      </w:r>
      <w:r w:rsidR="003E399E" w:rsidRPr="00B53423">
        <w:t xml:space="preserve"> / incomes</w:t>
      </w:r>
      <w:r w:rsidRPr="00B53423">
        <w:t xml:space="preserve"> the Commission vide its deficiency note has asked the Petitioner to submit the detailed breakup of prior period expenses</w:t>
      </w:r>
      <w:r w:rsidR="003E399E" w:rsidRPr="00B53423">
        <w:t xml:space="preserve"> / incomes</w:t>
      </w:r>
      <w:r w:rsidRPr="00B53423">
        <w:t xml:space="preserve"> along with the details of years to which they pertain and the justification for not booking such amount in the annual account of the respective years. In its reply the Petitioner has submitted the year wise breakup of prior period expenses</w:t>
      </w:r>
      <w:r w:rsidR="003E399E" w:rsidRPr="00B53423">
        <w:t xml:space="preserve"> / incomes</w:t>
      </w:r>
      <w:r w:rsidRPr="00B53423">
        <w:t xml:space="preserve"> however the submission does not provide clarification regarding the heads under which these expenses have been booked.</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discussed in detail in Para</w:t>
      </w:r>
      <w:r w:rsidR="00547480" w:rsidRPr="00B53423">
        <w:t xml:space="preserve"> </w:t>
      </w:r>
      <w:fldSimple w:instr=" REF _Ref396854096 \r \h  \* MERGEFORMAT ">
        <w:r w:rsidR="00847C1B">
          <w:t>4.7.6</w:t>
        </w:r>
      </w:fldSimple>
      <w:r w:rsidRPr="00B53423">
        <w:t>, the Commission has not allowed any claims towards prior period expenses. The summary of the prior period expenses approved in the Tariff Order, claimed by the Petitioner and that approved by the Petitioner in this Order for Truing up of FY 2009-10 is shown in the Table below:</w:t>
      </w:r>
    </w:p>
    <w:p w:rsidR="004C74C2" w:rsidRPr="00B53423" w:rsidRDefault="004C74C2" w:rsidP="0015232B">
      <w:pPr>
        <w:pStyle w:val="Heading3"/>
        <w:keepNext w:val="0"/>
        <w:numPr>
          <w:ilvl w:val="0"/>
          <w:numId w:val="0"/>
        </w:numPr>
        <w:ind w:left="450"/>
      </w:pPr>
      <w:r w:rsidRPr="00B53423">
        <w:tab/>
      </w:r>
    </w:p>
    <w:p w:rsidR="004C74C2" w:rsidRPr="00B53423" w:rsidRDefault="004C74C2" w:rsidP="0015232B">
      <w:pPr>
        <w:spacing w:before="240"/>
        <w:ind w:firstLine="720"/>
        <w:jc w:val="center"/>
      </w:pPr>
      <w:bookmarkStart w:id="479" w:name="_Toc399626353"/>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18</w:t>
      </w:r>
      <w:r w:rsidR="005D68E7" w:rsidRPr="00B53423">
        <w:rPr>
          <w:rFonts w:asciiTheme="minorHAnsi" w:hAnsiTheme="minorHAnsi" w:cstheme="minorHAnsi"/>
          <w:b/>
        </w:rPr>
        <w:fldChar w:fldCharType="end"/>
      </w:r>
      <w:r w:rsidRPr="00B53423">
        <w:rPr>
          <w:rFonts w:asciiTheme="minorHAnsi" w:hAnsiTheme="minorHAnsi" w:cstheme="minorHAnsi"/>
          <w:b/>
        </w:rPr>
        <w:t>: PRIOR PERIOD EXPENSES</w:t>
      </w:r>
      <w:r w:rsidR="00856959" w:rsidRPr="00B53423">
        <w:rPr>
          <w:rFonts w:asciiTheme="minorHAnsi" w:hAnsiTheme="minorHAnsi" w:cstheme="minorHAnsi"/>
          <w:b/>
        </w:rPr>
        <w:t xml:space="preserve"> / INCOMES</w:t>
      </w:r>
      <w:r w:rsidRPr="00B53423">
        <w:rPr>
          <w:rFonts w:asciiTheme="minorHAnsi" w:hAnsiTheme="minorHAnsi" w:cstheme="minorHAnsi"/>
          <w:b/>
        </w:rPr>
        <w:t xml:space="preserve"> FOR FY 2009-10 (Rs. Crore)</w:t>
      </w:r>
      <w:bookmarkEnd w:id="479"/>
    </w:p>
    <w:tbl>
      <w:tblPr>
        <w:tblW w:w="7775" w:type="dxa"/>
        <w:tblInd w:w="828" w:type="dxa"/>
        <w:tblLook w:val="04A0"/>
      </w:tblPr>
      <w:tblGrid>
        <w:gridCol w:w="2895"/>
        <w:gridCol w:w="1220"/>
        <w:gridCol w:w="1220"/>
        <w:gridCol w:w="1220"/>
        <w:gridCol w:w="1220"/>
      </w:tblGrid>
      <w:tr w:rsidR="004C74C2" w:rsidRPr="00B53423" w:rsidTr="009268E4">
        <w:trPr>
          <w:trHeight w:val="900"/>
          <w:tblHeader/>
        </w:trPr>
        <w:tc>
          <w:tcPr>
            <w:tcW w:w="2895"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83070">
        <w:trPr>
          <w:trHeight w:val="300"/>
        </w:trPr>
        <w:tc>
          <w:tcPr>
            <w:tcW w:w="2895"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xml:space="preserve">Prior Period </w:t>
            </w:r>
            <w:r w:rsidR="00856959" w:rsidRPr="00B53423">
              <w:rPr>
                <w:rFonts w:cs="Calibri"/>
                <w:color w:val="000000"/>
                <w:lang w:val="en-US"/>
              </w:rPr>
              <w:t>Incomes</w:t>
            </w:r>
          </w:p>
        </w:tc>
        <w:tc>
          <w:tcPr>
            <w:tcW w:w="1220" w:type="dxa"/>
            <w:tcBorders>
              <w:top w:val="nil"/>
              <w:left w:val="nil"/>
              <w:bottom w:val="dotted" w:sz="4" w:space="0" w:color="auto"/>
              <w:right w:val="dotted" w:sz="4" w:space="0" w:color="auto"/>
            </w:tcBorders>
            <w:shd w:val="clear" w:color="auto" w:fill="auto"/>
            <w:noWrap/>
            <w:vAlign w:val="center"/>
            <w:hideMark/>
          </w:tcPr>
          <w:p w:rsidR="008E5045" w:rsidRPr="00B53423" w:rsidRDefault="004C74C2" w:rsidP="0015232B">
            <w:pPr>
              <w:spacing w:before="0" w:line="240" w:lineRule="auto"/>
              <w:jc w:val="right"/>
              <w:rPr>
                <w:rFonts w:cs="Calibri"/>
                <w:color w:val="000000"/>
              </w:rPr>
            </w:pPr>
            <w:r w:rsidRPr="00B53423">
              <w:rPr>
                <w:rFonts w:cs="Calibri"/>
                <w:color w:val="000000"/>
              </w:rPr>
              <w:t>0.00</w:t>
            </w:r>
          </w:p>
        </w:tc>
        <w:tc>
          <w:tcPr>
            <w:tcW w:w="1220" w:type="dxa"/>
            <w:tcBorders>
              <w:top w:val="nil"/>
              <w:left w:val="nil"/>
              <w:bottom w:val="dotted" w:sz="4" w:space="0" w:color="auto"/>
              <w:right w:val="dotted" w:sz="4" w:space="0" w:color="auto"/>
            </w:tcBorders>
            <w:shd w:val="clear" w:color="auto" w:fill="auto"/>
            <w:noWrap/>
            <w:vAlign w:val="center"/>
            <w:hideMark/>
          </w:tcPr>
          <w:p w:rsidR="008E5045" w:rsidRPr="00B53423" w:rsidRDefault="004C74C2" w:rsidP="0015232B">
            <w:pPr>
              <w:spacing w:before="0" w:line="240" w:lineRule="auto"/>
              <w:jc w:val="right"/>
              <w:rPr>
                <w:rFonts w:cs="Calibri"/>
                <w:color w:val="000000"/>
              </w:rPr>
            </w:pPr>
            <w:r w:rsidRPr="00B53423">
              <w:rPr>
                <w:rFonts w:cs="Calibri"/>
                <w:color w:val="000000"/>
              </w:rPr>
              <w:t>14.25</w:t>
            </w:r>
          </w:p>
        </w:tc>
        <w:tc>
          <w:tcPr>
            <w:tcW w:w="1220" w:type="dxa"/>
            <w:tcBorders>
              <w:top w:val="nil"/>
              <w:left w:val="nil"/>
              <w:bottom w:val="dotted" w:sz="4" w:space="0" w:color="auto"/>
              <w:right w:val="dotted" w:sz="4" w:space="0" w:color="auto"/>
            </w:tcBorders>
            <w:shd w:val="clear" w:color="auto" w:fill="auto"/>
            <w:noWrap/>
            <w:vAlign w:val="center"/>
            <w:hideMark/>
          </w:tcPr>
          <w:p w:rsidR="008E5045" w:rsidRPr="00B53423" w:rsidRDefault="004C74C2" w:rsidP="0015232B">
            <w:pPr>
              <w:spacing w:before="0" w:line="240" w:lineRule="auto"/>
              <w:jc w:val="right"/>
              <w:rPr>
                <w:rFonts w:cs="Calibri"/>
                <w:color w:val="000000"/>
              </w:rPr>
            </w:pPr>
            <w:r w:rsidRPr="00B53423">
              <w:rPr>
                <w:rFonts w:cs="Calibri"/>
                <w:color w:val="000000"/>
              </w:rPr>
              <w:t>14.25</w:t>
            </w:r>
          </w:p>
        </w:tc>
        <w:tc>
          <w:tcPr>
            <w:tcW w:w="1220" w:type="dxa"/>
            <w:tcBorders>
              <w:top w:val="nil"/>
              <w:left w:val="nil"/>
              <w:bottom w:val="dotted" w:sz="4" w:space="0" w:color="auto"/>
              <w:right w:val="dotted" w:sz="4" w:space="0" w:color="auto"/>
            </w:tcBorders>
            <w:shd w:val="clear" w:color="auto" w:fill="auto"/>
            <w:noWrap/>
            <w:vAlign w:val="center"/>
            <w:hideMark/>
          </w:tcPr>
          <w:p w:rsidR="008E5045" w:rsidRPr="00B53423" w:rsidRDefault="004C74C2" w:rsidP="0015232B">
            <w:pPr>
              <w:spacing w:before="0" w:line="240" w:lineRule="auto"/>
              <w:jc w:val="right"/>
              <w:rPr>
                <w:rFonts w:cs="Calibri"/>
                <w:color w:val="000000"/>
              </w:rPr>
            </w:pPr>
            <w:r w:rsidRPr="00B53423">
              <w:rPr>
                <w:rFonts w:cs="Calibri"/>
                <w:color w:val="000000"/>
              </w:rPr>
              <w:t>0.00</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Further, as discussed in detail in Para</w:t>
      </w:r>
      <w:r w:rsidR="00547480" w:rsidRPr="00B53423">
        <w:t xml:space="preserve"> </w:t>
      </w:r>
      <w:fldSimple w:instr=" REF _Ref396854112 \r \h  \* MERGEFORMAT ">
        <w:r w:rsidR="00847C1B">
          <w:t>4.7.8</w:t>
        </w:r>
      </w:fldSimple>
      <w:r w:rsidRPr="00B53423">
        <w:t>, the Petitioner is directed to submit a separate Petition for approval of prior period expenses / incomes for FY 2009-10 for the Commission’s consideration.</w:t>
      </w:r>
    </w:p>
    <w:p w:rsidR="004C74C2" w:rsidRPr="00B53423" w:rsidRDefault="004C74C2" w:rsidP="0015232B">
      <w:pPr>
        <w:pStyle w:val="Heading2"/>
        <w:keepNext w:val="0"/>
        <w:numPr>
          <w:ilvl w:val="0"/>
          <w:numId w:val="0"/>
        </w:numPr>
        <w:ind w:left="450"/>
      </w:pPr>
    </w:p>
    <w:p w:rsidR="004C74C2" w:rsidRPr="00B53423" w:rsidRDefault="004C74C2" w:rsidP="0015232B">
      <w:pPr>
        <w:pStyle w:val="Heading2"/>
        <w:keepNext w:val="0"/>
        <w:ind w:left="720" w:hanging="1080"/>
      </w:pPr>
      <w:bookmarkStart w:id="480" w:name="_Toc399626184"/>
      <w:r w:rsidRPr="00B53423">
        <w:t>OTHER EXPENSES</w:t>
      </w:r>
      <w:bookmarkEnd w:id="480"/>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there are certain other expenses which cannot be claimed under any specific head of the ARR. The Petitioner further submitted that such minor expenses have been bundled together under the nomenclature of ‘Other Miscellaneous Expenses’ and the impact of such expenses is only Rs. 2.37 Crore in FY 2009-10 towards On Line Billing Charges.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discussed in detail in Para</w:t>
      </w:r>
      <w:r w:rsidR="00547480" w:rsidRPr="00B53423">
        <w:t xml:space="preserve"> </w:t>
      </w:r>
      <w:fldSimple w:instr=" REF _Ref396854156 \r \h  \* MERGEFORMAT ">
        <w:r w:rsidR="00847C1B">
          <w:t>4.8.2</w:t>
        </w:r>
      </w:fldSimple>
      <w:r w:rsidRPr="00B53423">
        <w:t xml:space="preserve"> the Commission has not considered such expenses for admissibility in the True-up. The summary of other expenses approved in the Tariff Order, claimed by the Petitioner and approved by the Commission in this Order for Truing up of FY 2009-10 is shown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ind w:firstLine="720"/>
        <w:jc w:val="center"/>
        <w:rPr>
          <w:rFonts w:asciiTheme="minorHAnsi" w:hAnsiTheme="minorHAnsi" w:cstheme="minorHAnsi"/>
          <w:b/>
        </w:rPr>
      </w:pPr>
      <w:bookmarkStart w:id="481" w:name="_Toc399626354"/>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19</w:t>
      </w:r>
      <w:r w:rsidR="005D68E7" w:rsidRPr="00B53423">
        <w:rPr>
          <w:rFonts w:asciiTheme="minorHAnsi" w:hAnsiTheme="minorHAnsi" w:cstheme="minorHAnsi"/>
          <w:b/>
        </w:rPr>
        <w:fldChar w:fldCharType="end"/>
      </w:r>
      <w:r w:rsidRPr="00B53423">
        <w:rPr>
          <w:rFonts w:asciiTheme="minorHAnsi" w:hAnsiTheme="minorHAnsi" w:cstheme="minorHAnsi"/>
          <w:b/>
        </w:rPr>
        <w:t>: OTHER EXPENSES FOR FY 2009-10 (Rs. Crore)</w:t>
      </w:r>
      <w:bookmarkEnd w:id="481"/>
    </w:p>
    <w:tbl>
      <w:tblPr>
        <w:tblW w:w="7415" w:type="dxa"/>
        <w:tblInd w:w="82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700"/>
        <w:gridCol w:w="1055"/>
        <w:gridCol w:w="1220"/>
        <w:gridCol w:w="1220"/>
        <w:gridCol w:w="1220"/>
      </w:tblGrid>
      <w:tr w:rsidR="004C74C2" w:rsidRPr="00B53423" w:rsidTr="009268E4">
        <w:trPr>
          <w:trHeight w:val="900"/>
          <w:tblHeader/>
        </w:trPr>
        <w:tc>
          <w:tcPr>
            <w:tcW w:w="2700" w:type="dxa"/>
            <w:shd w:val="clear" w:color="000000" w:fill="DBE5F1"/>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055" w:type="dxa"/>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20" w:type="dxa"/>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20" w:type="dxa"/>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20" w:type="dxa"/>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2700"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Online Billing Charges</w:t>
            </w:r>
          </w:p>
        </w:tc>
        <w:tc>
          <w:tcPr>
            <w:tcW w:w="1055"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 </w:t>
            </w:r>
          </w:p>
        </w:tc>
        <w:tc>
          <w:tcPr>
            <w:tcW w:w="1220" w:type="dxa"/>
            <w:shd w:val="clear" w:color="auto" w:fill="auto"/>
            <w:noWrap/>
            <w:vAlign w:val="center"/>
            <w:hideMark/>
          </w:tcPr>
          <w:p w:rsidR="004C74C2" w:rsidRPr="00B53423" w:rsidRDefault="004C74C2" w:rsidP="0015232B">
            <w:pPr>
              <w:spacing w:before="0" w:line="240" w:lineRule="auto"/>
              <w:ind w:right="184"/>
              <w:jc w:val="right"/>
              <w:rPr>
                <w:rFonts w:cs="Calibri"/>
                <w:color w:val="000000"/>
                <w:lang w:val="en-US"/>
              </w:rPr>
            </w:pPr>
            <w:r w:rsidRPr="00B53423">
              <w:rPr>
                <w:rFonts w:cs="Calibri"/>
                <w:color w:val="000000"/>
                <w:lang w:val="en-US"/>
              </w:rPr>
              <w:t>2.37</w:t>
            </w:r>
          </w:p>
        </w:tc>
        <w:tc>
          <w:tcPr>
            <w:tcW w:w="1220" w:type="dxa"/>
            <w:shd w:val="clear" w:color="auto" w:fill="auto"/>
            <w:noWrap/>
            <w:vAlign w:val="center"/>
            <w:hideMark/>
          </w:tcPr>
          <w:p w:rsidR="004C74C2" w:rsidRPr="00B53423" w:rsidRDefault="004C74C2" w:rsidP="0015232B">
            <w:pPr>
              <w:spacing w:before="0" w:line="240" w:lineRule="auto"/>
              <w:ind w:right="184"/>
              <w:jc w:val="right"/>
              <w:rPr>
                <w:rFonts w:cs="Calibri"/>
                <w:color w:val="000000"/>
                <w:lang w:val="en-US"/>
              </w:rPr>
            </w:pPr>
            <w:r w:rsidRPr="00B53423">
              <w:rPr>
                <w:rFonts w:cs="Calibri"/>
                <w:color w:val="000000"/>
                <w:lang w:val="en-US"/>
              </w:rPr>
              <w:t>2.37</w:t>
            </w:r>
          </w:p>
        </w:tc>
        <w:tc>
          <w:tcPr>
            <w:tcW w:w="1220" w:type="dxa"/>
            <w:shd w:val="clear" w:color="auto" w:fill="auto"/>
            <w:noWrap/>
            <w:vAlign w:val="center"/>
            <w:hideMark/>
          </w:tcPr>
          <w:p w:rsidR="004C74C2" w:rsidRPr="00B53423" w:rsidRDefault="004C74C2" w:rsidP="0015232B">
            <w:pPr>
              <w:spacing w:before="0" w:line="240" w:lineRule="auto"/>
              <w:ind w:right="184"/>
              <w:jc w:val="right"/>
              <w:rPr>
                <w:rFonts w:cs="Calibri"/>
                <w:color w:val="000000"/>
                <w:lang w:val="en-US"/>
              </w:rPr>
            </w:pPr>
            <w:r w:rsidRPr="00B53423">
              <w:rPr>
                <w:rFonts w:cs="Calibri"/>
                <w:color w:val="000000"/>
                <w:lang w:val="en-US"/>
              </w:rPr>
              <w:t>0.00</w:t>
            </w:r>
          </w:p>
        </w:tc>
      </w:tr>
      <w:tr w:rsidR="004C74C2" w:rsidRPr="00B53423" w:rsidTr="009268E4">
        <w:trPr>
          <w:trHeight w:val="300"/>
        </w:trPr>
        <w:tc>
          <w:tcPr>
            <w:tcW w:w="2700"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w:t>
            </w:r>
          </w:p>
        </w:tc>
        <w:tc>
          <w:tcPr>
            <w:tcW w:w="1055" w:type="dxa"/>
            <w:shd w:val="clear" w:color="auto" w:fill="auto"/>
            <w:noWrap/>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0.00</w:t>
            </w:r>
          </w:p>
        </w:tc>
        <w:tc>
          <w:tcPr>
            <w:tcW w:w="1220" w:type="dxa"/>
            <w:shd w:val="clear" w:color="auto" w:fill="auto"/>
            <w:noWrap/>
            <w:vAlign w:val="center"/>
            <w:hideMark/>
          </w:tcPr>
          <w:p w:rsidR="004C74C2" w:rsidRPr="00B53423" w:rsidRDefault="004C74C2" w:rsidP="0015232B">
            <w:pPr>
              <w:spacing w:before="0" w:line="240" w:lineRule="auto"/>
              <w:ind w:right="184"/>
              <w:jc w:val="right"/>
              <w:rPr>
                <w:rFonts w:cs="Calibri"/>
                <w:b/>
                <w:bCs/>
                <w:color w:val="000000"/>
                <w:lang w:val="en-US"/>
              </w:rPr>
            </w:pPr>
            <w:r w:rsidRPr="00B53423">
              <w:rPr>
                <w:rFonts w:cs="Calibri"/>
                <w:b/>
                <w:bCs/>
                <w:color w:val="000000"/>
                <w:lang w:val="en-US"/>
              </w:rPr>
              <w:t>2.37</w:t>
            </w:r>
          </w:p>
        </w:tc>
        <w:tc>
          <w:tcPr>
            <w:tcW w:w="1220" w:type="dxa"/>
            <w:shd w:val="clear" w:color="auto" w:fill="auto"/>
            <w:noWrap/>
            <w:vAlign w:val="center"/>
            <w:hideMark/>
          </w:tcPr>
          <w:p w:rsidR="004C74C2" w:rsidRPr="00B53423" w:rsidRDefault="004C74C2" w:rsidP="0015232B">
            <w:pPr>
              <w:spacing w:before="0" w:line="240" w:lineRule="auto"/>
              <w:ind w:right="184"/>
              <w:jc w:val="right"/>
              <w:rPr>
                <w:rFonts w:cs="Calibri"/>
                <w:b/>
                <w:bCs/>
                <w:color w:val="000000"/>
                <w:lang w:val="en-US"/>
              </w:rPr>
            </w:pPr>
            <w:r w:rsidRPr="00B53423">
              <w:rPr>
                <w:rFonts w:cs="Calibri"/>
                <w:b/>
                <w:bCs/>
                <w:color w:val="000000"/>
                <w:lang w:val="en-US"/>
              </w:rPr>
              <w:t>2.37</w:t>
            </w:r>
          </w:p>
        </w:tc>
        <w:tc>
          <w:tcPr>
            <w:tcW w:w="1220" w:type="dxa"/>
            <w:shd w:val="clear" w:color="auto" w:fill="auto"/>
            <w:noWrap/>
            <w:vAlign w:val="center"/>
            <w:hideMark/>
          </w:tcPr>
          <w:p w:rsidR="004C74C2" w:rsidRPr="00B53423" w:rsidRDefault="004C74C2" w:rsidP="0015232B">
            <w:pPr>
              <w:spacing w:before="0" w:line="240" w:lineRule="auto"/>
              <w:ind w:right="184"/>
              <w:jc w:val="right"/>
              <w:rPr>
                <w:rFonts w:cs="Calibri"/>
                <w:b/>
                <w:bCs/>
                <w:color w:val="000000"/>
                <w:lang w:val="en-US"/>
              </w:rPr>
            </w:pPr>
            <w:r w:rsidRPr="00B53423">
              <w:rPr>
                <w:rFonts w:cs="Calibri"/>
                <w:b/>
                <w:bCs/>
                <w:color w:val="000000"/>
                <w:lang w:val="en-US"/>
              </w:rPr>
              <w:t>0.00</w:t>
            </w:r>
          </w:p>
        </w:tc>
      </w:tr>
    </w:tbl>
    <w:p w:rsidR="004C74C2" w:rsidRPr="00B53423" w:rsidRDefault="004C74C2" w:rsidP="0015232B">
      <w:pPr>
        <w:pStyle w:val="Heading2"/>
        <w:keepNext w:val="0"/>
        <w:ind w:left="720" w:hanging="1080"/>
      </w:pPr>
      <w:bookmarkStart w:id="482" w:name="_Toc399626185"/>
      <w:r w:rsidRPr="00B53423">
        <w:t>PROVISION FOR BAD AND DOUBTFUL DEBT</w:t>
      </w:r>
      <w:bookmarkEnd w:id="482"/>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Commission has not allowed any amounts towards Provision for Bad and Doubtful Debts in the Tariff Order dated 14</w:t>
      </w:r>
      <w:r w:rsidRPr="00B53423">
        <w:rPr>
          <w:vertAlign w:val="superscript"/>
        </w:rPr>
        <w:t>th</w:t>
      </w:r>
      <w:r w:rsidRPr="00B53423">
        <w:t xml:space="preserve"> October, 2010 in Petition No. 634 of 2009 for FY 2009-10 even though the Distribution Tariff Regulations, 2006 provide for allowing 2% provision in respect of revenue receivables.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such expenses are legitimate business expenses and are accepted accounting principle even in sectors like Banking where the provisioning of un-collectable dues is considered as a normal commercial practice.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 submitted that it has computed the entitlement towards provision for bad and doubtful debts as 2% of the closing revenue receivables as per Audited Accounts of the relevant financial year for distribution business.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has claimed Rs. 45.36 Crore towards provision for bad and doubtful debts for FY 2009-10.</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As discussed in detail in Para </w:t>
      </w:r>
      <w:fldSimple w:instr=" REF _Ref396854191 \r \h  \* MERGEFORMAT ">
        <w:r w:rsidR="00847C1B">
          <w:t>4.9.9</w:t>
        </w:r>
      </w:fldSimple>
      <w:r w:rsidRPr="00B53423">
        <w:t xml:space="preserve"> due to the absence of proper policy in place for identifying and writing off receivables, the Commission disallows the claims towards provision for bad and doubtful debts.</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pPr>
      <w:bookmarkStart w:id="483" w:name="_Toc399626355"/>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20</w:t>
      </w:r>
      <w:r w:rsidR="005D68E7" w:rsidRPr="00B53423">
        <w:rPr>
          <w:rFonts w:asciiTheme="minorHAnsi" w:hAnsiTheme="minorHAnsi" w:cstheme="minorHAnsi"/>
          <w:b/>
        </w:rPr>
        <w:fldChar w:fldCharType="end"/>
      </w:r>
      <w:r w:rsidRPr="00B53423">
        <w:rPr>
          <w:rFonts w:asciiTheme="minorHAnsi" w:hAnsiTheme="minorHAnsi" w:cstheme="minorHAnsi"/>
          <w:b/>
        </w:rPr>
        <w:t>: PROVISION FOR BAD AND DOUBTFUL DEBT FOR FY 2009-10 (Rs. Crore)</w:t>
      </w:r>
      <w:bookmarkEnd w:id="483"/>
    </w:p>
    <w:tbl>
      <w:tblPr>
        <w:tblW w:w="8465" w:type="dxa"/>
        <w:tblInd w:w="103" w:type="dxa"/>
        <w:tblLook w:val="04A0"/>
      </w:tblPr>
      <w:tblGrid>
        <w:gridCol w:w="3695"/>
        <w:gridCol w:w="1080"/>
        <w:gridCol w:w="1350"/>
        <w:gridCol w:w="1170"/>
        <w:gridCol w:w="1215"/>
      </w:tblGrid>
      <w:tr w:rsidR="004C74C2" w:rsidRPr="00B53423" w:rsidTr="009268E4">
        <w:trPr>
          <w:trHeight w:val="900"/>
          <w:tblHeader/>
        </w:trPr>
        <w:tc>
          <w:tcPr>
            <w:tcW w:w="3695"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08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35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695"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Provision for Bad and Doubtful Debts</w:t>
            </w:r>
          </w:p>
        </w:tc>
        <w:tc>
          <w:tcPr>
            <w:tcW w:w="108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0.00</w:t>
            </w:r>
          </w:p>
        </w:tc>
        <w:tc>
          <w:tcPr>
            <w:tcW w:w="135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21.19</w:t>
            </w:r>
          </w:p>
        </w:tc>
        <w:tc>
          <w:tcPr>
            <w:tcW w:w="117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45.36</w:t>
            </w:r>
          </w:p>
        </w:tc>
        <w:tc>
          <w:tcPr>
            <w:tcW w:w="117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0.00</w:t>
            </w:r>
          </w:p>
        </w:tc>
      </w:tr>
    </w:tbl>
    <w:p w:rsidR="004C74C2" w:rsidRPr="00B53423" w:rsidRDefault="004C74C2" w:rsidP="0015232B">
      <w:pPr>
        <w:pStyle w:val="Heading2"/>
        <w:keepNext w:val="0"/>
        <w:ind w:left="720" w:hanging="1080"/>
        <w:rPr>
          <w:caps/>
        </w:rPr>
      </w:pPr>
      <w:bookmarkStart w:id="484" w:name="_Toc399626186"/>
      <w:r w:rsidRPr="00B53423">
        <w:rPr>
          <w:caps/>
        </w:rPr>
        <w:t>REturn on equity</w:t>
      </w:r>
      <w:bookmarkEnd w:id="484"/>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ind w:hanging="1080"/>
        <w:rPr>
          <w:b/>
        </w:rPr>
      </w:pPr>
      <w:r w:rsidRPr="00B53423">
        <w:t>The Petitioner has not claimed any return on equity for the year under review. The Petitioner has stated that it does not want to burden the consumers by proposing return on equity as it will further increase the gap. Hence, agreeing with the Petitioner’s submission in this regards, the Commission has also not allowed any amounts towards return on equity for FY 2009-10.</w:t>
      </w:r>
    </w:p>
    <w:p w:rsidR="004C74C2" w:rsidRPr="00B53423" w:rsidRDefault="004C74C2" w:rsidP="0015232B">
      <w:pPr>
        <w:pStyle w:val="Heading2"/>
        <w:keepNext w:val="0"/>
        <w:numPr>
          <w:ilvl w:val="0"/>
          <w:numId w:val="0"/>
        </w:numPr>
        <w:ind w:left="450"/>
      </w:pPr>
    </w:p>
    <w:p w:rsidR="004C74C2" w:rsidRPr="00B53423" w:rsidRDefault="004C74C2" w:rsidP="0015232B">
      <w:pPr>
        <w:pStyle w:val="Heading2"/>
        <w:keepNext w:val="0"/>
        <w:ind w:left="720" w:hanging="1080"/>
      </w:pPr>
      <w:bookmarkStart w:id="485" w:name="_Toc399626187"/>
      <w:r w:rsidRPr="00B53423">
        <w:t>REVENUE SIDE TRUING UP</w:t>
      </w:r>
      <w:bookmarkEnd w:id="485"/>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numPr>
          <w:ilvl w:val="0"/>
          <w:numId w:val="0"/>
        </w:numPr>
        <w:ind w:left="450" w:firstLine="270"/>
        <w:rPr>
          <w:b/>
        </w:rPr>
      </w:pPr>
      <w:r w:rsidRPr="00B53423">
        <w:rPr>
          <w:b/>
        </w:rPr>
        <w:t>NON TARIFF INCOMES</w:t>
      </w:r>
    </w:p>
    <w:p w:rsidR="004C74C2" w:rsidRPr="00B53423" w:rsidRDefault="004C74C2" w:rsidP="0015232B">
      <w:pPr>
        <w:pStyle w:val="Heading3"/>
        <w:keepNext w:val="0"/>
        <w:numPr>
          <w:ilvl w:val="0"/>
          <w:numId w:val="0"/>
        </w:numPr>
        <w:ind w:left="450" w:hanging="450"/>
        <w:rPr>
          <w:b/>
        </w:rPr>
      </w:pPr>
    </w:p>
    <w:p w:rsidR="004C74C2" w:rsidRPr="00B53423" w:rsidRDefault="004C74C2" w:rsidP="0015232B">
      <w:pPr>
        <w:pStyle w:val="Heading3"/>
        <w:keepNext w:val="0"/>
        <w:ind w:hanging="1080"/>
      </w:pPr>
      <w:r w:rsidRPr="00B53423">
        <w:t>The Petitioner submitted that the actual Non Tariff income earned by it in FY 2009-10 is Rs. 2.54 Crore against the projection of Rs. 2.88 Crore approved by the Commission in the Tariff Order dated 14</w:t>
      </w:r>
      <w:r w:rsidRPr="00B53423">
        <w:rPr>
          <w:vertAlign w:val="superscript"/>
        </w:rPr>
        <w:t>th</w:t>
      </w:r>
      <w:r w:rsidRPr="00B53423">
        <w:t xml:space="preserve"> October, 2010 in Petition No. 634 of 2009.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regards the Commission’s query regarding detailed break-up of Non Tariff Income the Petitioner has submitted as follows:</w:t>
      </w:r>
    </w:p>
    <w:p w:rsidR="004C74C2" w:rsidRPr="00B53423" w:rsidRDefault="004C74C2" w:rsidP="0015232B">
      <w:pPr>
        <w:rPr>
          <w:rFonts w:cs="Arial"/>
          <w:szCs w:val="26"/>
        </w:rPr>
      </w:pPr>
    </w:p>
    <w:p w:rsidR="004C74C2" w:rsidRPr="00B53423" w:rsidRDefault="004C74C2" w:rsidP="0015232B">
      <w:pPr>
        <w:spacing w:before="240"/>
        <w:ind w:left="450"/>
        <w:jc w:val="center"/>
        <w:rPr>
          <w:rFonts w:asciiTheme="minorHAnsi" w:hAnsiTheme="minorHAnsi" w:cstheme="minorHAnsi"/>
          <w:b/>
        </w:rPr>
      </w:pPr>
      <w:bookmarkStart w:id="486" w:name="_Toc399626356"/>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21</w:t>
      </w:r>
      <w:r w:rsidR="005D68E7" w:rsidRPr="00B53423">
        <w:rPr>
          <w:rFonts w:asciiTheme="minorHAnsi" w:hAnsiTheme="minorHAnsi" w:cstheme="minorHAnsi"/>
          <w:b/>
        </w:rPr>
        <w:fldChar w:fldCharType="end"/>
      </w:r>
      <w:r w:rsidRPr="00B53423">
        <w:rPr>
          <w:rFonts w:asciiTheme="minorHAnsi" w:hAnsiTheme="minorHAnsi" w:cstheme="minorHAnsi"/>
          <w:b/>
        </w:rPr>
        <w:t>: NON TARIFF INCOME (Rs. Crore)</w:t>
      </w:r>
      <w:bookmarkEnd w:id="486"/>
    </w:p>
    <w:tbl>
      <w:tblPr>
        <w:tblW w:w="7690" w:type="dxa"/>
        <w:jc w:val="center"/>
        <w:tblInd w:w="-15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584"/>
        <w:gridCol w:w="2106"/>
      </w:tblGrid>
      <w:tr w:rsidR="004C74C2" w:rsidRPr="00B53423" w:rsidTr="009268E4">
        <w:trPr>
          <w:trHeight w:val="300"/>
          <w:tblHeader/>
          <w:jc w:val="center"/>
        </w:trPr>
        <w:tc>
          <w:tcPr>
            <w:tcW w:w="5584" w:type="dxa"/>
            <w:shd w:val="clear" w:color="auto" w:fill="DBE5F1" w:themeFill="accent1" w:themeFillTint="33"/>
            <w:vAlign w:val="center"/>
            <w:hideMark/>
          </w:tcPr>
          <w:p w:rsidR="004C74C2" w:rsidRPr="00B53423" w:rsidRDefault="004C74C2" w:rsidP="0015232B">
            <w:pPr>
              <w:spacing w:before="0" w:line="240" w:lineRule="auto"/>
              <w:jc w:val="center"/>
              <w:rPr>
                <w:b/>
                <w:bCs/>
              </w:rPr>
            </w:pPr>
            <w:r w:rsidRPr="00B53423">
              <w:rPr>
                <w:b/>
                <w:bCs/>
              </w:rPr>
              <w:t>Particulars</w:t>
            </w:r>
          </w:p>
        </w:tc>
        <w:tc>
          <w:tcPr>
            <w:tcW w:w="2106" w:type="dxa"/>
            <w:shd w:val="clear" w:color="auto" w:fill="DBE5F1" w:themeFill="accent1" w:themeFillTint="33"/>
            <w:noWrap/>
            <w:vAlign w:val="center"/>
            <w:hideMark/>
          </w:tcPr>
          <w:p w:rsidR="004C74C2" w:rsidRPr="00B53423" w:rsidRDefault="004C74C2" w:rsidP="0015232B">
            <w:pPr>
              <w:spacing w:before="0" w:line="240" w:lineRule="auto"/>
              <w:jc w:val="center"/>
              <w:rPr>
                <w:b/>
                <w:bCs/>
              </w:rPr>
            </w:pPr>
            <w:r w:rsidRPr="00B53423">
              <w:rPr>
                <w:b/>
                <w:bCs/>
              </w:rPr>
              <w:t>FY 2009-10</w:t>
            </w:r>
          </w:p>
        </w:tc>
      </w:tr>
      <w:tr w:rsidR="004C74C2" w:rsidRPr="00B53423" w:rsidTr="009268E4">
        <w:trPr>
          <w:trHeight w:val="288"/>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Interest from FDR including TDS amount</w:t>
            </w:r>
          </w:p>
        </w:tc>
        <w:tc>
          <w:tcPr>
            <w:tcW w:w="2106" w:type="dxa"/>
            <w:shd w:val="clear" w:color="auto" w:fill="auto"/>
            <w:noWrap/>
            <w:vAlign w:val="center"/>
            <w:hideMark/>
          </w:tcPr>
          <w:p w:rsidR="004C74C2" w:rsidRPr="00B53423" w:rsidRDefault="004C74C2" w:rsidP="0015232B">
            <w:pPr>
              <w:spacing w:before="0" w:line="240" w:lineRule="auto"/>
              <w:jc w:val="center"/>
              <w:rPr>
                <w:color w:val="000000"/>
              </w:rPr>
            </w:pPr>
            <w:r w:rsidRPr="00B53423">
              <w:rPr>
                <w:color w:val="000000"/>
              </w:rPr>
              <w:t>0.15</w:t>
            </w:r>
          </w:p>
        </w:tc>
      </w:tr>
      <w:tr w:rsidR="004C74C2" w:rsidRPr="00B53423" w:rsidTr="009268E4">
        <w:trPr>
          <w:trHeight w:val="144"/>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Reconnection and Disconnection Fees</w:t>
            </w:r>
          </w:p>
        </w:tc>
        <w:tc>
          <w:tcPr>
            <w:tcW w:w="2106" w:type="dxa"/>
            <w:shd w:val="clear" w:color="auto" w:fill="auto"/>
            <w:noWrap/>
            <w:vAlign w:val="center"/>
            <w:hideMark/>
          </w:tcPr>
          <w:p w:rsidR="004C74C2" w:rsidRPr="00B53423" w:rsidRDefault="004C74C2" w:rsidP="0015232B">
            <w:pPr>
              <w:spacing w:before="0" w:line="240" w:lineRule="auto"/>
              <w:jc w:val="center"/>
              <w:rPr>
                <w:color w:val="000000"/>
              </w:rPr>
            </w:pPr>
            <w:r w:rsidRPr="00B53423">
              <w:rPr>
                <w:color w:val="000000"/>
              </w:rPr>
              <w:t>-</w:t>
            </w:r>
          </w:p>
        </w:tc>
      </w:tr>
      <w:tr w:rsidR="004C74C2" w:rsidRPr="00B53423" w:rsidTr="009268E4">
        <w:trPr>
          <w:trHeight w:val="26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Other Recoveries from consumers</w:t>
            </w:r>
          </w:p>
        </w:tc>
        <w:tc>
          <w:tcPr>
            <w:tcW w:w="2106" w:type="dxa"/>
            <w:shd w:val="clear" w:color="auto" w:fill="auto"/>
            <w:noWrap/>
            <w:vAlign w:val="center"/>
            <w:hideMark/>
          </w:tcPr>
          <w:p w:rsidR="004C74C2" w:rsidRPr="00B53423" w:rsidRDefault="004C74C2" w:rsidP="0015232B">
            <w:pPr>
              <w:spacing w:before="0" w:line="240" w:lineRule="auto"/>
              <w:jc w:val="center"/>
              <w:rPr>
                <w:color w:val="000000"/>
              </w:rPr>
            </w:pPr>
            <w:r w:rsidRPr="00B53423">
              <w:rPr>
                <w:color w:val="000000"/>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Recoveries from Theft/Malpractices</w:t>
            </w:r>
          </w:p>
        </w:tc>
        <w:tc>
          <w:tcPr>
            <w:tcW w:w="2106" w:type="dxa"/>
            <w:shd w:val="clear" w:color="auto" w:fill="auto"/>
            <w:noWrap/>
            <w:vAlign w:val="center"/>
            <w:hideMark/>
          </w:tcPr>
          <w:p w:rsidR="004C74C2" w:rsidRPr="00B53423" w:rsidRDefault="004C74C2" w:rsidP="0015232B">
            <w:pPr>
              <w:spacing w:before="0" w:line="240" w:lineRule="auto"/>
              <w:jc w:val="center"/>
              <w:rPr>
                <w:color w:val="000000"/>
              </w:rPr>
            </w:pPr>
            <w:r w:rsidRPr="00B53423">
              <w:rPr>
                <w:color w:val="000000"/>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Other Charges from Consumers</w:t>
            </w:r>
          </w:p>
        </w:tc>
        <w:tc>
          <w:tcPr>
            <w:tcW w:w="2106" w:type="dxa"/>
            <w:shd w:val="clear" w:color="auto" w:fill="auto"/>
            <w:noWrap/>
            <w:vAlign w:val="center"/>
            <w:hideMark/>
          </w:tcPr>
          <w:p w:rsidR="004C74C2" w:rsidRPr="00B53423" w:rsidRDefault="004C74C2" w:rsidP="0015232B">
            <w:pPr>
              <w:spacing w:before="0" w:line="240" w:lineRule="auto"/>
              <w:jc w:val="center"/>
              <w:rPr>
                <w:color w:val="000000"/>
              </w:rPr>
            </w:pPr>
            <w:r w:rsidRPr="00B53423">
              <w:rPr>
                <w:color w:val="000000"/>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Misc Income</w:t>
            </w:r>
          </w:p>
        </w:tc>
        <w:tc>
          <w:tcPr>
            <w:tcW w:w="2106" w:type="dxa"/>
            <w:shd w:val="clear" w:color="auto" w:fill="auto"/>
            <w:noWrap/>
            <w:vAlign w:val="center"/>
            <w:hideMark/>
          </w:tcPr>
          <w:p w:rsidR="004C74C2" w:rsidRPr="00B53423" w:rsidRDefault="004C74C2" w:rsidP="0015232B">
            <w:pPr>
              <w:spacing w:before="0" w:line="240" w:lineRule="auto"/>
              <w:jc w:val="center"/>
              <w:rPr>
                <w:color w:val="000000"/>
              </w:rPr>
            </w:pPr>
            <w:r w:rsidRPr="00B53423">
              <w:rPr>
                <w:color w:val="000000"/>
              </w:rPr>
              <w:t>2.39</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Other Non-Operating Income</w:t>
            </w:r>
          </w:p>
        </w:tc>
        <w:tc>
          <w:tcPr>
            <w:tcW w:w="2106" w:type="dxa"/>
            <w:shd w:val="clear" w:color="auto" w:fill="auto"/>
            <w:noWrap/>
            <w:vAlign w:val="center"/>
            <w:hideMark/>
          </w:tcPr>
          <w:p w:rsidR="004C74C2" w:rsidRPr="00B53423" w:rsidRDefault="004C74C2" w:rsidP="0015232B">
            <w:pPr>
              <w:spacing w:before="0" w:line="240" w:lineRule="auto"/>
              <w:jc w:val="center"/>
              <w:rPr>
                <w:color w:val="000000"/>
              </w:rPr>
            </w:pPr>
            <w:r w:rsidRPr="00B53423">
              <w:rPr>
                <w:color w:val="000000"/>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b/>
                <w:color w:val="000000"/>
              </w:rPr>
            </w:pPr>
            <w:r w:rsidRPr="00B53423">
              <w:rPr>
                <w:color w:val="000000"/>
              </w:rPr>
              <w:t> </w:t>
            </w:r>
            <w:r w:rsidRPr="00B53423">
              <w:rPr>
                <w:b/>
                <w:color w:val="000000"/>
              </w:rPr>
              <w:t>Total NTI</w:t>
            </w:r>
          </w:p>
        </w:tc>
        <w:tc>
          <w:tcPr>
            <w:tcW w:w="2106" w:type="dxa"/>
            <w:shd w:val="clear" w:color="auto" w:fill="auto"/>
            <w:noWrap/>
            <w:vAlign w:val="center"/>
            <w:hideMark/>
          </w:tcPr>
          <w:p w:rsidR="004C74C2" w:rsidRPr="00B53423" w:rsidRDefault="004C74C2" w:rsidP="0015232B">
            <w:pPr>
              <w:spacing w:before="0" w:line="240" w:lineRule="auto"/>
              <w:jc w:val="center"/>
              <w:rPr>
                <w:b/>
                <w:bCs/>
                <w:color w:val="000000"/>
              </w:rPr>
            </w:pPr>
            <w:r w:rsidRPr="00B53423">
              <w:rPr>
                <w:b/>
                <w:bCs/>
                <w:color w:val="000000"/>
              </w:rPr>
              <w:t>2.54</w:t>
            </w:r>
          </w:p>
        </w:tc>
      </w:tr>
    </w:tbl>
    <w:p w:rsidR="004C74C2" w:rsidRPr="00B53423" w:rsidRDefault="004C74C2" w:rsidP="0015232B">
      <w:pPr>
        <w:spacing w:before="0"/>
        <w:rPr>
          <w:rFonts w:cs="Arial"/>
        </w:rPr>
      </w:pPr>
    </w:p>
    <w:p w:rsidR="004C74C2" w:rsidRPr="00B53423" w:rsidRDefault="004C74C2" w:rsidP="0015232B">
      <w:pPr>
        <w:pStyle w:val="Heading3"/>
        <w:keepNext w:val="0"/>
        <w:ind w:hanging="1080"/>
      </w:pPr>
      <w:r w:rsidRPr="00B53423">
        <w:t>The Commission has accepted the submission of the Petitioner, under this head and has accordingly approved Non Tariff Income of Rs. 2.54 Crore for Truing up of FY 2009-10.</w:t>
      </w:r>
    </w:p>
    <w:p w:rsidR="004C74C2" w:rsidRPr="00B53423" w:rsidRDefault="004C74C2" w:rsidP="0015232B">
      <w:pPr>
        <w:spacing w:before="240"/>
      </w:pPr>
    </w:p>
    <w:p w:rsidR="004C74C2" w:rsidRPr="00B53423" w:rsidRDefault="004C74C2" w:rsidP="0015232B">
      <w:pPr>
        <w:pStyle w:val="Heading3"/>
        <w:keepNext w:val="0"/>
        <w:numPr>
          <w:ilvl w:val="0"/>
          <w:numId w:val="0"/>
        </w:numPr>
        <w:ind w:left="450" w:firstLine="270"/>
        <w:rPr>
          <w:b/>
        </w:rPr>
      </w:pPr>
      <w:r w:rsidRPr="00B53423">
        <w:rPr>
          <w:b/>
        </w:rPr>
        <w:t>REVENUE FROM SALE OF POWER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14</w:t>
      </w:r>
      <w:r w:rsidRPr="00B53423">
        <w:rPr>
          <w:vertAlign w:val="superscript"/>
        </w:rPr>
        <w:t>th</w:t>
      </w:r>
      <w:r w:rsidRPr="00B53423">
        <w:t xml:space="preserve"> October, 2010 in Petition No. 634 of 2009 for FY 2009-10 the Commission had projected revenue from sale of power of Rs. 822.65 Crore for FY 2009-10. The Petitioner further submitted that as per the Audited Accounts the actual revenue from sale of power is Rs. 789.51 Crore (including Rs. 42.67 Crore towards delayed payment surcharge) towards electricity sales of 1732.08 MU.</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has accepted the revenue from sale of power as submitted by the Petitioner after verifying the same from the Audited Accounts of FY 2009-10 and has accordingly approved actual revenue of Rs. 789.51 Crore including delayed payment surcharge towards sales of 1732.08 MU. The summary of revenue approved in the Tariff Order, that claimed by the Petitioner and that approved by the Commission in this Order for Truing up of FY 2009-10 is shown in the Table below:</w:t>
      </w:r>
    </w:p>
    <w:p w:rsidR="004C74C2" w:rsidRPr="00B53423" w:rsidRDefault="004C74C2" w:rsidP="0015232B">
      <w:pPr>
        <w:rPr>
          <w:rFonts w:cs="Arial"/>
          <w:szCs w:val="26"/>
        </w:rPr>
      </w:pPr>
    </w:p>
    <w:p w:rsidR="004C74C2" w:rsidRPr="00B53423" w:rsidRDefault="004C74C2" w:rsidP="0015232B">
      <w:pPr>
        <w:spacing w:before="240"/>
        <w:ind w:firstLine="720"/>
        <w:jc w:val="center"/>
        <w:rPr>
          <w:rFonts w:asciiTheme="minorHAnsi" w:hAnsiTheme="minorHAnsi" w:cstheme="minorHAnsi"/>
          <w:b/>
        </w:rPr>
      </w:pPr>
      <w:bookmarkStart w:id="487" w:name="_Toc399626357"/>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22</w:t>
      </w:r>
      <w:r w:rsidR="005D68E7" w:rsidRPr="00B53423">
        <w:rPr>
          <w:rFonts w:asciiTheme="minorHAnsi" w:hAnsiTheme="minorHAnsi" w:cstheme="minorHAnsi"/>
          <w:b/>
        </w:rPr>
        <w:fldChar w:fldCharType="end"/>
      </w:r>
      <w:r w:rsidRPr="00B53423">
        <w:rPr>
          <w:rFonts w:asciiTheme="minorHAnsi" w:hAnsiTheme="minorHAnsi" w:cstheme="minorHAnsi"/>
          <w:b/>
        </w:rPr>
        <w:t>: REVENUE FOR FY 2009-10 (Rs. Crore)</w:t>
      </w:r>
      <w:bookmarkEnd w:id="487"/>
    </w:p>
    <w:tbl>
      <w:tblPr>
        <w:tblW w:w="7720" w:type="dxa"/>
        <w:tblInd w:w="720" w:type="dxa"/>
        <w:tblLook w:val="04A0"/>
      </w:tblPr>
      <w:tblGrid>
        <w:gridCol w:w="2760"/>
        <w:gridCol w:w="1240"/>
        <w:gridCol w:w="1240"/>
        <w:gridCol w:w="1240"/>
        <w:gridCol w:w="1240"/>
      </w:tblGrid>
      <w:tr w:rsidR="004C74C2" w:rsidRPr="00B53423" w:rsidTr="009268E4">
        <w:trPr>
          <w:trHeight w:val="900"/>
          <w:tblHeader/>
        </w:trPr>
        <w:tc>
          <w:tcPr>
            <w:tcW w:w="276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Revenue from Tariff</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938.28</w:t>
            </w:r>
          </w:p>
          <w:p w:rsidR="004C74C2" w:rsidRPr="00B53423" w:rsidRDefault="004C74C2" w:rsidP="0015232B">
            <w:pPr>
              <w:spacing w:line="240" w:lineRule="auto"/>
              <w:jc w:val="left"/>
              <w:rPr>
                <w:rFonts w:cs="Calibri"/>
                <w:color w:val="000000"/>
                <w:lang w:val="en-US"/>
              </w:rPr>
            </w:pPr>
            <w:r w:rsidRPr="00B53423">
              <w:rPr>
                <w:rFonts w:cs="Calibri"/>
                <w:color w:val="000000"/>
                <w:lang w:val="en-US"/>
              </w:rPr>
              <w:t> </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789.51</w:t>
            </w:r>
          </w:p>
          <w:p w:rsidR="004C74C2" w:rsidRPr="00B53423" w:rsidRDefault="004C74C2" w:rsidP="0015232B">
            <w:pPr>
              <w:spacing w:line="240" w:lineRule="auto"/>
              <w:jc w:val="left"/>
              <w:rPr>
                <w:rFonts w:cs="Calibri"/>
                <w:color w:val="000000"/>
                <w:lang w:val="en-US"/>
              </w:rPr>
            </w:pPr>
            <w:r w:rsidRPr="00B53423">
              <w:rPr>
                <w:rFonts w:cs="Calibri"/>
                <w:color w:val="000000"/>
                <w:lang w:val="en-US"/>
              </w:rPr>
              <w:t> </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789.51</w:t>
            </w:r>
          </w:p>
          <w:p w:rsidR="004C74C2" w:rsidRPr="00B53423" w:rsidRDefault="004C74C2" w:rsidP="0015232B">
            <w:pPr>
              <w:spacing w:line="240" w:lineRule="auto"/>
              <w:jc w:val="left"/>
              <w:rPr>
                <w:rFonts w:cs="Calibri"/>
                <w:color w:val="000000"/>
                <w:lang w:val="en-US"/>
              </w:rPr>
            </w:pPr>
            <w:r w:rsidRPr="00B53423">
              <w:rPr>
                <w:rFonts w:cs="Calibri"/>
                <w:color w:val="000000"/>
                <w:lang w:val="en-US"/>
              </w:rPr>
              <w:t> </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789.51</w:t>
            </w:r>
          </w:p>
          <w:p w:rsidR="004C74C2" w:rsidRPr="00B53423" w:rsidRDefault="004C74C2" w:rsidP="0015232B">
            <w:pPr>
              <w:spacing w:line="240" w:lineRule="auto"/>
              <w:jc w:val="left"/>
              <w:rPr>
                <w:rFonts w:cs="Calibri"/>
                <w:color w:val="000000"/>
                <w:lang w:val="en-US"/>
              </w:rPr>
            </w:pPr>
            <w:r w:rsidRPr="00B53423">
              <w:rPr>
                <w:rFonts w:cs="Calibri"/>
                <w:color w:val="000000"/>
                <w:lang w:val="en-US"/>
              </w:rPr>
              <w:t> </w:t>
            </w: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Delayed Payment Surcharge</w:t>
            </w: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Non Tariff Income</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2.88</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2.54</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2.54</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2.54</w:t>
            </w: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Revenue</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941.16</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792.06</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792.06</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792.06</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rPr>
          <w:caps/>
        </w:rPr>
      </w:pPr>
      <w:bookmarkStart w:id="488" w:name="_Toc399626188"/>
      <w:r w:rsidRPr="00B53423">
        <w:rPr>
          <w:caps/>
        </w:rPr>
        <w:t>AGGREGATE REVenue requirement and revenue gap/ (surplus) for fY 2009-10 after truing up</w:t>
      </w:r>
      <w:bookmarkEnd w:id="488"/>
    </w:p>
    <w:p w:rsidR="004C74C2" w:rsidRPr="00B53423" w:rsidRDefault="004C74C2" w:rsidP="0015232B">
      <w:pPr>
        <w:pStyle w:val="Heading2"/>
        <w:keepNext w:val="0"/>
        <w:numPr>
          <w:ilvl w:val="0"/>
          <w:numId w:val="0"/>
        </w:numPr>
        <w:ind w:left="576"/>
        <w:rPr>
          <w:caps/>
        </w:rPr>
      </w:pPr>
    </w:p>
    <w:p w:rsidR="004C74C2" w:rsidRPr="00B53423" w:rsidRDefault="004C74C2" w:rsidP="0015232B">
      <w:pPr>
        <w:pStyle w:val="Heading3"/>
        <w:keepNext w:val="0"/>
        <w:ind w:hanging="1080"/>
      </w:pPr>
      <w:r w:rsidRPr="00B53423">
        <w:t>The Aggregate Revenue Requirement for FY 2009-10 after final Truing-up is summarised in the Table below:</w:t>
      </w:r>
    </w:p>
    <w:p w:rsidR="004C74C2" w:rsidRPr="00B53423" w:rsidRDefault="004C74C2" w:rsidP="0015232B"/>
    <w:p w:rsidR="004C74C2" w:rsidRPr="00B53423" w:rsidRDefault="004C74C2" w:rsidP="0015232B">
      <w:pPr>
        <w:jc w:val="center"/>
      </w:pPr>
      <w:bookmarkStart w:id="489" w:name="_Toc399626358"/>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23</w:t>
      </w:r>
      <w:r w:rsidR="005D68E7" w:rsidRPr="00B53423">
        <w:rPr>
          <w:rFonts w:asciiTheme="minorHAnsi" w:hAnsiTheme="minorHAnsi" w:cstheme="minorHAnsi"/>
          <w:b/>
        </w:rPr>
        <w:fldChar w:fldCharType="end"/>
      </w:r>
      <w:r w:rsidRPr="00B53423">
        <w:rPr>
          <w:rFonts w:asciiTheme="minorHAnsi" w:hAnsiTheme="minorHAnsi" w:cstheme="minorHAnsi"/>
          <w:b/>
        </w:rPr>
        <w:t>: ARR, REVENUE AND GAP SUMMARY FOR FY 2009-10 (Rs. Crore)</w:t>
      </w:r>
      <w:bookmarkEnd w:id="489"/>
    </w:p>
    <w:tbl>
      <w:tblPr>
        <w:tblW w:w="8920" w:type="dxa"/>
        <w:tblInd w:w="103" w:type="dxa"/>
        <w:tblLook w:val="04A0"/>
      </w:tblPr>
      <w:tblGrid>
        <w:gridCol w:w="2948"/>
        <w:gridCol w:w="1318"/>
        <w:gridCol w:w="1756"/>
        <w:gridCol w:w="1449"/>
        <w:gridCol w:w="1449"/>
      </w:tblGrid>
      <w:tr w:rsidR="004C74C2" w:rsidRPr="00B53423" w:rsidTr="009268E4">
        <w:trPr>
          <w:trHeight w:val="900"/>
          <w:tblHeader/>
        </w:trPr>
        <w:tc>
          <w:tcPr>
            <w:tcW w:w="2948"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Particulars</w:t>
            </w:r>
          </w:p>
        </w:tc>
        <w:tc>
          <w:tcPr>
            <w:tcW w:w="1318"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Approved</w:t>
            </w:r>
          </w:p>
        </w:tc>
        <w:tc>
          <w:tcPr>
            <w:tcW w:w="1756"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Actuals as per Audited Accounts</w:t>
            </w:r>
          </w:p>
        </w:tc>
        <w:tc>
          <w:tcPr>
            <w:tcW w:w="1449"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True-up Petition</w:t>
            </w:r>
          </w:p>
        </w:tc>
        <w:tc>
          <w:tcPr>
            <w:tcW w:w="1449"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Allowable</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(b)</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(c)</w:t>
            </w:r>
          </w:p>
        </w:tc>
        <w:tc>
          <w:tcPr>
            <w:tcW w:w="1449" w:type="dxa"/>
            <w:tcBorders>
              <w:top w:val="nil"/>
              <w:left w:val="nil"/>
              <w:bottom w:val="dotted" w:sz="4" w:space="0" w:color="auto"/>
              <w:right w:val="dotted" w:sz="4" w:space="0" w:color="auto"/>
            </w:tcBorders>
            <w:shd w:val="clear" w:color="000000" w:fill="FFFFFF"/>
            <w:noWrap/>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(d)</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(e)</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 Expenses</w:t>
            </w:r>
          </w:p>
        </w:tc>
        <w:tc>
          <w:tcPr>
            <w:tcW w:w="1318"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730.44</w:t>
            </w:r>
          </w:p>
        </w:tc>
        <w:tc>
          <w:tcPr>
            <w:tcW w:w="1756"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757.95</w:t>
            </w:r>
          </w:p>
        </w:tc>
        <w:tc>
          <w:tcPr>
            <w:tcW w:w="1449"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620.05</w:t>
            </w:r>
          </w:p>
        </w:tc>
        <w:tc>
          <w:tcPr>
            <w:tcW w:w="1449"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699.02</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Employee Expenses</w:t>
            </w:r>
          </w:p>
        </w:tc>
        <w:tc>
          <w:tcPr>
            <w:tcW w:w="1318"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70.96</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88.64</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88.64</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88.64</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Repair and Maintenance Expenses</w:t>
            </w:r>
          </w:p>
        </w:tc>
        <w:tc>
          <w:tcPr>
            <w:tcW w:w="1318"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19.51</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18.71</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18.71</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18.71</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A&amp;G Expenses</w:t>
            </w:r>
          </w:p>
        </w:tc>
        <w:tc>
          <w:tcPr>
            <w:tcW w:w="1318"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13.95</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14.76</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14.76</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14.76</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Gross Interest on Long Term Loans</w:t>
            </w:r>
          </w:p>
        </w:tc>
        <w:tc>
          <w:tcPr>
            <w:tcW w:w="1318"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93"/>
              <w:jc w:val="right"/>
              <w:rPr>
                <w:rFonts w:cs="Calibri"/>
                <w:lang w:val="en-US"/>
              </w:rPr>
            </w:pPr>
            <w:r w:rsidRPr="00B53423">
              <w:rPr>
                <w:rFonts w:cs="Calibri"/>
                <w:lang w:val="en-US"/>
              </w:rPr>
              <w:t>10.76</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cs="Calibri"/>
                <w:lang w:val="en-US"/>
              </w:rPr>
            </w:pPr>
            <w:r w:rsidRPr="00B53423">
              <w:rPr>
                <w:rFonts w:cs="Calibri"/>
                <w:lang w:val="en-US"/>
              </w:rPr>
              <w:t>11.86</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cs="Calibri"/>
                <w:lang w:val="en-US"/>
              </w:rPr>
            </w:pPr>
            <w:r w:rsidRPr="00B53423">
              <w:rPr>
                <w:rFonts w:cs="Calibri"/>
              </w:rPr>
              <w:t>2.08</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cs="Calibri"/>
                <w:lang w:val="en-US"/>
              </w:rPr>
            </w:pPr>
            <w:r w:rsidRPr="00B53423">
              <w:rPr>
                <w:rFonts w:cs="Calibri"/>
              </w:rPr>
              <w:t>2.12</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Finance Charges</w:t>
            </w:r>
          </w:p>
        </w:tc>
        <w:tc>
          <w:tcPr>
            <w:tcW w:w="1318"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6.63</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26.96</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26.96</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4.98</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Interest on Working Capital</w:t>
            </w:r>
          </w:p>
        </w:tc>
        <w:tc>
          <w:tcPr>
            <w:tcW w:w="1318"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7.84</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4.66</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6.15</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6.15</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Discount to Consumers</w:t>
            </w:r>
          </w:p>
        </w:tc>
        <w:tc>
          <w:tcPr>
            <w:tcW w:w="1318"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0.00</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0.00</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0.00</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0.00</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Depreciation</w:t>
            </w:r>
          </w:p>
        </w:tc>
        <w:tc>
          <w:tcPr>
            <w:tcW w:w="1318"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24.32</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16.23</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27.06</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27.06</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Prior Period Expenses</w:t>
            </w:r>
            <w:r w:rsidR="00B4098C" w:rsidRPr="00B53423">
              <w:rPr>
                <w:rFonts w:cs="Calibri"/>
                <w:color w:val="000000"/>
                <w:lang w:val="en-US"/>
              </w:rPr>
              <w:t xml:space="preserve"> </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w:t>
            </w:r>
            <w:r w:rsidR="004C74C2" w:rsidRPr="00B53423">
              <w:rPr>
                <w:rFonts w:ascii="Arial" w:hAnsi="Arial" w:cs="Arial"/>
                <w:sz w:val="20"/>
                <w:szCs w:val="20"/>
                <w:lang w:val="en-US"/>
              </w:rPr>
              <w:t>14.25</w:t>
            </w:r>
            <w:r w:rsidRPr="00B53423">
              <w:rPr>
                <w:rFonts w:ascii="Arial" w:hAnsi="Arial" w:cs="Arial"/>
                <w:sz w:val="20"/>
                <w:szCs w:val="20"/>
                <w:lang w:val="en-US"/>
              </w:rPr>
              <w:t>)</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w:t>
            </w:r>
            <w:r w:rsidR="004C74C2" w:rsidRPr="00B53423">
              <w:rPr>
                <w:rFonts w:ascii="Arial" w:hAnsi="Arial" w:cs="Arial"/>
                <w:sz w:val="20"/>
                <w:szCs w:val="20"/>
                <w:lang w:val="en-US"/>
              </w:rPr>
              <w:t>14.25</w:t>
            </w:r>
            <w:r w:rsidRPr="00B53423">
              <w:rPr>
                <w:rFonts w:ascii="Arial" w:hAnsi="Arial" w:cs="Arial"/>
                <w:sz w:val="20"/>
                <w:szCs w:val="20"/>
                <w:lang w:val="en-US"/>
              </w:rPr>
              <w:t>)</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w:t>
            </w:r>
            <w:r w:rsidR="004C74C2" w:rsidRPr="00B53423">
              <w:rPr>
                <w:rFonts w:ascii="Arial" w:hAnsi="Arial" w:cs="Arial"/>
                <w:sz w:val="20"/>
                <w:szCs w:val="20"/>
              </w:rPr>
              <w:t>14.25</w:t>
            </w:r>
            <w:r w:rsidRPr="00B53423">
              <w:rPr>
                <w:rFonts w:ascii="Arial" w:hAnsi="Arial" w:cs="Arial"/>
                <w:sz w:val="20"/>
                <w:szCs w:val="20"/>
              </w:rPr>
              <w:t>)</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0.00</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Other Misc Expenses</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0.00</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2.37</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2.37</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0.00</w:t>
            </w:r>
          </w:p>
        </w:tc>
      </w:tr>
      <w:tr w:rsidR="004C74C2" w:rsidRPr="00B53423" w:rsidTr="009268E4">
        <w:trPr>
          <w:trHeight w:val="6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Provision for Bad and Doubtful Debts</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0.00</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21.19</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45.36</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0.00</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Gross Expenditure</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93"/>
              <w:jc w:val="right"/>
              <w:rPr>
                <w:rFonts w:cs="Calibri"/>
                <w:b/>
                <w:bCs/>
                <w:color w:val="000000"/>
                <w:lang w:val="en-US"/>
              </w:rPr>
            </w:pPr>
            <w:r w:rsidRPr="00B53423">
              <w:rPr>
                <w:rFonts w:cs="Calibri"/>
                <w:b/>
                <w:bCs/>
                <w:color w:val="000000"/>
                <w:lang w:val="en-US"/>
              </w:rPr>
              <w:t>870.16</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cs="Calibri"/>
                <w:b/>
                <w:bCs/>
                <w:color w:val="000000"/>
                <w:lang w:val="en-US"/>
              </w:rPr>
            </w:pPr>
            <w:r w:rsidRPr="00B53423">
              <w:rPr>
                <w:rFonts w:cs="Calibri"/>
                <w:b/>
                <w:bCs/>
                <w:color w:val="000000"/>
                <w:lang w:val="en-US"/>
              </w:rPr>
              <w:t>949.08</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cs="Calibri"/>
                <w:b/>
                <w:bCs/>
                <w:color w:val="000000"/>
                <w:lang w:val="en-US"/>
              </w:rPr>
            </w:pPr>
            <w:r w:rsidRPr="00B53423">
              <w:rPr>
                <w:rFonts w:cs="Calibri"/>
                <w:b/>
                <w:bCs/>
                <w:color w:val="000000"/>
              </w:rPr>
              <w:t>837.90</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cs="Calibri"/>
                <w:b/>
                <w:bCs/>
                <w:color w:val="000000"/>
                <w:lang w:val="en-US"/>
              </w:rPr>
            </w:pPr>
            <w:r w:rsidRPr="00B53423">
              <w:rPr>
                <w:rFonts w:cs="Calibri"/>
                <w:b/>
                <w:bCs/>
                <w:color w:val="000000"/>
              </w:rPr>
              <w:t>861.45</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Employee Capitalisation</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93"/>
              <w:jc w:val="right"/>
              <w:rPr>
                <w:rFonts w:cs="Calibri"/>
                <w:color w:val="000000"/>
                <w:lang w:val="en-US"/>
              </w:rPr>
            </w:pPr>
            <w:r w:rsidRPr="00B53423">
              <w:rPr>
                <w:rFonts w:cs="Calibri"/>
                <w:color w:val="000000"/>
                <w:lang w:val="en-US"/>
              </w:rPr>
              <w:t>1.92</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cs="Calibri"/>
                <w:color w:val="000000"/>
                <w:lang w:val="en-US"/>
              </w:rPr>
            </w:pPr>
            <w:r w:rsidRPr="00B53423">
              <w:rPr>
                <w:rFonts w:cs="Calibri"/>
                <w:color w:val="000000"/>
                <w:lang w:val="en-US"/>
              </w:rPr>
              <w:t>1.92</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cs="Calibri"/>
                <w:color w:val="000000"/>
                <w:lang w:val="en-US"/>
              </w:rPr>
            </w:pPr>
            <w:r w:rsidRPr="00B53423">
              <w:rPr>
                <w:rFonts w:cs="Calibri"/>
                <w:color w:val="000000"/>
              </w:rPr>
              <w:t>1.92</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cs="Calibri"/>
                <w:color w:val="000000"/>
                <w:lang w:val="en-US"/>
              </w:rPr>
            </w:pPr>
            <w:r w:rsidRPr="00B53423">
              <w:rPr>
                <w:rFonts w:cs="Calibri"/>
                <w:color w:val="000000"/>
              </w:rPr>
              <w:t>1.92</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A&amp;G Capitalisation</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93"/>
              <w:jc w:val="right"/>
              <w:rPr>
                <w:rFonts w:cs="Calibri"/>
                <w:color w:val="000000"/>
                <w:lang w:val="en-US"/>
              </w:rPr>
            </w:pPr>
            <w:r w:rsidRPr="00B53423">
              <w:rPr>
                <w:rFonts w:cs="Calibri"/>
                <w:color w:val="000000"/>
                <w:lang w:val="en-US"/>
              </w:rPr>
              <w:t>2.09</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cs="Calibri"/>
                <w:color w:val="000000"/>
                <w:lang w:val="en-US"/>
              </w:rPr>
            </w:pPr>
            <w:r w:rsidRPr="00B53423">
              <w:rPr>
                <w:rFonts w:cs="Calibri"/>
                <w:color w:val="000000"/>
                <w:lang w:val="en-US"/>
              </w:rPr>
              <w:t>0.01</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cs="Calibri"/>
                <w:color w:val="000000"/>
                <w:lang w:val="en-US"/>
              </w:rPr>
            </w:pPr>
            <w:r w:rsidRPr="00B53423">
              <w:rPr>
                <w:rFonts w:cs="Calibri"/>
                <w:color w:val="000000"/>
              </w:rPr>
              <w:t>0.01</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cs="Calibri"/>
                <w:color w:val="000000"/>
                <w:lang w:val="en-US"/>
              </w:rPr>
            </w:pPr>
            <w:r w:rsidRPr="00B53423">
              <w:rPr>
                <w:rFonts w:cs="Calibri"/>
                <w:color w:val="000000"/>
              </w:rPr>
              <w:t>0.01</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Interest Capitalisation</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93"/>
              <w:jc w:val="right"/>
              <w:rPr>
                <w:rFonts w:cs="Calibri"/>
                <w:color w:val="000000"/>
                <w:lang w:val="en-US"/>
              </w:rPr>
            </w:pPr>
            <w:r w:rsidRPr="00B53423">
              <w:rPr>
                <w:rFonts w:cs="Calibri"/>
                <w:color w:val="000000"/>
                <w:lang w:val="en-US"/>
              </w:rPr>
              <w:t>2.47</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cs="Calibri"/>
                <w:color w:val="000000"/>
                <w:lang w:val="en-US"/>
              </w:rPr>
            </w:pPr>
            <w:r w:rsidRPr="00B53423">
              <w:rPr>
                <w:rFonts w:cs="Calibri"/>
                <w:color w:val="000000"/>
                <w:lang w:val="en-US"/>
              </w:rPr>
              <w:t>0.00</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cs="Calibri"/>
                <w:color w:val="000000"/>
                <w:lang w:val="en-US"/>
              </w:rPr>
            </w:pPr>
            <w:r w:rsidRPr="00B53423">
              <w:rPr>
                <w:rFonts w:cs="Calibri"/>
                <w:color w:val="000000"/>
              </w:rPr>
              <w:t>0.00</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cs="Calibri"/>
                <w:color w:val="000000"/>
                <w:lang w:val="en-US"/>
              </w:rPr>
            </w:pPr>
            <w:r w:rsidRPr="00B53423">
              <w:rPr>
                <w:rFonts w:cs="Calibri"/>
                <w:color w:val="000000"/>
              </w:rPr>
              <w:t>0.00</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Capitalisation</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93"/>
              <w:jc w:val="right"/>
              <w:rPr>
                <w:rFonts w:cs="Calibri"/>
                <w:b/>
                <w:bCs/>
                <w:color w:val="000000"/>
                <w:lang w:val="en-US"/>
              </w:rPr>
            </w:pPr>
            <w:r w:rsidRPr="00B53423">
              <w:rPr>
                <w:rFonts w:cs="Calibri"/>
                <w:b/>
                <w:bCs/>
                <w:color w:val="000000"/>
                <w:lang w:val="en-US"/>
              </w:rPr>
              <w:t>6.48</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cs="Calibri"/>
                <w:b/>
                <w:bCs/>
                <w:color w:val="000000"/>
                <w:lang w:val="en-US"/>
              </w:rPr>
            </w:pPr>
            <w:r w:rsidRPr="00B53423">
              <w:rPr>
                <w:rFonts w:cs="Calibri"/>
                <w:b/>
                <w:bCs/>
                <w:color w:val="000000"/>
                <w:lang w:val="en-US"/>
              </w:rPr>
              <w:t>1.94</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cs="Calibri"/>
                <w:b/>
                <w:bCs/>
                <w:color w:val="000000"/>
                <w:lang w:val="en-US"/>
              </w:rPr>
            </w:pPr>
            <w:r w:rsidRPr="00B53423">
              <w:rPr>
                <w:rFonts w:cs="Calibri"/>
                <w:b/>
                <w:bCs/>
                <w:color w:val="000000"/>
              </w:rPr>
              <w:t>1.94</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cs="Calibri"/>
                <w:b/>
                <w:bCs/>
                <w:color w:val="000000"/>
                <w:lang w:val="en-US"/>
              </w:rPr>
            </w:pPr>
            <w:r w:rsidRPr="00B53423">
              <w:rPr>
                <w:rFonts w:cs="Calibri"/>
                <w:b/>
                <w:bCs/>
                <w:color w:val="000000"/>
              </w:rPr>
              <w:t>1.94</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Expenditure</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93"/>
              <w:jc w:val="right"/>
              <w:rPr>
                <w:rFonts w:cs="Calibri"/>
                <w:b/>
                <w:bCs/>
                <w:color w:val="000000"/>
                <w:lang w:val="en-US"/>
              </w:rPr>
            </w:pPr>
            <w:r w:rsidRPr="00B53423">
              <w:rPr>
                <w:rFonts w:cs="Calibri"/>
                <w:b/>
                <w:bCs/>
                <w:color w:val="000000"/>
                <w:lang w:val="en-US"/>
              </w:rPr>
              <w:t>863.68</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cs="Calibri"/>
                <w:b/>
                <w:bCs/>
                <w:color w:val="000000"/>
                <w:lang w:val="en-US"/>
              </w:rPr>
            </w:pPr>
            <w:r w:rsidRPr="00B53423">
              <w:rPr>
                <w:rFonts w:cs="Calibri"/>
                <w:b/>
                <w:bCs/>
                <w:color w:val="000000"/>
                <w:lang w:val="en-US"/>
              </w:rPr>
              <w:t>947.14</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cs="Calibri"/>
                <w:b/>
                <w:bCs/>
                <w:color w:val="000000"/>
                <w:lang w:val="en-US"/>
              </w:rPr>
            </w:pPr>
            <w:r w:rsidRPr="00B53423">
              <w:rPr>
                <w:rFonts w:cs="Calibri"/>
                <w:b/>
                <w:bCs/>
                <w:color w:val="000000"/>
              </w:rPr>
              <w:t>835.96</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cs="Calibri"/>
                <w:b/>
                <w:bCs/>
                <w:color w:val="000000"/>
                <w:lang w:val="en-US"/>
              </w:rPr>
            </w:pPr>
            <w:r w:rsidRPr="00B53423">
              <w:rPr>
                <w:rFonts w:cs="Calibri"/>
                <w:b/>
                <w:bCs/>
                <w:color w:val="000000"/>
              </w:rPr>
              <w:t>859.51</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Add: Return on Equity</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0.00</w:t>
            </w:r>
            <w:r w:rsidR="004C74C2" w:rsidRPr="00B53423">
              <w:rPr>
                <w:rFonts w:ascii="Arial" w:hAnsi="Arial" w:cs="Arial"/>
                <w:sz w:val="20"/>
                <w:szCs w:val="20"/>
                <w:lang w:val="en-US"/>
              </w:rPr>
              <w:t> </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0.00</w:t>
            </w:r>
            <w:r w:rsidR="004C74C2" w:rsidRPr="00B53423">
              <w:rPr>
                <w:rFonts w:ascii="Arial" w:hAnsi="Arial" w:cs="Arial"/>
                <w:sz w:val="20"/>
                <w:szCs w:val="20"/>
                <w:lang w:val="en-US"/>
              </w:rPr>
              <w:t> </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spacing w:before="0" w:line="240" w:lineRule="auto"/>
              <w:ind w:right="338"/>
              <w:jc w:val="right"/>
              <w:rPr>
                <w:rFonts w:ascii="Arial" w:hAnsi="Arial" w:cs="Arial"/>
                <w:sz w:val="20"/>
                <w:szCs w:val="20"/>
                <w:lang w:val="en-US"/>
              </w:rPr>
            </w:pPr>
            <w:r w:rsidRPr="00B53423">
              <w:rPr>
                <w:rFonts w:ascii="Arial" w:hAnsi="Arial" w:cs="Arial"/>
                <w:sz w:val="20"/>
                <w:szCs w:val="20"/>
                <w:lang w:val="en-US"/>
              </w:rPr>
              <w:t>0.00</w:t>
            </w:r>
            <w:r w:rsidR="004C74C2" w:rsidRPr="00B53423">
              <w:rPr>
                <w:rFonts w:ascii="Arial" w:hAnsi="Arial" w:cs="Arial"/>
                <w:sz w:val="20"/>
                <w:szCs w:val="20"/>
                <w:lang w:val="en-US"/>
              </w:rPr>
              <w:t> </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spacing w:before="0" w:line="240" w:lineRule="auto"/>
              <w:ind w:right="257"/>
              <w:jc w:val="right"/>
              <w:rPr>
                <w:rFonts w:ascii="Arial" w:hAnsi="Arial" w:cs="Arial"/>
                <w:sz w:val="20"/>
                <w:szCs w:val="20"/>
                <w:lang w:val="en-US"/>
              </w:rPr>
            </w:pPr>
            <w:r w:rsidRPr="00B53423">
              <w:rPr>
                <w:rFonts w:ascii="Arial" w:hAnsi="Arial" w:cs="Arial"/>
                <w:sz w:val="20"/>
                <w:szCs w:val="20"/>
                <w:lang w:val="en-US"/>
              </w:rPr>
              <w:t>0.00</w:t>
            </w:r>
            <w:r w:rsidR="004C74C2" w:rsidRPr="00B53423">
              <w:rPr>
                <w:rFonts w:ascii="Arial" w:hAnsi="Arial" w:cs="Arial"/>
                <w:sz w:val="20"/>
                <w:szCs w:val="20"/>
                <w:lang w:val="en-US"/>
              </w:rPr>
              <w:t> </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Non-Tariff Incomes</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2.88</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2.54</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2.54</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2.54</w:t>
            </w:r>
          </w:p>
        </w:tc>
      </w:tr>
      <w:tr w:rsidR="004C74C2" w:rsidRPr="00B53423" w:rsidTr="009268E4">
        <w:trPr>
          <w:trHeight w:val="6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Add: Efficiency Gain</w:t>
            </w:r>
            <w:r w:rsidR="00F512B9" w:rsidRPr="00B53423">
              <w:rPr>
                <w:rFonts w:cs="Calibri"/>
                <w:color w:val="000000"/>
                <w:lang w:val="en-US"/>
              </w:rPr>
              <w:t>s</w:t>
            </w:r>
            <w:r w:rsidRPr="00B53423">
              <w:rPr>
                <w:rFonts w:cs="Calibri"/>
                <w:color w:val="000000"/>
                <w:lang w:val="en-US"/>
              </w:rPr>
              <w:t xml:space="preserve"> </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0.00</w:t>
            </w:r>
            <w:r w:rsidR="004C74C2" w:rsidRPr="00B53423">
              <w:rPr>
                <w:rFonts w:ascii="Arial" w:hAnsi="Arial" w:cs="Arial"/>
                <w:sz w:val="20"/>
                <w:szCs w:val="20"/>
                <w:lang w:val="en-US"/>
              </w:rPr>
              <w:t> </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0.00</w:t>
            </w:r>
            <w:r w:rsidR="004C74C2" w:rsidRPr="00B53423">
              <w:rPr>
                <w:rFonts w:ascii="Arial" w:hAnsi="Arial" w:cs="Arial"/>
                <w:sz w:val="20"/>
                <w:szCs w:val="20"/>
                <w:lang w:val="en-US"/>
              </w:rPr>
              <w:t> </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0.40</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5.70</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Annual Revenue Requirement</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93"/>
              <w:jc w:val="right"/>
              <w:rPr>
                <w:rFonts w:cs="Calibri"/>
                <w:b/>
                <w:bCs/>
                <w:color w:val="000000"/>
                <w:lang w:val="en-US"/>
              </w:rPr>
            </w:pPr>
            <w:r w:rsidRPr="00B53423">
              <w:rPr>
                <w:rFonts w:cs="Calibri"/>
                <w:b/>
                <w:bCs/>
                <w:color w:val="000000"/>
                <w:lang w:val="en-US"/>
              </w:rPr>
              <w:t>860.80</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cs="Calibri"/>
                <w:b/>
                <w:bCs/>
                <w:color w:val="000000"/>
                <w:lang w:val="en-US"/>
              </w:rPr>
            </w:pPr>
            <w:r w:rsidRPr="00B53423">
              <w:rPr>
                <w:rFonts w:cs="Calibri"/>
                <w:b/>
                <w:bCs/>
                <w:color w:val="000000"/>
                <w:lang w:val="en-US"/>
              </w:rPr>
              <w:t>944.60</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cs="Calibri"/>
                <w:b/>
                <w:bCs/>
                <w:color w:val="000000"/>
                <w:lang w:val="en-US"/>
              </w:rPr>
            </w:pPr>
            <w:r w:rsidRPr="00B53423">
              <w:rPr>
                <w:rFonts w:cs="Calibri"/>
                <w:b/>
                <w:bCs/>
                <w:color w:val="000000"/>
              </w:rPr>
              <w:t>833.42</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cs="Calibri"/>
                <w:b/>
                <w:bCs/>
                <w:color w:val="000000"/>
                <w:lang w:val="en-US"/>
              </w:rPr>
            </w:pPr>
            <w:r w:rsidRPr="00B53423">
              <w:rPr>
                <w:rFonts w:cs="Calibri"/>
                <w:b/>
                <w:bCs/>
                <w:color w:val="000000"/>
              </w:rPr>
              <w:t>862.67</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Revenue from Tariff including DPS</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93"/>
              <w:jc w:val="right"/>
              <w:rPr>
                <w:rFonts w:ascii="Arial" w:hAnsi="Arial" w:cs="Arial"/>
                <w:sz w:val="20"/>
                <w:szCs w:val="20"/>
                <w:lang w:val="en-US"/>
              </w:rPr>
            </w:pPr>
            <w:r w:rsidRPr="00B53423">
              <w:rPr>
                <w:rFonts w:ascii="Arial" w:hAnsi="Arial" w:cs="Arial"/>
                <w:sz w:val="20"/>
                <w:szCs w:val="20"/>
                <w:lang w:val="en-US"/>
              </w:rPr>
              <w:t>938.28</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ascii="Arial" w:hAnsi="Arial" w:cs="Arial"/>
                <w:sz w:val="20"/>
                <w:szCs w:val="20"/>
                <w:lang w:val="en-US"/>
              </w:rPr>
            </w:pPr>
            <w:r w:rsidRPr="00B53423">
              <w:rPr>
                <w:rFonts w:ascii="Arial" w:hAnsi="Arial" w:cs="Arial"/>
                <w:sz w:val="20"/>
                <w:szCs w:val="20"/>
                <w:lang w:val="en-US"/>
              </w:rPr>
              <w:t>789.51</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ascii="Arial" w:hAnsi="Arial" w:cs="Arial"/>
                <w:sz w:val="20"/>
                <w:szCs w:val="20"/>
                <w:lang w:val="en-US"/>
              </w:rPr>
            </w:pPr>
            <w:r w:rsidRPr="00B53423">
              <w:rPr>
                <w:rFonts w:ascii="Arial" w:hAnsi="Arial" w:cs="Arial"/>
                <w:sz w:val="20"/>
                <w:szCs w:val="20"/>
              </w:rPr>
              <w:t>789.51</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ascii="Arial" w:hAnsi="Arial" w:cs="Arial"/>
                <w:sz w:val="20"/>
                <w:szCs w:val="20"/>
                <w:lang w:val="en-US"/>
              </w:rPr>
            </w:pPr>
            <w:r w:rsidRPr="00B53423">
              <w:rPr>
                <w:rFonts w:ascii="Arial" w:hAnsi="Arial" w:cs="Arial"/>
                <w:sz w:val="20"/>
                <w:szCs w:val="20"/>
              </w:rPr>
              <w:t>789.51</w:t>
            </w:r>
          </w:p>
        </w:tc>
      </w:tr>
      <w:tr w:rsidR="004C74C2" w:rsidRPr="00B53423" w:rsidTr="009268E4">
        <w:trPr>
          <w:trHeight w:val="300"/>
        </w:trPr>
        <w:tc>
          <w:tcPr>
            <w:tcW w:w="2948"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Revenue Gap</w:t>
            </w:r>
          </w:p>
        </w:tc>
        <w:tc>
          <w:tcPr>
            <w:tcW w:w="1318"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93"/>
              <w:jc w:val="right"/>
              <w:rPr>
                <w:rFonts w:cs="Calibri"/>
                <w:b/>
                <w:bCs/>
                <w:color w:val="000000"/>
                <w:lang w:val="en-US"/>
              </w:rPr>
            </w:pPr>
            <w:r w:rsidRPr="00B53423">
              <w:rPr>
                <w:rFonts w:cs="Calibri"/>
                <w:b/>
                <w:bCs/>
                <w:color w:val="000000"/>
                <w:lang w:val="en-US"/>
              </w:rPr>
              <w:t>-77.48</w:t>
            </w:r>
          </w:p>
        </w:tc>
        <w:tc>
          <w:tcPr>
            <w:tcW w:w="1756"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29"/>
              <w:jc w:val="right"/>
              <w:rPr>
                <w:rFonts w:cs="Calibri"/>
                <w:b/>
                <w:bCs/>
                <w:color w:val="000000"/>
                <w:lang w:val="en-US"/>
              </w:rPr>
            </w:pPr>
            <w:r w:rsidRPr="00B53423">
              <w:rPr>
                <w:rFonts w:cs="Calibri"/>
                <w:b/>
                <w:bCs/>
                <w:color w:val="000000"/>
                <w:lang w:val="en-US"/>
              </w:rPr>
              <w:t>155.08</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338"/>
              <w:jc w:val="right"/>
              <w:rPr>
                <w:rFonts w:cs="Calibri"/>
                <w:b/>
                <w:bCs/>
                <w:color w:val="000000"/>
                <w:lang w:val="en-US"/>
              </w:rPr>
            </w:pPr>
            <w:r w:rsidRPr="00B53423">
              <w:rPr>
                <w:rFonts w:cs="Calibri"/>
                <w:b/>
                <w:bCs/>
                <w:color w:val="000000"/>
              </w:rPr>
              <w:t>43.90</w:t>
            </w:r>
          </w:p>
        </w:tc>
        <w:tc>
          <w:tcPr>
            <w:tcW w:w="1449"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7"/>
              <w:jc w:val="right"/>
              <w:rPr>
                <w:rFonts w:cs="Calibri"/>
                <w:b/>
                <w:bCs/>
                <w:color w:val="000000"/>
                <w:lang w:val="en-US"/>
              </w:rPr>
            </w:pPr>
            <w:r w:rsidRPr="00B53423">
              <w:rPr>
                <w:rFonts w:cs="Calibri"/>
                <w:b/>
                <w:bCs/>
                <w:color w:val="000000"/>
              </w:rPr>
              <w:t>73.15</w:t>
            </w:r>
          </w:p>
        </w:tc>
      </w:tr>
    </w:tbl>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ind w:hanging="1080"/>
      </w:pPr>
      <w:r w:rsidRPr="00B53423">
        <w:t xml:space="preserve">The Petitioner requested the Commission to consider the revenue side True-up and expense side True-up as per the aforementioned Sections wherein the net revenue gap has been computed at Rs. 43.50 Crore before considering any efficiency gains. The Petitioner further submitted that it is also entitled for efficiency gains of Rs. 0.40 Crore; thereby the net entitlement under the True-up for FY 2009-10 is Rs.  43.90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However, as observed from the above Table, against the gap of Rs. 43.90 Crore claimed by the Petitioner for Truing-up of FY 2009-10, the Commission has worked out the gap of Rs. 73.15 Crore while carrying out the Truing-up on the basis of the Audited Accounts. The Commission has discussed the treatment of above revenue gap subsequently in this Order</w:t>
      </w:r>
    </w:p>
    <w:p w:rsidR="004C74C2" w:rsidRPr="00B53423" w:rsidRDefault="004C74C2" w:rsidP="0015232B">
      <w:pPr>
        <w:pStyle w:val="Heading3"/>
        <w:keepNext w:val="0"/>
        <w:numPr>
          <w:ilvl w:val="0"/>
          <w:numId w:val="0"/>
        </w:numPr>
        <w:ind w:left="450"/>
      </w:pPr>
    </w:p>
    <w:p w:rsidR="004C74C2" w:rsidRPr="00B53423" w:rsidRDefault="004C74C2" w:rsidP="0015232B">
      <w:pPr>
        <w:spacing w:before="0" w:after="200"/>
        <w:jc w:val="left"/>
      </w:pPr>
      <w:r w:rsidRPr="00B53423">
        <w:rPr>
          <w:b/>
          <w:bCs/>
        </w:rPr>
        <w:br w:type="page"/>
      </w:r>
    </w:p>
    <w:p w:rsidR="004C74C2" w:rsidRPr="00B53423" w:rsidRDefault="003A6B3B" w:rsidP="0015232B">
      <w:pPr>
        <w:pStyle w:val="Heading1"/>
        <w:keepNext w:val="0"/>
        <w:numPr>
          <w:ilvl w:val="0"/>
          <w:numId w:val="1"/>
        </w:numPr>
        <w:ind w:left="720" w:hanging="1080"/>
        <w:rPr>
          <w:color w:val="auto"/>
        </w:rPr>
      </w:pPr>
      <w:bookmarkStart w:id="490" w:name="_Toc399626189"/>
      <w:r w:rsidRPr="00B53423">
        <w:rPr>
          <w:color w:val="auto"/>
        </w:rPr>
        <w:t>TRUING UP OF AGGREGATE REVENUE REQUIREMENT FOR FY 2010-11</w:t>
      </w:r>
      <w:bookmarkEnd w:id="490"/>
    </w:p>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491" w:name="_Toc399626190"/>
      <w:r w:rsidRPr="00B53423">
        <w:t>BACKGROUND</w:t>
      </w:r>
      <w:bookmarkEnd w:id="491"/>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has sought the final Truing-up of expenditure and revenue for FY 2008-09 to FY 2011-12 based on actual expenditure and revenue as per Audited Accounts. In this Section, the Commission has analysed all the elements of actual revenue and expenses for FY 2010-11 and has undertaken the Truing-up of expenses and revenue after prudence check on the data made available by the Petitioner.</w:t>
      </w:r>
    </w:p>
    <w:p w:rsidR="004C74C2" w:rsidRPr="00B53423" w:rsidRDefault="004C74C2" w:rsidP="0015232B">
      <w:pPr>
        <w:pStyle w:val="Heading2"/>
        <w:keepNext w:val="0"/>
        <w:numPr>
          <w:ilvl w:val="0"/>
          <w:numId w:val="0"/>
        </w:numPr>
        <w:ind w:left="450"/>
      </w:pPr>
    </w:p>
    <w:p w:rsidR="004C74C2" w:rsidRPr="00B53423" w:rsidRDefault="004C74C2" w:rsidP="0015232B">
      <w:pPr>
        <w:pStyle w:val="Heading2"/>
        <w:keepNext w:val="0"/>
        <w:ind w:left="720" w:hanging="1080"/>
      </w:pPr>
      <w:bookmarkStart w:id="492" w:name="_Toc399626191"/>
      <w:r w:rsidRPr="00B53423">
        <w:t>POWER PURCHASE QUANTUM AND COST FOR FY 2010-11</w:t>
      </w:r>
      <w:bookmarkEnd w:id="492"/>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19</w:t>
      </w:r>
      <w:r w:rsidRPr="00B53423">
        <w:rPr>
          <w:vertAlign w:val="superscript"/>
        </w:rPr>
        <w:t>th</w:t>
      </w:r>
      <w:r w:rsidRPr="00B53423">
        <w:t xml:space="preserve"> October, 2012 in Petition No. 751 / 2011 and 798 / 2012 for FY 2010-11, the Commission had approved the power purchase cost of Rs. 885.81 Crore towards a projected purchase of 2941.92 MU. The Petitioner submitted that the actual power purchase in FY 20</w:t>
      </w:r>
      <w:r w:rsidR="00F126DD" w:rsidRPr="00B53423">
        <w:t>10-11</w:t>
      </w:r>
      <w:r w:rsidRPr="00B53423">
        <w:t xml:space="preserve"> was 2940.01 MU at a cost of Rs. 884.94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 submitted that it has considered the following philosophy for computing the allowable power purchase cost: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numPr>
          <w:ilvl w:val="0"/>
          <w:numId w:val="5"/>
        </w:numPr>
      </w:pPr>
      <w:r w:rsidRPr="00B53423">
        <w:t xml:space="preserve">The Petitioner has first calculated the allowable power purchase input which has been calculated by grossing up the actual energy sales by the approved T&amp;D loss target of FY 2010-11. </w:t>
      </w:r>
    </w:p>
    <w:p w:rsidR="004C74C2" w:rsidRPr="00B53423" w:rsidRDefault="004C74C2" w:rsidP="0015232B">
      <w:pPr>
        <w:pStyle w:val="Heading3"/>
        <w:keepNext w:val="0"/>
        <w:numPr>
          <w:ilvl w:val="0"/>
          <w:numId w:val="0"/>
        </w:numPr>
        <w:ind w:left="1170"/>
      </w:pPr>
    </w:p>
    <w:p w:rsidR="004C74C2" w:rsidRPr="00B53423" w:rsidRDefault="004C74C2" w:rsidP="0015232B">
      <w:pPr>
        <w:pStyle w:val="Heading3"/>
        <w:keepNext w:val="0"/>
        <w:numPr>
          <w:ilvl w:val="0"/>
          <w:numId w:val="5"/>
        </w:numPr>
      </w:pPr>
      <w:r w:rsidRPr="00B53423">
        <w:t>The allowable power purchase cost has been computed by multiplying the derived allowable power purchase input by the actual power purchase rate as per Audited Accounts.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Thus, considering the above philosophy the Petitioner has claimed an allowable power purchase expenses of Rs. 864.94 Crore in FY 2010-11.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in its Order dated 21</w:t>
      </w:r>
      <w:r w:rsidRPr="00B53423">
        <w:rPr>
          <w:vertAlign w:val="superscript"/>
        </w:rPr>
        <w:t>st</w:t>
      </w:r>
      <w:r w:rsidRPr="00B53423">
        <w:t xml:space="preserve"> May, 2013 has concurred with the philosophy considered by the Petitioner, wherein the efficiency target of T&amp;D loss level, was considered as controllable parameter, and thereupon the power purchase cost consequent to under-achievement of T&amp;D loss was disallowed. The Commission in its</w:t>
      </w:r>
      <w:r w:rsidR="00F126DD" w:rsidRPr="00B53423">
        <w:t xml:space="preserve"> Tariff </w:t>
      </w:r>
      <w:r w:rsidRPr="00B53423">
        <w:t>Order</w:t>
      </w:r>
      <w:r w:rsidR="00F126DD" w:rsidRPr="00B53423">
        <w:t xml:space="preserve"> of DVVNL for FY 2014-15 </w:t>
      </w:r>
      <w:r w:rsidRPr="00B53423">
        <w:t>has determined the Trued-up bulk supply tariff of Rs.3.14 per kWh for FY 2010-11.</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Considering the allowable power purchase quantum of 2873.57 MU and the Trued-up power purchase rate of Rs. 3.14 per kWh, the allowable power purchase cost has been assessed at Rs. 900.79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table below summarises the sales, distribution losses, energy balance, power purchase quantum and cost approved in the Tariff Order, as submitted by the Petitioner in the Truing-up Petition and as approved by the Commission in this Order after Truing-up of FY 2010-11:</w:t>
      </w:r>
    </w:p>
    <w:p w:rsidR="004C74C2" w:rsidRPr="00B53423" w:rsidRDefault="004C74C2" w:rsidP="0015232B">
      <w:pPr>
        <w:pStyle w:val="Heading3"/>
        <w:keepNext w:val="0"/>
        <w:numPr>
          <w:ilvl w:val="0"/>
          <w:numId w:val="0"/>
        </w:numPr>
        <w:ind w:left="720"/>
      </w:pPr>
    </w:p>
    <w:p w:rsidR="004C74C2" w:rsidRPr="00B53423" w:rsidRDefault="004C74C2" w:rsidP="0015232B">
      <w:pPr>
        <w:spacing w:before="0"/>
        <w:jc w:val="center"/>
        <w:rPr>
          <w:rFonts w:asciiTheme="minorHAnsi" w:hAnsiTheme="minorHAnsi" w:cstheme="minorHAnsi"/>
          <w:b/>
        </w:rPr>
      </w:pPr>
    </w:p>
    <w:p w:rsidR="004C74C2" w:rsidRPr="00B53423" w:rsidRDefault="004C74C2" w:rsidP="0015232B">
      <w:pPr>
        <w:spacing w:before="0"/>
        <w:jc w:val="center"/>
        <w:rPr>
          <w:rFonts w:asciiTheme="minorHAnsi" w:hAnsiTheme="minorHAnsi" w:cstheme="minorHAnsi"/>
          <w:b/>
        </w:rPr>
      </w:pPr>
      <w:bookmarkStart w:id="493" w:name="_Toc399626359"/>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w:t>
      </w:r>
      <w:r w:rsidR="005D68E7" w:rsidRPr="00B53423">
        <w:rPr>
          <w:rFonts w:asciiTheme="minorHAnsi" w:hAnsiTheme="minorHAnsi" w:cstheme="minorHAnsi"/>
          <w:b/>
        </w:rPr>
        <w:fldChar w:fldCharType="end"/>
      </w:r>
      <w:r w:rsidRPr="00B53423">
        <w:rPr>
          <w:rFonts w:asciiTheme="minorHAnsi" w:hAnsiTheme="minorHAnsi" w:cstheme="minorHAnsi"/>
          <w:b/>
        </w:rPr>
        <w:t>: ALLOWABLE POWER PURCHASE COST FOR FY 2010-11</w:t>
      </w:r>
      <w:bookmarkEnd w:id="493"/>
    </w:p>
    <w:tbl>
      <w:tblPr>
        <w:tblW w:w="0" w:type="auto"/>
        <w:tblInd w:w="-522" w:type="dxa"/>
        <w:tblLayout w:type="fixed"/>
        <w:tblLook w:val="04A0"/>
      </w:tblPr>
      <w:tblGrid>
        <w:gridCol w:w="3625"/>
        <w:gridCol w:w="1179"/>
        <w:gridCol w:w="1053"/>
        <w:gridCol w:w="1260"/>
        <w:gridCol w:w="1080"/>
        <w:gridCol w:w="1325"/>
      </w:tblGrid>
      <w:tr w:rsidR="004C74C2" w:rsidRPr="00B53423" w:rsidTr="002B3D6B">
        <w:trPr>
          <w:trHeight w:val="288"/>
        </w:trPr>
        <w:tc>
          <w:tcPr>
            <w:tcW w:w="3625" w:type="dxa"/>
            <w:vMerge w:val="restart"/>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Particulars</w:t>
            </w:r>
          </w:p>
        </w:tc>
        <w:tc>
          <w:tcPr>
            <w:tcW w:w="1179" w:type="dxa"/>
            <w:vMerge w:val="restart"/>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Unit</w:t>
            </w:r>
          </w:p>
        </w:tc>
        <w:tc>
          <w:tcPr>
            <w:tcW w:w="1053" w:type="dxa"/>
            <w:vMerge w:val="restart"/>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Tariff Order</w:t>
            </w:r>
          </w:p>
        </w:tc>
        <w:tc>
          <w:tcPr>
            <w:tcW w:w="1260" w:type="dxa"/>
            <w:vMerge w:val="restart"/>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sz w:val="20"/>
                <w:szCs w:val="20"/>
                <w:lang w:val="en-US"/>
              </w:rPr>
            </w:pPr>
            <w:r w:rsidRPr="00B53423">
              <w:rPr>
                <w:rFonts w:cs="Calibri"/>
                <w:b/>
                <w:bCs/>
                <w:sz w:val="20"/>
                <w:szCs w:val="20"/>
                <w:lang w:val="en-US"/>
              </w:rPr>
              <w:t>Actuals as per Audited Accounts</w:t>
            </w:r>
          </w:p>
        </w:tc>
        <w:tc>
          <w:tcPr>
            <w:tcW w:w="1080" w:type="dxa"/>
            <w:vMerge w:val="restart"/>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1325" w:type="dxa"/>
            <w:vMerge w:val="restart"/>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2B3D6B">
        <w:trPr>
          <w:trHeight w:val="244"/>
        </w:trPr>
        <w:tc>
          <w:tcPr>
            <w:tcW w:w="3625"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179"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053"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260"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sz w:val="20"/>
                <w:szCs w:val="20"/>
                <w:lang w:val="en-US"/>
              </w:rPr>
            </w:pPr>
          </w:p>
        </w:tc>
        <w:tc>
          <w:tcPr>
            <w:tcW w:w="1080"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325"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r>
      <w:tr w:rsidR="004C74C2" w:rsidRPr="00B53423" w:rsidTr="002B3D6B">
        <w:trPr>
          <w:trHeight w:val="20"/>
        </w:trPr>
        <w:tc>
          <w:tcPr>
            <w:tcW w:w="3625"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MU</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2941.92</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2940.01</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2940.01</w:t>
            </w:r>
          </w:p>
        </w:tc>
        <w:tc>
          <w:tcPr>
            <w:tcW w:w="132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2940.01</w:t>
            </w:r>
          </w:p>
        </w:tc>
      </w:tr>
      <w:tr w:rsidR="004C74C2" w:rsidRPr="00B53423" w:rsidTr="002B3D6B">
        <w:trPr>
          <w:trHeight w:val="144"/>
        </w:trPr>
        <w:tc>
          <w:tcPr>
            <w:tcW w:w="3625"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Energy Sales</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MU</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1887.32</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1843.47</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1843.47</w:t>
            </w:r>
          </w:p>
        </w:tc>
        <w:tc>
          <w:tcPr>
            <w:tcW w:w="132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1843.47</w:t>
            </w:r>
          </w:p>
        </w:tc>
      </w:tr>
      <w:tr w:rsidR="004C74C2" w:rsidRPr="00B53423" w:rsidTr="002B3D6B">
        <w:trPr>
          <w:trHeight w:val="300"/>
        </w:trPr>
        <w:tc>
          <w:tcPr>
            <w:tcW w:w="3625"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w:t>
            </w:r>
            <w:r w:rsidR="003E399E" w:rsidRPr="00B53423">
              <w:rPr>
                <w:rFonts w:cs="Calibri"/>
                <w:color w:val="000000"/>
                <w:lang w:val="en-US"/>
              </w:rPr>
              <w:t xml:space="preserve">istribution </w:t>
            </w:r>
            <w:r w:rsidRPr="00B53423">
              <w:rPr>
                <w:rFonts w:cs="Calibri"/>
                <w:color w:val="000000"/>
                <w:lang w:val="en-US"/>
              </w:rPr>
              <w:t xml:space="preserve"> Loss</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35.85%</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37.30%</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2B3D6B" w:rsidP="0015232B">
            <w:pPr>
              <w:spacing w:before="0" w:line="240" w:lineRule="auto"/>
              <w:jc w:val="right"/>
              <w:rPr>
                <w:rFonts w:cs="Calibri"/>
                <w:color w:val="000000"/>
              </w:rPr>
            </w:pPr>
            <w:r w:rsidRPr="00B53423">
              <w:rPr>
                <w:rFonts w:cs="Calibri"/>
                <w:color w:val="000000"/>
              </w:rPr>
              <w:t>35.85</w:t>
            </w:r>
            <w:r w:rsidR="004C74C2" w:rsidRPr="00B53423">
              <w:rPr>
                <w:rFonts w:cs="Calibri"/>
                <w:color w:val="000000"/>
              </w:rPr>
              <w:t>%</w:t>
            </w:r>
          </w:p>
        </w:tc>
        <w:tc>
          <w:tcPr>
            <w:tcW w:w="132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35.85%</w:t>
            </w:r>
          </w:p>
        </w:tc>
      </w:tr>
      <w:tr w:rsidR="004C74C2" w:rsidRPr="00B53423" w:rsidTr="002B3D6B">
        <w:trPr>
          <w:trHeight w:val="300"/>
        </w:trPr>
        <w:tc>
          <w:tcPr>
            <w:tcW w:w="3625"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 Cost</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Rs. Crore</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885.81</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884.94</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884.94</w:t>
            </w:r>
          </w:p>
        </w:tc>
        <w:tc>
          <w:tcPr>
            <w:tcW w:w="132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r>
      <w:tr w:rsidR="004C74C2" w:rsidRPr="00B53423" w:rsidTr="002B3D6B">
        <w:trPr>
          <w:trHeight w:val="300"/>
        </w:trPr>
        <w:tc>
          <w:tcPr>
            <w:tcW w:w="3625"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 Cost per unit</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Rs. /kWh</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3.011</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3.010</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3.010</w:t>
            </w:r>
          </w:p>
        </w:tc>
        <w:tc>
          <w:tcPr>
            <w:tcW w:w="132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3.135</w:t>
            </w:r>
          </w:p>
        </w:tc>
      </w:tr>
      <w:tr w:rsidR="004C74C2" w:rsidRPr="00B53423" w:rsidTr="002B3D6B">
        <w:trPr>
          <w:trHeight w:val="300"/>
        </w:trPr>
        <w:tc>
          <w:tcPr>
            <w:tcW w:w="3625"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Allowable Power Purchase Input</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MU</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2873.57</w:t>
            </w:r>
          </w:p>
        </w:tc>
        <w:tc>
          <w:tcPr>
            <w:tcW w:w="132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2873.57</w:t>
            </w:r>
          </w:p>
        </w:tc>
      </w:tr>
      <w:tr w:rsidR="004C74C2" w:rsidRPr="00B53423" w:rsidTr="002B3D6B">
        <w:trPr>
          <w:trHeight w:val="377"/>
        </w:trPr>
        <w:tc>
          <w:tcPr>
            <w:tcW w:w="3625"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Allowable Power Purchase Cost at BST</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lang w:val="en-US"/>
              </w:rPr>
              <w:t xml:space="preserve">Rs. </w:t>
            </w:r>
            <w:r w:rsidR="002B3D6B" w:rsidRPr="00B53423">
              <w:rPr>
                <w:rFonts w:cs="Calibri"/>
                <w:color w:val="000000"/>
                <w:lang w:val="en-US"/>
              </w:rPr>
              <w:t>Crore</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864.94</w:t>
            </w:r>
            <w:r w:rsidR="002B3D6B" w:rsidRPr="00B53423">
              <w:rPr>
                <w:rFonts w:cs="Calibri"/>
                <w:color w:val="000000"/>
              </w:rPr>
              <w:t>*</w:t>
            </w:r>
          </w:p>
        </w:tc>
        <w:tc>
          <w:tcPr>
            <w:tcW w:w="1325"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900.79</w:t>
            </w:r>
          </w:p>
        </w:tc>
      </w:tr>
    </w:tbl>
    <w:p w:rsidR="004C74C2" w:rsidRPr="00B53423" w:rsidRDefault="003A6B3B" w:rsidP="0015232B">
      <w:pPr>
        <w:pStyle w:val="Heading3"/>
        <w:keepNext w:val="0"/>
        <w:numPr>
          <w:ilvl w:val="0"/>
          <w:numId w:val="0"/>
        </w:numPr>
        <w:ind w:left="450"/>
        <w:rPr>
          <w:i/>
          <w:sz w:val="20"/>
          <w:szCs w:val="20"/>
        </w:rPr>
      </w:pPr>
      <w:r w:rsidRPr="00B53423">
        <w:rPr>
          <w:i/>
          <w:sz w:val="20"/>
          <w:szCs w:val="20"/>
        </w:rPr>
        <w:t>*Power Purchase</w:t>
      </w:r>
      <w:r w:rsidR="003E399E" w:rsidRPr="00B53423">
        <w:rPr>
          <w:i/>
          <w:sz w:val="20"/>
          <w:szCs w:val="20"/>
        </w:rPr>
        <w:t xml:space="preserve"> </w:t>
      </w:r>
      <w:proofErr w:type="gramStart"/>
      <w:r w:rsidR="003E399E" w:rsidRPr="00B53423">
        <w:rPr>
          <w:i/>
          <w:sz w:val="20"/>
          <w:szCs w:val="20"/>
        </w:rPr>
        <w:t xml:space="preserve">cost </w:t>
      </w:r>
      <w:r w:rsidRPr="00B53423">
        <w:rPr>
          <w:i/>
          <w:sz w:val="20"/>
          <w:szCs w:val="20"/>
        </w:rPr>
        <w:t xml:space="preserve"> at</w:t>
      </w:r>
      <w:proofErr w:type="gramEnd"/>
      <w:r w:rsidRPr="00B53423">
        <w:rPr>
          <w:i/>
          <w:sz w:val="20"/>
          <w:szCs w:val="20"/>
        </w:rPr>
        <w:t xml:space="preserve"> pooled cost as submitted by the Petitioner</w:t>
      </w:r>
    </w:p>
    <w:p w:rsidR="00564993" w:rsidRPr="00B53423" w:rsidRDefault="00564993" w:rsidP="0015232B">
      <w:pPr>
        <w:pStyle w:val="Heading2"/>
        <w:keepNext w:val="0"/>
        <w:numPr>
          <w:ilvl w:val="0"/>
          <w:numId w:val="0"/>
        </w:numPr>
        <w:ind w:left="720"/>
      </w:pPr>
    </w:p>
    <w:p w:rsidR="004C74C2" w:rsidRPr="00B53423" w:rsidRDefault="004C74C2" w:rsidP="0015232B">
      <w:pPr>
        <w:pStyle w:val="Heading2"/>
        <w:keepNext w:val="0"/>
        <w:ind w:left="720" w:hanging="1080"/>
      </w:pPr>
      <w:bookmarkStart w:id="494" w:name="_Toc399626192"/>
      <w:r w:rsidRPr="00B53423">
        <w:t>TRANSMISSION CHARGES</w:t>
      </w:r>
      <w:bookmarkEnd w:id="494"/>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19</w:t>
      </w:r>
      <w:r w:rsidRPr="00B53423">
        <w:rPr>
          <w:vertAlign w:val="superscript"/>
        </w:rPr>
        <w:t>th</w:t>
      </w:r>
      <w:r w:rsidRPr="00B53423">
        <w:t xml:space="preserve"> October, 2012 in Petition No. 751 / 2011 and 798 / 2012 for FY 2010-11, the Commission had approved the Transmission Charges of Rs. 42.41 Crore towards a projected power purchase of 2941.92 MU. The Petitioner submitted that the actual Power Purchase in FY 2010-11 was 2940.01 MU incurring </w:t>
      </w:r>
      <w:r w:rsidR="009A76A5" w:rsidRPr="00B53423">
        <w:t>T</w:t>
      </w:r>
      <w:r w:rsidRPr="00B53423">
        <w:t xml:space="preserve">ransmission </w:t>
      </w:r>
      <w:r w:rsidR="009A76A5" w:rsidRPr="00B53423">
        <w:t>C</w:t>
      </w:r>
      <w:r w:rsidRPr="00B53423">
        <w:t>harges to the tune of Rs. 37.04 Crore as per the Audited Accounts. The Petitioner further submitted that the allowable power purchase input for FY 2010-11 works out to 2873.57 MU and therefore for the purpose of claiming the Trued-up of Transmission Charges this allowable power purchase input has been taken into consideration. The Petitioner further submitted that the Transmission Charge of Rs. 0.1513 per kWh has been considered equivalent to the rate submitted by UPPTCL in its True-up Petition No. 883/2013 filed before the Commission on 29</w:t>
      </w:r>
      <w:r w:rsidRPr="00B53423">
        <w:rPr>
          <w:vertAlign w:val="superscript"/>
        </w:rPr>
        <w:t>th</w:t>
      </w:r>
      <w:r w:rsidRPr="00B53423">
        <w:t xml:space="preserve"> November, 2013 for True up of FY 2010-11. The Petitioner further submitted that the allowable Transmission Charges for FY 2010-11 works out Rs. 43.47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Accordingly, the Petitioner has claimed allowable Transmission Charges of Rs. 43.47 Crore against the actual transmission charges of Rs. 37.04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in its Tariff Order dated 19</w:t>
      </w:r>
      <w:r w:rsidRPr="00B53423">
        <w:rPr>
          <w:vertAlign w:val="superscript"/>
        </w:rPr>
        <w:t>th</w:t>
      </w:r>
      <w:r w:rsidRPr="00B53423">
        <w:t xml:space="preserve"> October, 2012 in Petition No. 751 / 2011 and 798 / 2012 had prescribed the distribution loss targets for the Petitioner. The Commission has computed the allowable power purchase by grossing up the actual energy sales by the approved distribution loss target. It is observed that the Petitioner has considered Transmission Charges at the rate equivalent to the rate submitted by UPPTCL in its True-up Petition, however, the True up Order in the matter of Petition No. 849 / 2012 and 883 / 2013 was issued by the Commission on 31</w:t>
      </w:r>
      <w:r w:rsidRPr="00B53423">
        <w:rPr>
          <w:vertAlign w:val="superscript"/>
        </w:rPr>
        <w:t>st</w:t>
      </w:r>
      <w:r w:rsidRPr="00B53423">
        <w:t xml:space="preserve"> May, 2013. Thus, to derive the allowable Transmission Charges the allowable power purchase input has been multiplied by the trued up transmission tariff for Truing-up.</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Accordingly, the Table below provides the allowable Transmission Charges for the Petitioner for FY 2010-11</w:t>
      </w:r>
    </w:p>
    <w:p w:rsidR="004C74C2" w:rsidRPr="00B53423" w:rsidRDefault="004C74C2" w:rsidP="0015232B">
      <w:pPr>
        <w:pStyle w:val="ListParagraph"/>
        <w:spacing w:before="240"/>
        <w:ind w:left="432"/>
        <w:rPr>
          <w:rFonts w:asciiTheme="minorHAnsi" w:hAnsiTheme="minorHAnsi" w:cstheme="minorHAnsi"/>
          <w:b/>
        </w:rPr>
      </w:pPr>
      <w:bookmarkStart w:id="495" w:name="_Toc399626360"/>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w:t>
      </w:r>
      <w:r w:rsidR="005D68E7" w:rsidRPr="00B53423">
        <w:rPr>
          <w:rFonts w:asciiTheme="minorHAnsi" w:hAnsiTheme="minorHAnsi" w:cstheme="minorHAnsi"/>
          <w:b/>
        </w:rPr>
        <w:fldChar w:fldCharType="end"/>
      </w:r>
      <w:r w:rsidRPr="00B53423">
        <w:rPr>
          <w:rFonts w:asciiTheme="minorHAnsi" w:hAnsiTheme="minorHAnsi" w:cstheme="minorHAnsi"/>
          <w:b/>
        </w:rPr>
        <w:t>: ALLOWABLE TRANSMISSION CHARGES FOR FY 2010-11 (Rs. Crore)</w:t>
      </w:r>
      <w:bookmarkEnd w:id="495"/>
    </w:p>
    <w:tbl>
      <w:tblPr>
        <w:tblW w:w="8266" w:type="dxa"/>
        <w:jc w:val="center"/>
        <w:tblInd w:w="90" w:type="dxa"/>
        <w:tblLook w:val="04A0"/>
      </w:tblPr>
      <w:tblGrid>
        <w:gridCol w:w="3980"/>
        <w:gridCol w:w="1053"/>
        <w:gridCol w:w="1128"/>
        <w:gridCol w:w="1140"/>
        <w:gridCol w:w="1215"/>
      </w:tblGrid>
      <w:tr w:rsidR="004C74C2" w:rsidRPr="00B53423" w:rsidTr="009268E4">
        <w:trPr>
          <w:trHeight w:val="300"/>
          <w:tblHeader/>
          <w:jc w:val="center"/>
        </w:trPr>
        <w:tc>
          <w:tcPr>
            <w:tcW w:w="398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b/>
                <w:bCs/>
                <w:color w:val="000000"/>
                <w:lang w:val="en-IN" w:eastAsia="en-IN"/>
              </w:rPr>
            </w:pPr>
            <w:r w:rsidRPr="00B53423">
              <w:rPr>
                <w:b/>
                <w:bCs/>
                <w:color w:val="000000"/>
                <w:lang w:val="en-IN" w:eastAsia="en-IN"/>
              </w:rPr>
              <w:t>Particulars</w:t>
            </w:r>
          </w:p>
        </w:tc>
        <w:tc>
          <w:tcPr>
            <w:tcW w:w="1053"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b/>
                <w:bCs/>
                <w:color w:val="000000"/>
                <w:lang w:val="en-IN" w:eastAsia="en-IN"/>
              </w:rPr>
            </w:pPr>
            <w:r w:rsidRPr="00B53423">
              <w:rPr>
                <w:b/>
                <w:bCs/>
                <w:color w:val="000000"/>
                <w:lang w:val="en-IN" w:eastAsia="en-IN"/>
              </w:rPr>
              <w:t>Tariff Order</w:t>
            </w:r>
          </w:p>
        </w:tc>
        <w:tc>
          <w:tcPr>
            <w:tcW w:w="10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b/>
                <w:bCs/>
                <w:color w:val="000000"/>
                <w:lang w:val="en-IN" w:eastAsia="en-IN"/>
              </w:rPr>
            </w:pPr>
            <w:r w:rsidRPr="00B53423">
              <w:rPr>
                <w:b/>
                <w:bCs/>
                <w:color w:val="000000"/>
                <w:lang w:val="en-IN" w:eastAsia="en-IN"/>
              </w:rPr>
              <w:t>Actuals as per Audited Accounts</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b/>
                <w:bCs/>
                <w:color w:val="000000"/>
                <w:lang w:val="en-IN" w:eastAsia="en-IN"/>
              </w:rPr>
            </w:pPr>
            <w:r w:rsidRPr="00B53423">
              <w:rPr>
                <w:b/>
                <w:bCs/>
                <w:color w:val="000000"/>
                <w:lang w:val="en-IN" w:eastAsia="en-IN"/>
              </w:rPr>
              <w:t>True-up Petition</w:t>
            </w:r>
          </w:p>
        </w:tc>
        <w:tc>
          <w:tcPr>
            <w:tcW w:w="1053"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b/>
                <w:bCs/>
                <w:color w:val="000000"/>
                <w:lang w:val="en-IN" w:eastAsia="en-IN"/>
              </w:rPr>
            </w:pPr>
            <w:r w:rsidRPr="00B53423">
              <w:rPr>
                <w:b/>
                <w:bCs/>
                <w:color w:val="000000"/>
                <w:lang w:val="en-IN" w:eastAsia="en-IN"/>
              </w:rPr>
              <w:t>Allowable</w:t>
            </w:r>
          </w:p>
        </w:tc>
      </w:tr>
      <w:tr w:rsidR="004C74C2" w:rsidRPr="00B53423" w:rsidTr="009268E4">
        <w:trPr>
          <w:trHeight w:val="300"/>
          <w:jc w:val="center"/>
        </w:trPr>
        <w:tc>
          <w:tcPr>
            <w:tcW w:w="398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color w:val="000000"/>
                <w:lang w:val="en-IN" w:eastAsia="en-IN"/>
              </w:rPr>
            </w:pPr>
            <w:r w:rsidRPr="00B53423">
              <w:rPr>
                <w:color w:val="000000"/>
              </w:rPr>
              <w:t>Allowable Units Wheeled (MU)</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 </w:t>
            </w:r>
          </w:p>
        </w:tc>
        <w:tc>
          <w:tcPr>
            <w:tcW w:w="10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 </w:t>
            </w:r>
          </w:p>
        </w:tc>
        <w:tc>
          <w:tcPr>
            <w:tcW w:w="11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2873.57</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2873.57</w:t>
            </w:r>
          </w:p>
        </w:tc>
      </w:tr>
      <w:tr w:rsidR="004C74C2" w:rsidRPr="00B53423" w:rsidTr="009268E4">
        <w:trPr>
          <w:trHeight w:val="300"/>
          <w:jc w:val="center"/>
        </w:trPr>
        <w:tc>
          <w:tcPr>
            <w:tcW w:w="398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color w:val="000000"/>
                <w:lang w:val="en-IN" w:eastAsia="en-IN"/>
              </w:rPr>
            </w:pPr>
            <w:r w:rsidRPr="00B53423">
              <w:rPr>
                <w:color w:val="000000"/>
              </w:rPr>
              <w:t>Trued up Transmission Charge (Rs/kWh)</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0.15</w:t>
            </w:r>
          </w:p>
        </w:tc>
        <w:tc>
          <w:tcPr>
            <w:tcW w:w="10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 </w:t>
            </w:r>
          </w:p>
        </w:tc>
        <w:tc>
          <w:tcPr>
            <w:tcW w:w="11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0.15</w:t>
            </w:r>
            <w:r w:rsidR="002B3D6B" w:rsidRPr="00B53423">
              <w:rPr>
                <w:rFonts w:asciiTheme="minorHAnsi" w:hAnsiTheme="minorHAnsi" w:cstheme="minorHAnsi"/>
              </w:rPr>
              <w:t>16</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0.1</w:t>
            </w:r>
            <w:r w:rsidR="002B3D6B" w:rsidRPr="00B53423">
              <w:rPr>
                <w:rFonts w:asciiTheme="minorHAnsi" w:hAnsiTheme="minorHAnsi" w:cstheme="minorHAnsi"/>
              </w:rPr>
              <w:t>354</w:t>
            </w:r>
          </w:p>
        </w:tc>
      </w:tr>
      <w:tr w:rsidR="004C74C2" w:rsidRPr="00B53423" w:rsidTr="009268E4">
        <w:trPr>
          <w:trHeight w:val="300"/>
          <w:jc w:val="center"/>
        </w:trPr>
        <w:tc>
          <w:tcPr>
            <w:tcW w:w="398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color w:val="000000"/>
                <w:lang w:val="en-IN" w:eastAsia="en-IN"/>
              </w:rPr>
            </w:pPr>
            <w:r w:rsidRPr="00B53423">
              <w:rPr>
                <w:b/>
                <w:bCs/>
                <w:color w:val="000000"/>
              </w:rPr>
              <w:t>Transmission Charges (Rs Crore)</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42.41</w:t>
            </w:r>
          </w:p>
        </w:tc>
        <w:tc>
          <w:tcPr>
            <w:tcW w:w="10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37.04</w:t>
            </w:r>
          </w:p>
        </w:tc>
        <w:tc>
          <w:tcPr>
            <w:tcW w:w="11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43.47</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38.91</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496" w:name="_Toc399626193"/>
      <w:r w:rsidRPr="00B53423">
        <w:t>O&amp;M EXPENSES</w:t>
      </w:r>
      <w:bookmarkEnd w:id="496"/>
      <w:r w:rsidRPr="00B53423">
        <w:t xml:space="preserv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Operation and Maintenance (O&amp;M) expenses comprise of employee related costs, A&amp;G expenses and R&amp;M expenditure.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Petitioner’s submissions on each of the heads of O&amp;M expenditure for FY 2010-11, and the Commission’s analysis on the Truing-up of O&amp;M expenditure heads are detailed below: </w:t>
      </w:r>
    </w:p>
    <w:p w:rsidR="004C74C2" w:rsidRPr="00B53423" w:rsidRDefault="004C74C2" w:rsidP="0015232B">
      <w:pPr>
        <w:spacing w:before="240"/>
        <w:rPr>
          <w:rFonts w:asciiTheme="minorHAnsi" w:hAnsiTheme="minorHAnsi" w:cstheme="minorHAnsi"/>
        </w:rPr>
      </w:pPr>
    </w:p>
    <w:p w:rsidR="004C74C2" w:rsidRPr="00B53423" w:rsidRDefault="004C74C2" w:rsidP="0015232B">
      <w:pPr>
        <w:pStyle w:val="Heading3"/>
        <w:keepNext w:val="0"/>
        <w:ind w:hanging="1080"/>
      </w:pPr>
      <w:r w:rsidRPr="00B53423">
        <w:t>The Petitioner submitted that the actual net employee expenses for FY 2010-11 is Rs. 90.11 Crore as against approved expenses of Rs. 85.27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actual net administrative and general expense for the FY 2010-11 is Rs. 8.38 Crore against the approved expenses of Rs. 15.54 Crore. The Petitioner submitted that the actual A&amp;G expenses are below the approved expenses, thereby making the Petitioner eligible for efficiency gain. The Petitioner added that accordingly the net entitlement of A&amp;G expenses for FY 2010-11 is Rs. 11.96 Crore against the approved expenses of Rs. 15.54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actual R&amp;M expense for FY 2010-11 is Rs. 26.73 Crore as against Rs. 21.46 Crore approved in the Tariff Order for FY 2010-11.</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In reply to the Commission’s query regarding the basis of capitalization the Petitioner added that the capitalisation of Employee expenses and A&amp;G expenses for FY 2010-11 has been done on the basis of Audited Accounts of FY 2010-11.</w:t>
      </w:r>
    </w:p>
    <w:p w:rsidR="004C74C2" w:rsidRPr="00B53423" w:rsidRDefault="004C74C2" w:rsidP="0015232B">
      <w:pPr>
        <w:spacing w:before="240"/>
        <w:rPr>
          <w:rFonts w:asciiTheme="minorHAnsi" w:hAnsiTheme="minorHAnsi" w:cstheme="minorHAnsi"/>
        </w:rPr>
      </w:pPr>
    </w:p>
    <w:p w:rsidR="004C74C2" w:rsidRPr="00B53423" w:rsidRDefault="004C74C2" w:rsidP="0015232B">
      <w:pPr>
        <w:pStyle w:val="Heading3"/>
        <w:keepNext w:val="0"/>
        <w:ind w:hanging="1080"/>
      </w:pPr>
      <w:r w:rsidRPr="00B53423">
        <w:t xml:space="preserve">The normative gross employee expenses for FY 2010-11 have been considered by escalating the component wise normative O&amp;M expenses of FY 2009-10 by escalation index of 9.96% approved in </w:t>
      </w:r>
      <w:fldSimple w:instr=" REF _Ref395785845 \h  \* MERGEFORMAT ">
        <w:r w:rsidR="00847C1B" w:rsidRPr="00847C1B">
          <w:t xml:space="preserve">Table </w:t>
        </w:r>
        <w:r w:rsidR="00847C1B" w:rsidRPr="00847C1B">
          <w:rPr>
            <w:noProof/>
          </w:rPr>
          <w:t>4</w:t>
        </w:r>
        <w:r w:rsidR="00847C1B" w:rsidRPr="00847C1B">
          <w:rPr>
            <w:noProof/>
          </w:rPr>
          <w:noBreakHyphen/>
          <w:t>3</w:t>
        </w:r>
      </w:fldSimple>
      <w:r w:rsidRPr="00B53423">
        <w:t xml:space="preserve"> above.</w:t>
      </w:r>
    </w:p>
    <w:p w:rsidR="004C74C2" w:rsidRPr="00B53423" w:rsidRDefault="004C74C2" w:rsidP="0015232B">
      <w:pPr>
        <w:pStyle w:val="Heading3"/>
        <w:keepNext w:val="0"/>
        <w:numPr>
          <w:ilvl w:val="0"/>
          <w:numId w:val="0"/>
        </w:numPr>
        <w:ind w:left="450"/>
        <w:rPr>
          <w:i/>
        </w:rPr>
      </w:pPr>
    </w:p>
    <w:p w:rsidR="004C74C2" w:rsidRPr="00B53423" w:rsidRDefault="004C74C2" w:rsidP="0015232B">
      <w:pPr>
        <w:pStyle w:val="Heading3"/>
        <w:keepNext w:val="0"/>
        <w:ind w:hanging="1080"/>
        <w:rPr>
          <w:i/>
        </w:rPr>
      </w:pPr>
      <w:r w:rsidRPr="00B53423">
        <w:t>Further, in addition to the normative O&amp;M cost based on inflationary indices based escalation, incremental O&amp;M expenses at 2.5% on addition to assets during the previous year has also been computed based on Regulation 4.3 (3) of the Distribution Tariff Regulations 2006.</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Since, the normative O&amp;M expenses computed based on the Distribution Tariff Regulations, 2006 is higher than the actual audited O&amp;M expenses for FY 2010-11, hence, for the reasons detailed in Para</w:t>
      </w:r>
      <w:r w:rsidR="009A76A5" w:rsidRPr="00B53423">
        <w:t xml:space="preserve"> </w:t>
      </w:r>
      <w:fldSimple w:instr=" REF _Ref396853544 \r \h  \* MERGEFORMAT ">
        <w:r w:rsidR="00847C1B">
          <w:t>4.4.12</w:t>
        </w:r>
      </w:fldSimple>
      <w:r w:rsidRPr="00B53423">
        <w:t xml:space="preserve"> of </w:t>
      </w:r>
      <w:r w:rsidR="009A76A5" w:rsidRPr="00B53423">
        <w:t>Chapter</w:t>
      </w:r>
      <w:r w:rsidRPr="00B53423">
        <w:t xml:space="preserve"> 4 of this Order, the Commission has approved actual audited O&amp;M expenses as claimed by the Petitioner for FY 2010-11. </w:t>
      </w:r>
    </w:p>
    <w:p w:rsidR="004C74C2" w:rsidRPr="00B53423" w:rsidRDefault="004C74C2" w:rsidP="0015232B">
      <w:pPr>
        <w:spacing w:before="240"/>
      </w:pPr>
    </w:p>
    <w:p w:rsidR="004C74C2" w:rsidRPr="00B53423" w:rsidRDefault="004C74C2" w:rsidP="0015232B">
      <w:pPr>
        <w:pStyle w:val="Heading3"/>
        <w:keepNext w:val="0"/>
        <w:ind w:hanging="1080"/>
      </w:pPr>
      <w:r w:rsidRPr="00B53423">
        <w:t>In reply to the Commission’s query regarding whether CGRF expenses have been included in O&amp;M expenses, the Petitioner submitted that the CGRF expenses are part of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CGRF framework approved by the Commission. As detailed in the para</w:t>
      </w:r>
      <w:r w:rsidR="009A76A5" w:rsidRPr="00B53423">
        <w:t xml:space="preserve"> </w:t>
      </w:r>
      <w:fldSimple w:instr=" REF _Ref396853574 \r \h  \* MERGEFORMAT ">
        <w:r w:rsidR="00847C1B">
          <w:t>4.4.13</w:t>
        </w:r>
      </w:fldSimple>
      <w:r w:rsidRPr="00B53423">
        <w:t xml:space="preserve"> above the Commission has not allowed any additional allowance towards the CGRF expenses.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In reply to the Commission’s query regarding the details of expenses incurred towards allocation of Interest Charges and O&amp;M Expenses of UPPCL, the Petitioner submitted the chart depicting the allocation of O&amp;M Expenses of UPPCL as shown below:</w:t>
      </w:r>
    </w:p>
    <w:p w:rsidR="004C74C2" w:rsidRPr="00B53423" w:rsidRDefault="004C74C2" w:rsidP="0015232B">
      <w:pPr>
        <w:pStyle w:val="ListParagraph"/>
        <w:ind w:left="180"/>
      </w:pPr>
    </w:p>
    <w:p w:rsidR="004C74C2" w:rsidRPr="00B53423" w:rsidRDefault="004C74C2" w:rsidP="0015232B">
      <w:pPr>
        <w:jc w:val="center"/>
        <w:rPr>
          <w:rFonts w:asciiTheme="minorHAnsi" w:hAnsiTheme="minorHAnsi" w:cstheme="minorHAnsi"/>
          <w:b/>
        </w:rPr>
      </w:pPr>
      <w:bookmarkStart w:id="497" w:name="_Toc399626361"/>
      <w:r w:rsidRPr="00B53423">
        <w:rPr>
          <w:rFonts w:asciiTheme="minorHAnsi" w:hAnsiTheme="minorHAnsi" w:cstheme="minorHAnsi"/>
          <w:b/>
          <w:caps/>
        </w:rPr>
        <w:t xml:space="preserve">Table </w:t>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STYLEREF 1 \s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6</w:t>
      </w:r>
      <w:r w:rsidR="005D68E7" w:rsidRPr="00B53423">
        <w:rPr>
          <w:rFonts w:asciiTheme="minorHAnsi" w:hAnsiTheme="minorHAnsi" w:cstheme="minorHAnsi"/>
          <w:b/>
          <w:caps/>
        </w:rPr>
        <w:fldChar w:fldCharType="end"/>
      </w:r>
      <w:r w:rsidRPr="00B53423">
        <w:rPr>
          <w:rFonts w:asciiTheme="minorHAnsi" w:hAnsiTheme="minorHAnsi" w:cstheme="minorHAnsi"/>
          <w:b/>
          <w:caps/>
        </w:rPr>
        <w:noBreakHyphen/>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SEQ Table \* ARABIC \s 1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3</w:t>
      </w:r>
      <w:r w:rsidR="005D68E7" w:rsidRPr="00B53423">
        <w:rPr>
          <w:rFonts w:asciiTheme="minorHAnsi" w:hAnsiTheme="minorHAnsi" w:cstheme="minorHAnsi"/>
          <w:b/>
          <w:caps/>
        </w:rPr>
        <w:fldChar w:fldCharType="end"/>
      </w:r>
      <w:r w:rsidRPr="00B53423">
        <w:rPr>
          <w:rFonts w:asciiTheme="minorHAnsi" w:hAnsiTheme="minorHAnsi" w:cstheme="minorHAnsi"/>
          <w:b/>
          <w:caps/>
        </w:rPr>
        <w:t>:</w:t>
      </w:r>
      <w:r w:rsidRPr="00B53423">
        <w:rPr>
          <w:rFonts w:asciiTheme="minorHAnsi" w:hAnsiTheme="minorHAnsi" w:cstheme="minorHAnsi"/>
          <w:b/>
        </w:rPr>
        <w:t xml:space="preserve"> </w:t>
      </w:r>
      <w:r w:rsidRPr="00B53423">
        <w:rPr>
          <w:rFonts w:asciiTheme="minorHAnsi" w:hAnsiTheme="minorHAnsi" w:cstheme="minorHAnsi"/>
          <w:b/>
          <w:caps/>
        </w:rPr>
        <w:t>Allocation of O&amp;M EXPENSES IN FY 2010-11</w:t>
      </w:r>
      <w:r w:rsidRPr="00B53423">
        <w:rPr>
          <w:rFonts w:asciiTheme="minorHAnsi" w:hAnsiTheme="minorHAnsi" w:cstheme="minorHAnsi"/>
          <w:b/>
        </w:rPr>
        <w:t xml:space="preserve"> (Rs. Crore)</w:t>
      </w:r>
      <w:bookmarkEnd w:id="497"/>
    </w:p>
    <w:tbl>
      <w:tblPr>
        <w:tblW w:w="7128" w:type="dxa"/>
        <w:tblInd w:w="7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34"/>
        <w:gridCol w:w="1894"/>
      </w:tblGrid>
      <w:tr w:rsidR="004C74C2" w:rsidRPr="00B53423" w:rsidTr="009268E4">
        <w:trPr>
          <w:trHeight w:val="600"/>
          <w:tblHeader/>
        </w:trPr>
        <w:tc>
          <w:tcPr>
            <w:tcW w:w="5234"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lang w:val="en-US"/>
              </w:rPr>
            </w:pPr>
            <w:r w:rsidRPr="00B53423">
              <w:rPr>
                <w:b/>
                <w:bCs/>
                <w:color w:val="000000"/>
                <w:lang w:val="en-US"/>
              </w:rPr>
              <w:t>Particulars</w:t>
            </w:r>
          </w:p>
        </w:tc>
        <w:tc>
          <w:tcPr>
            <w:tcW w:w="1894"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lang w:val="en-US"/>
              </w:rPr>
            </w:pPr>
            <w:r w:rsidRPr="00B53423">
              <w:rPr>
                <w:b/>
                <w:bCs/>
                <w:color w:val="000000"/>
                <w:lang w:val="en-US"/>
              </w:rPr>
              <w:t>Amount</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color w:val="000000"/>
                <w:lang w:val="en-US"/>
              </w:rPr>
            </w:pPr>
            <w:r w:rsidRPr="00B53423">
              <w:rPr>
                <w:color w:val="000000"/>
                <w:lang w:val="en-US"/>
              </w:rPr>
              <w:t>Employees Expenses</w:t>
            </w:r>
          </w:p>
        </w:tc>
        <w:tc>
          <w:tcPr>
            <w:tcW w:w="1894" w:type="dxa"/>
            <w:shd w:val="clear" w:color="auto" w:fill="auto"/>
            <w:vAlign w:val="center"/>
            <w:hideMark/>
          </w:tcPr>
          <w:p w:rsidR="004C74C2" w:rsidRPr="00B53423" w:rsidRDefault="004C74C2" w:rsidP="0015232B">
            <w:pPr>
              <w:spacing w:before="0" w:line="240" w:lineRule="auto"/>
              <w:ind w:right="432"/>
              <w:jc w:val="right"/>
              <w:rPr>
                <w:color w:val="000000"/>
                <w:lang w:val="en-US"/>
              </w:rPr>
            </w:pPr>
            <w:r w:rsidRPr="00B53423">
              <w:rPr>
                <w:color w:val="000000"/>
                <w:lang w:val="en-US"/>
              </w:rPr>
              <w:t>5.93</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color w:val="000000"/>
                <w:lang w:val="en-US"/>
              </w:rPr>
            </w:pPr>
            <w:r w:rsidRPr="00B53423">
              <w:rPr>
                <w:color w:val="000000"/>
                <w:lang w:val="en-US"/>
              </w:rPr>
              <w:t>Administrative, General &amp; Other Expenses</w:t>
            </w:r>
          </w:p>
        </w:tc>
        <w:tc>
          <w:tcPr>
            <w:tcW w:w="1894" w:type="dxa"/>
            <w:shd w:val="clear" w:color="auto" w:fill="auto"/>
            <w:vAlign w:val="center"/>
            <w:hideMark/>
          </w:tcPr>
          <w:p w:rsidR="004C74C2" w:rsidRPr="00B53423" w:rsidRDefault="004C74C2" w:rsidP="0015232B">
            <w:pPr>
              <w:spacing w:before="0" w:line="240" w:lineRule="auto"/>
              <w:ind w:right="432"/>
              <w:jc w:val="right"/>
              <w:rPr>
                <w:color w:val="000000"/>
                <w:lang w:val="en-US"/>
              </w:rPr>
            </w:pPr>
            <w:r w:rsidRPr="00B53423">
              <w:rPr>
                <w:color w:val="000000"/>
                <w:lang w:val="en-US"/>
              </w:rPr>
              <w:t>12.24</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color w:val="000000"/>
                <w:lang w:val="en-US"/>
              </w:rPr>
            </w:pPr>
            <w:r w:rsidRPr="00B53423">
              <w:rPr>
                <w:color w:val="000000"/>
                <w:lang w:val="en-US"/>
              </w:rPr>
              <w:t>Repairs and Maintenance Expenses</w:t>
            </w:r>
          </w:p>
        </w:tc>
        <w:tc>
          <w:tcPr>
            <w:tcW w:w="1894" w:type="dxa"/>
            <w:shd w:val="clear" w:color="auto" w:fill="auto"/>
            <w:vAlign w:val="center"/>
            <w:hideMark/>
          </w:tcPr>
          <w:p w:rsidR="004C74C2" w:rsidRPr="00B53423" w:rsidRDefault="004C74C2" w:rsidP="0015232B">
            <w:pPr>
              <w:spacing w:before="0" w:line="240" w:lineRule="auto"/>
              <w:ind w:right="432"/>
              <w:jc w:val="right"/>
              <w:rPr>
                <w:color w:val="000000"/>
                <w:lang w:val="en-US"/>
              </w:rPr>
            </w:pPr>
            <w:r w:rsidRPr="00B53423">
              <w:rPr>
                <w:color w:val="000000"/>
                <w:lang w:val="en-US"/>
              </w:rPr>
              <w:t>121.29</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b/>
                <w:bCs/>
                <w:color w:val="000000"/>
                <w:lang w:val="en-US"/>
              </w:rPr>
            </w:pPr>
            <w:r w:rsidRPr="00B53423">
              <w:rPr>
                <w:b/>
                <w:bCs/>
                <w:color w:val="000000"/>
                <w:lang w:val="en-US"/>
              </w:rPr>
              <w:t>Total</w:t>
            </w:r>
          </w:p>
        </w:tc>
        <w:tc>
          <w:tcPr>
            <w:tcW w:w="1894" w:type="dxa"/>
            <w:shd w:val="clear" w:color="auto" w:fill="auto"/>
            <w:vAlign w:val="center"/>
            <w:hideMark/>
          </w:tcPr>
          <w:p w:rsidR="004C74C2" w:rsidRPr="00B53423" w:rsidRDefault="004C74C2" w:rsidP="0015232B">
            <w:pPr>
              <w:spacing w:before="0" w:line="240" w:lineRule="auto"/>
              <w:ind w:right="432"/>
              <w:jc w:val="right"/>
              <w:rPr>
                <w:b/>
                <w:bCs/>
                <w:color w:val="000000"/>
                <w:lang w:val="en-US"/>
              </w:rPr>
            </w:pPr>
            <w:r w:rsidRPr="00B53423">
              <w:rPr>
                <w:b/>
                <w:bCs/>
                <w:color w:val="000000"/>
                <w:lang w:val="en-US"/>
              </w:rPr>
              <w:t>139.46</w:t>
            </w:r>
          </w:p>
        </w:tc>
      </w:tr>
    </w:tbl>
    <w:p w:rsidR="004C74C2" w:rsidRPr="00B53423" w:rsidRDefault="004C74C2" w:rsidP="0015232B">
      <w:pPr>
        <w:spacing w:before="0" w:line="312" w:lineRule="auto"/>
        <w:rPr>
          <w:rFonts w:asciiTheme="minorHAnsi" w:hAnsiTheme="minorHAnsi"/>
          <w:sz w:val="22"/>
          <w:szCs w:val="22"/>
        </w:rPr>
      </w:pPr>
    </w:p>
    <w:p w:rsidR="004C74C2" w:rsidRPr="00B53423" w:rsidRDefault="004C74C2" w:rsidP="0015232B">
      <w:pPr>
        <w:spacing w:line="312" w:lineRule="auto"/>
        <w:jc w:val="center"/>
        <w:rPr>
          <w:rFonts w:asciiTheme="minorHAnsi" w:hAnsiTheme="minorHAnsi"/>
          <w:b/>
          <w:sz w:val="22"/>
          <w:szCs w:val="22"/>
        </w:rPr>
      </w:pPr>
      <w:bookmarkStart w:id="498" w:name="_Toc399626362"/>
      <w:r w:rsidRPr="00B53423">
        <w:rPr>
          <w:rFonts w:asciiTheme="minorHAnsi" w:hAnsiTheme="minorHAnsi" w:cstheme="minorHAnsi"/>
          <w:b/>
          <w:caps/>
        </w:rPr>
        <w:t xml:space="preserve">Table </w:t>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STYLEREF 1 \s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6</w:t>
      </w:r>
      <w:r w:rsidR="005D68E7" w:rsidRPr="00B53423">
        <w:rPr>
          <w:rFonts w:asciiTheme="minorHAnsi" w:hAnsiTheme="minorHAnsi" w:cstheme="minorHAnsi"/>
          <w:b/>
          <w:caps/>
        </w:rPr>
        <w:fldChar w:fldCharType="end"/>
      </w:r>
      <w:r w:rsidRPr="00B53423">
        <w:rPr>
          <w:rFonts w:asciiTheme="minorHAnsi" w:hAnsiTheme="minorHAnsi" w:cstheme="minorHAnsi"/>
          <w:b/>
          <w:caps/>
        </w:rPr>
        <w:noBreakHyphen/>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SEQ Table \* ARABIC \s 1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4</w:t>
      </w:r>
      <w:r w:rsidR="005D68E7" w:rsidRPr="00B53423">
        <w:rPr>
          <w:rFonts w:asciiTheme="minorHAnsi" w:hAnsiTheme="minorHAnsi" w:cstheme="minorHAnsi"/>
          <w:b/>
          <w:caps/>
        </w:rPr>
        <w:fldChar w:fldCharType="end"/>
      </w:r>
      <w:r w:rsidRPr="00B53423">
        <w:rPr>
          <w:rFonts w:asciiTheme="minorHAnsi" w:hAnsiTheme="minorHAnsi" w:cstheme="minorHAnsi"/>
          <w:b/>
          <w:caps/>
        </w:rPr>
        <w:t>: Allocation of O&amp;M expenses among DisTRIBUTION LICENSEES in FY 2010-11</w:t>
      </w:r>
      <w:bookmarkEnd w:id="498"/>
      <w:r w:rsidRPr="00B53423">
        <w:rPr>
          <w:rFonts w:asciiTheme="minorHAnsi" w:hAnsiTheme="minorHAnsi" w:cstheme="minorHAnsi"/>
          <w:b/>
          <w:caps/>
        </w:rPr>
        <w:t xml:space="preserve"> </w:t>
      </w:r>
    </w:p>
    <w:tbl>
      <w:tblPr>
        <w:tblW w:w="8450" w:type="dxa"/>
        <w:jc w:val="center"/>
        <w:tblInd w:w="-24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tblPr>
      <w:tblGrid>
        <w:gridCol w:w="2411"/>
        <w:gridCol w:w="2340"/>
        <w:gridCol w:w="3699"/>
      </w:tblGrid>
      <w:tr w:rsidR="004C74C2" w:rsidRPr="00B53423" w:rsidTr="009268E4">
        <w:trPr>
          <w:trHeight w:val="558"/>
          <w:tblHeader/>
          <w:jc w:val="center"/>
        </w:trPr>
        <w:tc>
          <w:tcPr>
            <w:tcW w:w="2411"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rPr>
            </w:pPr>
            <w:r w:rsidRPr="00B53423">
              <w:rPr>
                <w:b/>
                <w:bCs/>
                <w:color w:val="000000"/>
              </w:rPr>
              <w:t>Name of Distribution Licensees</w:t>
            </w:r>
          </w:p>
        </w:tc>
        <w:tc>
          <w:tcPr>
            <w:tcW w:w="2340" w:type="dxa"/>
            <w:shd w:val="clear" w:color="auto" w:fill="DBE5F1" w:themeFill="accent1" w:themeFillTint="33"/>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Sales Input (MU)</w:t>
            </w:r>
          </w:p>
        </w:tc>
        <w:tc>
          <w:tcPr>
            <w:tcW w:w="3699" w:type="dxa"/>
            <w:shd w:val="clear" w:color="auto" w:fill="DBE5F1" w:themeFill="accent1" w:themeFillTint="33"/>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O&amp;M Expenses Allocated (Rs. Crore)</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DVVNL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14,296</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color w:val="000000"/>
              </w:rPr>
            </w:pPr>
            <w:r w:rsidRPr="00B53423">
              <w:rPr>
                <w:color w:val="000000"/>
              </w:rPr>
              <w:t>32.08</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left="343" w:hanging="343"/>
              <w:jc w:val="center"/>
              <w:rPr>
                <w:color w:val="000000"/>
              </w:rPr>
            </w:pPr>
            <w:r w:rsidRPr="00B53423">
              <w:rPr>
                <w:color w:val="000000"/>
              </w:rPr>
              <w:t>MVVNL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10,945</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color w:val="000000"/>
              </w:rPr>
            </w:pPr>
            <w:r w:rsidRPr="00B53423">
              <w:rPr>
                <w:color w:val="000000"/>
              </w:rPr>
              <w:t>24.56</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PVVNL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19,640</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color w:val="000000"/>
              </w:rPr>
            </w:pPr>
            <w:r w:rsidRPr="00B53423">
              <w:rPr>
                <w:color w:val="000000"/>
              </w:rPr>
              <w:t>44.08</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PuVVNL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rFonts w:cs="Tahoma"/>
                <w:color w:val="000000"/>
              </w:rPr>
            </w:pPr>
            <w:r w:rsidRPr="00B53423">
              <w:rPr>
                <w:color w:val="000000"/>
              </w:rPr>
              <w:t>14,012</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rFonts w:cs="Tahoma"/>
                <w:color w:val="000000"/>
              </w:rPr>
            </w:pPr>
            <w:r w:rsidRPr="00B53423">
              <w:rPr>
                <w:color w:val="000000"/>
              </w:rPr>
              <w:t>31.45</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KESCO</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2,940</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color w:val="000000"/>
              </w:rPr>
            </w:pPr>
            <w:r w:rsidRPr="00B53423">
              <w:rPr>
                <w:color w:val="000000"/>
              </w:rPr>
              <w:t>6.60</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NPCL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310</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color w:val="000000"/>
              </w:rPr>
            </w:pPr>
            <w:r w:rsidRPr="00B53423">
              <w:rPr>
                <w:color w:val="000000"/>
              </w:rPr>
              <w:t>0.70</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Total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b/>
                <w:bCs/>
                <w:color w:val="000000"/>
              </w:rPr>
            </w:pPr>
            <w:r w:rsidRPr="00B53423">
              <w:rPr>
                <w:b/>
                <w:bCs/>
                <w:color w:val="000000"/>
              </w:rPr>
              <w:t>62,142</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b/>
                <w:bCs/>
                <w:color w:val="000000"/>
              </w:rPr>
            </w:pPr>
            <w:r w:rsidRPr="00B53423">
              <w:rPr>
                <w:b/>
                <w:bCs/>
                <w:color w:val="000000"/>
              </w:rPr>
              <w:t>139.46</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rPr>
          <w:color w:val="FF0000"/>
        </w:rPr>
      </w:pPr>
      <w:r w:rsidRPr="00B53423">
        <w:t>As detailed in earlier para</w:t>
      </w:r>
      <w:r w:rsidR="009A76A5" w:rsidRPr="00B53423">
        <w:t xml:space="preserve"> </w:t>
      </w:r>
      <w:fldSimple w:instr=" REF _Ref396853616 \r \h  \* MERGEFORMAT ">
        <w:r w:rsidR="00847C1B">
          <w:t>4.4.15</w:t>
        </w:r>
      </w:fldSimple>
      <w:r w:rsidRPr="00B53423">
        <w:t xml:space="preserve"> the Commission has considered the allocation of O&amp;M expenses of UPPCL while computing the Bulk supply tariff itself hence no separate allocation in this regards has been allowed while doing the Truing-up of FY 2010-11.</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Further, the Petitioner has also claimed efficiency gain on account of A&amp;G expenses of Rs. 3.58 Crore in addition to A&amp;G expenses of Rs. 8.38 Crore resulting into net A&amp;G expenses of Rs. 11.96 Crore. As explained in earlier para</w:t>
      </w:r>
      <w:r w:rsidR="009A76A5" w:rsidRPr="00B53423">
        <w:t xml:space="preserve"> </w:t>
      </w:r>
      <w:fldSimple w:instr=" REF _Ref396853647 \r \h  \* MERGEFORMAT ">
        <w:r w:rsidR="00847C1B">
          <w:t>4.4.18</w:t>
        </w:r>
      </w:fldSimple>
      <w:r w:rsidRPr="00B53423">
        <w:t xml:space="preserve"> the Commission has allowed sharing of efficiency gains with respect to normative O&amp;M expenses for Truing-up of FY 2010-11 which works out to Rs. 9.87 Crore as against Rs. 3.58 Crore as claimed by the Petitioner. The Commission has allowed the sharing of efficiency gain on account of O&amp;M expenses separately in the ARR and has not included the same in the O&amp;M expenses as claimed by the Petitioner.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Accordingly, the summary of O&amp;M expenses approved in the Tariff Order, claimed by the Petitioner and that approved by the Commission in this Order for Truing </w:t>
      </w:r>
      <w:proofErr w:type="gramStart"/>
      <w:r w:rsidRPr="00B53423">
        <w:t>Up</w:t>
      </w:r>
      <w:proofErr w:type="gramEnd"/>
      <w:r w:rsidRPr="00B53423">
        <w:t xml:space="preserve"> of FY 2010-11 is shown in the Table below:</w:t>
      </w:r>
    </w:p>
    <w:p w:rsidR="004C74C2" w:rsidRPr="00B53423" w:rsidRDefault="004C74C2" w:rsidP="0015232B">
      <w:pPr>
        <w:jc w:val="center"/>
        <w:rPr>
          <w:rFonts w:asciiTheme="minorHAnsi" w:hAnsiTheme="minorHAnsi" w:cstheme="minorHAnsi"/>
          <w:b/>
        </w:rPr>
      </w:pPr>
    </w:p>
    <w:p w:rsidR="004C74C2" w:rsidRPr="00B53423" w:rsidRDefault="004C74C2" w:rsidP="0015232B">
      <w:pPr>
        <w:jc w:val="center"/>
        <w:rPr>
          <w:rFonts w:asciiTheme="minorHAnsi" w:hAnsiTheme="minorHAnsi" w:cstheme="minorHAnsi"/>
          <w:b/>
        </w:rPr>
      </w:pPr>
      <w:bookmarkStart w:id="499" w:name="_Toc399626363"/>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t>: O&amp;M EXPENSES APPROVED BY THE COMMISSION (Rs. Crore)</w:t>
      </w:r>
      <w:bookmarkEnd w:id="499"/>
    </w:p>
    <w:tbl>
      <w:tblPr>
        <w:tblW w:w="5065" w:type="pct"/>
        <w:tblInd w:w="-25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470"/>
        <w:gridCol w:w="967"/>
        <w:gridCol w:w="1107"/>
        <w:gridCol w:w="967"/>
        <w:gridCol w:w="1246"/>
        <w:gridCol w:w="1244"/>
      </w:tblGrid>
      <w:tr w:rsidR="002B3D6B" w:rsidRPr="00B53423" w:rsidTr="002B3D6B">
        <w:trPr>
          <w:trHeight w:val="1200"/>
          <w:tblHeader/>
        </w:trPr>
        <w:tc>
          <w:tcPr>
            <w:tcW w:w="1928" w:type="pct"/>
            <w:shd w:val="clear" w:color="auto" w:fill="DBE5F1" w:themeFill="accent1" w:themeFillTint="33"/>
            <w:noWrap/>
            <w:vAlign w:val="center"/>
            <w:hideMark/>
          </w:tcPr>
          <w:p w:rsidR="00564993" w:rsidRPr="00B53423" w:rsidRDefault="003A6B3B" w:rsidP="0015232B">
            <w:pPr>
              <w:pStyle w:val="NoSpacing"/>
              <w:jc w:val="center"/>
              <w:rPr>
                <w:b/>
              </w:rPr>
            </w:pPr>
            <w:r w:rsidRPr="00B53423">
              <w:rPr>
                <w:b/>
              </w:rPr>
              <w:t>Particulars</w:t>
            </w:r>
          </w:p>
        </w:tc>
        <w:tc>
          <w:tcPr>
            <w:tcW w:w="537" w:type="pct"/>
            <w:shd w:val="clear" w:color="auto" w:fill="DBE5F1" w:themeFill="accent1" w:themeFillTint="33"/>
            <w:vAlign w:val="center"/>
            <w:hideMark/>
          </w:tcPr>
          <w:p w:rsidR="00564993" w:rsidRPr="00B53423" w:rsidRDefault="003A6B3B" w:rsidP="0015232B">
            <w:pPr>
              <w:pStyle w:val="NoSpacing"/>
              <w:jc w:val="center"/>
              <w:rPr>
                <w:b/>
              </w:rPr>
            </w:pPr>
            <w:r w:rsidRPr="00B53423">
              <w:rPr>
                <w:b/>
              </w:rPr>
              <w:t>Tariff Order</w:t>
            </w:r>
          </w:p>
        </w:tc>
        <w:tc>
          <w:tcPr>
            <w:tcW w:w="615" w:type="pct"/>
            <w:shd w:val="clear" w:color="auto" w:fill="DBE5F1" w:themeFill="accent1" w:themeFillTint="33"/>
            <w:vAlign w:val="center"/>
            <w:hideMark/>
          </w:tcPr>
          <w:p w:rsidR="00564993" w:rsidRPr="00B53423" w:rsidRDefault="003A6B3B" w:rsidP="0015232B">
            <w:pPr>
              <w:pStyle w:val="NoSpacing"/>
              <w:jc w:val="center"/>
              <w:rPr>
                <w:b/>
              </w:rPr>
            </w:pPr>
            <w:r w:rsidRPr="00B53423">
              <w:rPr>
                <w:b/>
              </w:rPr>
              <w:t>Actuals as per Audited Accounts</w:t>
            </w:r>
          </w:p>
        </w:tc>
        <w:tc>
          <w:tcPr>
            <w:tcW w:w="537" w:type="pct"/>
            <w:shd w:val="clear" w:color="auto" w:fill="DBE5F1" w:themeFill="accent1" w:themeFillTint="33"/>
            <w:vAlign w:val="center"/>
            <w:hideMark/>
          </w:tcPr>
          <w:p w:rsidR="00564993" w:rsidRPr="00B53423" w:rsidRDefault="003A6B3B" w:rsidP="0015232B">
            <w:pPr>
              <w:pStyle w:val="NoSpacing"/>
              <w:jc w:val="center"/>
              <w:rPr>
                <w:b/>
              </w:rPr>
            </w:pPr>
            <w:r w:rsidRPr="00B53423">
              <w:rPr>
                <w:b/>
              </w:rPr>
              <w:t>True-up Petition</w:t>
            </w:r>
          </w:p>
        </w:tc>
        <w:tc>
          <w:tcPr>
            <w:tcW w:w="692" w:type="pct"/>
            <w:shd w:val="clear" w:color="auto" w:fill="DBE5F1" w:themeFill="accent1" w:themeFillTint="33"/>
            <w:vAlign w:val="center"/>
          </w:tcPr>
          <w:p w:rsidR="002B3D6B" w:rsidRPr="00B53423" w:rsidRDefault="002B3D6B" w:rsidP="0015232B">
            <w:pPr>
              <w:pStyle w:val="NoSpacing"/>
              <w:jc w:val="center"/>
              <w:rPr>
                <w:b/>
              </w:rPr>
            </w:pPr>
            <w:r w:rsidRPr="00B53423">
              <w:rPr>
                <w:b/>
              </w:rPr>
              <w:t>Normative</w:t>
            </w:r>
          </w:p>
        </w:tc>
        <w:tc>
          <w:tcPr>
            <w:tcW w:w="691" w:type="pct"/>
            <w:shd w:val="clear" w:color="auto" w:fill="DBE5F1" w:themeFill="accent1" w:themeFillTint="33"/>
            <w:vAlign w:val="center"/>
            <w:hideMark/>
          </w:tcPr>
          <w:p w:rsidR="00564993" w:rsidRPr="00B53423" w:rsidRDefault="003A6B3B" w:rsidP="0015232B">
            <w:pPr>
              <w:pStyle w:val="NoSpacing"/>
              <w:jc w:val="center"/>
              <w:rPr>
                <w:b/>
              </w:rPr>
            </w:pPr>
            <w:r w:rsidRPr="00B53423">
              <w:rPr>
                <w:b/>
              </w:rPr>
              <w:t>Allowable</w:t>
            </w:r>
          </w:p>
        </w:tc>
      </w:tr>
      <w:tr w:rsidR="002B3D6B" w:rsidRPr="00B53423" w:rsidTr="00F800F4">
        <w:trPr>
          <w:trHeight w:val="300"/>
        </w:trPr>
        <w:tc>
          <w:tcPr>
            <w:tcW w:w="1928" w:type="pct"/>
            <w:shd w:val="clear" w:color="auto" w:fill="auto"/>
            <w:noWrap/>
            <w:vAlign w:val="bottom"/>
            <w:hideMark/>
          </w:tcPr>
          <w:p w:rsidR="00564993" w:rsidRPr="00B53423" w:rsidRDefault="002B3D6B" w:rsidP="0015232B">
            <w:pPr>
              <w:pStyle w:val="NoSpacing"/>
              <w:rPr>
                <w:sz w:val="18"/>
                <w:szCs w:val="18"/>
              </w:rPr>
            </w:pPr>
            <w:r w:rsidRPr="00B53423">
              <w:t>Employee Expenses</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88.30</w:t>
            </w:r>
          </w:p>
        </w:tc>
        <w:tc>
          <w:tcPr>
            <w:tcW w:w="615"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93.36</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93.36</w:t>
            </w:r>
          </w:p>
        </w:tc>
        <w:tc>
          <w:tcPr>
            <w:tcW w:w="692" w:type="pct"/>
            <w:vAlign w:val="center"/>
          </w:tcPr>
          <w:p w:rsidR="002B3D6B"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101.41</w:t>
            </w:r>
          </w:p>
        </w:tc>
        <w:tc>
          <w:tcPr>
            <w:tcW w:w="691"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93.36</w:t>
            </w:r>
          </w:p>
        </w:tc>
      </w:tr>
      <w:tr w:rsidR="002B3D6B" w:rsidRPr="00B53423" w:rsidTr="00F800F4">
        <w:trPr>
          <w:trHeight w:val="300"/>
        </w:trPr>
        <w:tc>
          <w:tcPr>
            <w:tcW w:w="1928" w:type="pct"/>
            <w:shd w:val="clear" w:color="auto" w:fill="auto"/>
            <w:noWrap/>
            <w:vAlign w:val="bottom"/>
            <w:hideMark/>
          </w:tcPr>
          <w:p w:rsidR="00564993" w:rsidRPr="00B53423" w:rsidRDefault="002B3D6B" w:rsidP="0015232B">
            <w:pPr>
              <w:pStyle w:val="NoSpacing"/>
              <w:rPr>
                <w:sz w:val="18"/>
                <w:szCs w:val="18"/>
              </w:rPr>
            </w:pPr>
            <w:r w:rsidRPr="00B53423">
              <w:t>Repair &amp; Maintenance Expenses</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21.50</w:t>
            </w:r>
          </w:p>
        </w:tc>
        <w:tc>
          <w:tcPr>
            <w:tcW w:w="615"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26.73</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26.73</w:t>
            </w:r>
          </w:p>
        </w:tc>
        <w:tc>
          <w:tcPr>
            <w:tcW w:w="692" w:type="pct"/>
            <w:vAlign w:val="center"/>
          </w:tcPr>
          <w:p w:rsidR="002B3D6B"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40.49</w:t>
            </w:r>
          </w:p>
        </w:tc>
        <w:tc>
          <w:tcPr>
            <w:tcW w:w="691"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26.73</w:t>
            </w:r>
          </w:p>
        </w:tc>
      </w:tr>
      <w:tr w:rsidR="002B3D6B" w:rsidRPr="00B53423" w:rsidTr="00F800F4">
        <w:trPr>
          <w:trHeight w:val="300"/>
        </w:trPr>
        <w:tc>
          <w:tcPr>
            <w:tcW w:w="1928" w:type="pct"/>
            <w:shd w:val="clear" w:color="auto" w:fill="auto"/>
            <w:noWrap/>
            <w:vAlign w:val="bottom"/>
            <w:hideMark/>
          </w:tcPr>
          <w:p w:rsidR="00564993" w:rsidRPr="00B53423" w:rsidRDefault="002B3D6B" w:rsidP="0015232B">
            <w:pPr>
              <w:pStyle w:val="NoSpacing"/>
              <w:rPr>
                <w:sz w:val="18"/>
                <w:szCs w:val="18"/>
              </w:rPr>
            </w:pPr>
            <w:r w:rsidRPr="00B53423">
              <w:t>Administrative and General Expenses</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15.60</w:t>
            </w:r>
          </w:p>
        </w:tc>
        <w:tc>
          <w:tcPr>
            <w:tcW w:w="615"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8.39</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8.39</w:t>
            </w:r>
          </w:p>
        </w:tc>
        <w:tc>
          <w:tcPr>
            <w:tcW w:w="692" w:type="pct"/>
            <w:vAlign w:val="center"/>
          </w:tcPr>
          <w:p w:rsidR="002B3D6B"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6.34</w:t>
            </w:r>
          </w:p>
        </w:tc>
        <w:tc>
          <w:tcPr>
            <w:tcW w:w="691"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8.39</w:t>
            </w:r>
          </w:p>
        </w:tc>
      </w:tr>
      <w:tr w:rsidR="002B3D6B" w:rsidRPr="00B53423" w:rsidTr="00F800F4">
        <w:trPr>
          <w:trHeight w:val="300"/>
        </w:trPr>
        <w:tc>
          <w:tcPr>
            <w:tcW w:w="1928" w:type="pct"/>
            <w:shd w:val="clear" w:color="auto" w:fill="auto"/>
            <w:noWrap/>
            <w:vAlign w:val="bottom"/>
            <w:hideMark/>
          </w:tcPr>
          <w:p w:rsidR="00564993" w:rsidRPr="00B53423" w:rsidRDefault="003A6B3B" w:rsidP="0015232B">
            <w:pPr>
              <w:pStyle w:val="NoSpacing"/>
              <w:rPr>
                <w:b/>
                <w:sz w:val="18"/>
                <w:szCs w:val="18"/>
              </w:rPr>
            </w:pPr>
            <w:r w:rsidRPr="00B53423">
              <w:rPr>
                <w:b/>
              </w:rPr>
              <w:t>Gross Operation and Maintenance Expenses</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b/>
              </w:rPr>
            </w:pPr>
            <w:r w:rsidRPr="00B53423">
              <w:rPr>
                <w:rFonts w:asciiTheme="minorHAnsi" w:hAnsiTheme="minorHAnsi" w:cstheme="minorHAnsi"/>
                <w:b/>
              </w:rPr>
              <w:t>125.40</w:t>
            </w:r>
          </w:p>
        </w:tc>
        <w:tc>
          <w:tcPr>
            <w:tcW w:w="615" w:type="pct"/>
            <w:shd w:val="clear" w:color="auto" w:fill="auto"/>
            <w:vAlign w:val="center"/>
            <w:hideMark/>
          </w:tcPr>
          <w:p w:rsidR="00564993" w:rsidRPr="00B53423" w:rsidRDefault="003A6B3B" w:rsidP="0015232B">
            <w:pPr>
              <w:pStyle w:val="NoSpacing"/>
              <w:jc w:val="right"/>
              <w:rPr>
                <w:rFonts w:asciiTheme="minorHAnsi" w:hAnsiTheme="minorHAnsi" w:cstheme="minorHAnsi"/>
                <w:b/>
              </w:rPr>
            </w:pPr>
            <w:r w:rsidRPr="00B53423">
              <w:rPr>
                <w:rFonts w:asciiTheme="minorHAnsi" w:hAnsiTheme="minorHAnsi" w:cstheme="minorHAnsi"/>
                <w:b/>
              </w:rPr>
              <w:t>128.48</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b/>
              </w:rPr>
            </w:pPr>
            <w:r w:rsidRPr="00B53423">
              <w:rPr>
                <w:rFonts w:asciiTheme="minorHAnsi" w:hAnsiTheme="minorHAnsi" w:cstheme="minorHAnsi"/>
                <w:b/>
              </w:rPr>
              <w:t>128.48</w:t>
            </w:r>
          </w:p>
        </w:tc>
        <w:tc>
          <w:tcPr>
            <w:tcW w:w="692" w:type="pct"/>
            <w:vAlign w:val="center"/>
          </w:tcPr>
          <w:p w:rsidR="002B3D6B" w:rsidRPr="00B53423" w:rsidRDefault="003A6B3B" w:rsidP="0015232B">
            <w:pPr>
              <w:pStyle w:val="NoSpacing"/>
              <w:jc w:val="right"/>
              <w:rPr>
                <w:rFonts w:asciiTheme="minorHAnsi" w:hAnsiTheme="minorHAnsi" w:cstheme="minorHAnsi"/>
                <w:b/>
              </w:rPr>
            </w:pPr>
            <w:r w:rsidRPr="00B53423">
              <w:rPr>
                <w:rFonts w:asciiTheme="minorHAnsi" w:hAnsiTheme="minorHAnsi" w:cstheme="minorHAnsi"/>
                <w:b/>
                <w:bCs/>
              </w:rPr>
              <w:t>148.23</w:t>
            </w:r>
          </w:p>
        </w:tc>
        <w:tc>
          <w:tcPr>
            <w:tcW w:w="691" w:type="pct"/>
            <w:shd w:val="clear" w:color="auto" w:fill="auto"/>
            <w:vAlign w:val="center"/>
            <w:hideMark/>
          </w:tcPr>
          <w:p w:rsidR="00564993" w:rsidRPr="00B53423" w:rsidRDefault="003A6B3B" w:rsidP="0015232B">
            <w:pPr>
              <w:pStyle w:val="NoSpacing"/>
              <w:jc w:val="right"/>
              <w:rPr>
                <w:rFonts w:asciiTheme="minorHAnsi" w:hAnsiTheme="minorHAnsi" w:cstheme="minorHAnsi"/>
                <w:b/>
              </w:rPr>
            </w:pPr>
            <w:r w:rsidRPr="00B53423">
              <w:rPr>
                <w:rFonts w:asciiTheme="minorHAnsi" w:hAnsiTheme="minorHAnsi" w:cstheme="minorHAnsi"/>
                <w:b/>
              </w:rPr>
              <w:t>128.48</w:t>
            </w:r>
          </w:p>
        </w:tc>
      </w:tr>
      <w:tr w:rsidR="002B3D6B" w:rsidRPr="00B53423" w:rsidTr="00F800F4">
        <w:trPr>
          <w:trHeight w:val="300"/>
        </w:trPr>
        <w:tc>
          <w:tcPr>
            <w:tcW w:w="1928" w:type="pct"/>
            <w:shd w:val="clear" w:color="auto" w:fill="auto"/>
            <w:noWrap/>
            <w:vAlign w:val="bottom"/>
            <w:hideMark/>
          </w:tcPr>
          <w:p w:rsidR="00564993" w:rsidRPr="00B53423" w:rsidRDefault="002B3D6B" w:rsidP="0015232B">
            <w:pPr>
              <w:pStyle w:val="NoSpacing"/>
              <w:rPr>
                <w:sz w:val="18"/>
                <w:szCs w:val="18"/>
              </w:rPr>
            </w:pPr>
            <w:r w:rsidRPr="00B53423">
              <w:t>Less: Capitalisation</w:t>
            </w:r>
          </w:p>
        </w:tc>
        <w:tc>
          <w:tcPr>
            <w:tcW w:w="537" w:type="pct"/>
            <w:shd w:val="clear" w:color="auto" w:fill="auto"/>
            <w:vAlign w:val="center"/>
            <w:hideMark/>
          </w:tcPr>
          <w:p w:rsidR="00564993" w:rsidRPr="00B53423" w:rsidRDefault="00564993" w:rsidP="0015232B">
            <w:pPr>
              <w:pStyle w:val="NoSpacing"/>
              <w:jc w:val="right"/>
              <w:rPr>
                <w:rFonts w:asciiTheme="minorHAnsi" w:hAnsiTheme="minorHAnsi" w:cstheme="minorHAnsi"/>
              </w:rPr>
            </w:pPr>
          </w:p>
        </w:tc>
        <w:tc>
          <w:tcPr>
            <w:tcW w:w="615" w:type="pct"/>
            <w:shd w:val="clear" w:color="auto" w:fill="auto"/>
            <w:vAlign w:val="center"/>
            <w:hideMark/>
          </w:tcPr>
          <w:p w:rsidR="00564993" w:rsidRPr="00B53423" w:rsidRDefault="00564993" w:rsidP="0015232B">
            <w:pPr>
              <w:pStyle w:val="NoSpacing"/>
              <w:jc w:val="right"/>
              <w:rPr>
                <w:rFonts w:asciiTheme="minorHAnsi" w:hAnsiTheme="minorHAnsi" w:cstheme="minorHAnsi"/>
              </w:rPr>
            </w:pPr>
          </w:p>
        </w:tc>
        <w:tc>
          <w:tcPr>
            <w:tcW w:w="537" w:type="pct"/>
            <w:shd w:val="clear" w:color="auto" w:fill="auto"/>
            <w:vAlign w:val="center"/>
            <w:hideMark/>
          </w:tcPr>
          <w:p w:rsidR="00564993" w:rsidRPr="00B53423" w:rsidRDefault="00564993" w:rsidP="0015232B">
            <w:pPr>
              <w:pStyle w:val="NoSpacing"/>
              <w:jc w:val="right"/>
              <w:rPr>
                <w:rFonts w:asciiTheme="minorHAnsi" w:hAnsiTheme="minorHAnsi" w:cstheme="minorHAnsi"/>
              </w:rPr>
            </w:pPr>
          </w:p>
        </w:tc>
        <w:tc>
          <w:tcPr>
            <w:tcW w:w="692" w:type="pct"/>
            <w:vAlign w:val="center"/>
          </w:tcPr>
          <w:p w:rsidR="002B3D6B" w:rsidRPr="00B53423" w:rsidDel="002B3D6B" w:rsidRDefault="002B3D6B" w:rsidP="0015232B">
            <w:pPr>
              <w:pStyle w:val="NoSpacing"/>
              <w:jc w:val="right"/>
              <w:rPr>
                <w:rFonts w:asciiTheme="minorHAnsi" w:hAnsiTheme="minorHAnsi" w:cstheme="minorHAnsi"/>
              </w:rPr>
            </w:pPr>
          </w:p>
        </w:tc>
        <w:tc>
          <w:tcPr>
            <w:tcW w:w="691" w:type="pct"/>
            <w:shd w:val="clear" w:color="auto" w:fill="auto"/>
            <w:vAlign w:val="center"/>
            <w:hideMark/>
          </w:tcPr>
          <w:p w:rsidR="00564993" w:rsidRPr="00B53423" w:rsidRDefault="00564993" w:rsidP="0015232B">
            <w:pPr>
              <w:pStyle w:val="NoSpacing"/>
              <w:jc w:val="right"/>
              <w:rPr>
                <w:rFonts w:asciiTheme="minorHAnsi" w:hAnsiTheme="minorHAnsi" w:cstheme="minorHAnsi"/>
              </w:rPr>
            </w:pPr>
          </w:p>
        </w:tc>
      </w:tr>
      <w:tr w:rsidR="002B3D6B" w:rsidRPr="00B53423" w:rsidTr="00F800F4">
        <w:trPr>
          <w:trHeight w:val="300"/>
        </w:trPr>
        <w:tc>
          <w:tcPr>
            <w:tcW w:w="1928" w:type="pct"/>
            <w:shd w:val="clear" w:color="auto" w:fill="auto"/>
            <w:noWrap/>
            <w:vAlign w:val="bottom"/>
            <w:hideMark/>
          </w:tcPr>
          <w:p w:rsidR="00564993" w:rsidRPr="00B53423" w:rsidRDefault="002B3D6B" w:rsidP="0015232B">
            <w:pPr>
              <w:pStyle w:val="NoSpacing"/>
              <w:rPr>
                <w:sz w:val="18"/>
                <w:szCs w:val="18"/>
              </w:rPr>
            </w:pPr>
            <w:r w:rsidRPr="00B53423">
              <w:t>Employee Cost Capitalized</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3.00</w:t>
            </w:r>
          </w:p>
        </w:tc>
        <w:tc>
          <w:tcPr>
            <w:tcW w:w="615"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3.25</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3.25</w:t>
            </w:r>
          </w:p>
        </w:tc>
        <w:tc>
          <w:tcPr>
            <w:tcW w:w="692" w:type="pct"/>
            <w:vAlign w:val="center"/>
          </w:tcPr>
          <w:p w:rsidR="002B3D6B"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3.25</w:t>
            </w:r>
          </w:p>
        </w:tc>
        <w:tc>
          <w:tcPr>
            <w:tcW w:w="691"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3.25</w:t>
            </w:r>
          </w:p>
        </w:tc>
      </w:tr>
      <w:tr w:rsidR="002B3D6B" w:rsidRPr="00B53423" w:rsidTr="00F800F4">
        <w:trPr>
          <w:trHeight w:val="300"/>
        </w:trPr>
        <w:tc>
          <w:tcPr>
            <w:tcW w:w="1928" w:type="pct"/>
            <w:shd w:val="clear" w:color="auto" w:fill="auto"/>
            <w:noWrap/>
            <w:vAlign w:val="bottom"/>
            <w:hideMark/>
          </w:tcPr>
          <w:p w:rsidR="00564993" w:rsidRPr="00B53423" w:rsidRDefault="002B3D6B" w:rsidP="0015232B">
            <w:pPr>
              <w:pStyle w:val="NoSpacing"/>
              <w:rPr>
                <w:sz w:val="18"/>
                <w:szCs w:val="18"/>
              </w:rPr>
            </w:pPr>
            <w:r w:rsidRPr="00B53423">
              <w:t>A&amp;G Expenses Capitalized</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0.01</w:t>
            </w:r>
          </w:p>
        </w:tc>
        <w:tc>
          <w:tcPr>
            <w:tcW w:w="615"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0.00</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0.00</w:t>
            </w:r>
          </w:p>
        </w:tc>
        <w:tc>
          <w:tcPr>
            <w:tcW w:w="692" w:type="pct"/>
            <w:vAlign w:val="center"/>
          </w:tcPr>
          <w:p w:rsidR="002B3D6B"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0.00</w:t>
            </w:r>
          </w:p>
        </w:tc>
        <w:tc>
          <w:tcPr>
            <w:tcW w:w="691"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0.00</w:t>
            </w:r>
          </w:p>
        </w:tc>
      </w:tr>
      <w:tr w:rsidR="002B3D6B" w:rsidRPr="00B53423" w:rsidTr="00F800F4">
        <w:trPr>
          <w:trHeight w:val="278"/>
        </w:trPr>
        <w:tc>
          <w:tcPr>
            <w:tcW w:w="1928" w:type="pct"/>
            <w:shd w:val="clear" w:color="auto" w:fill="auto"/>
            <w:noWrap/>
            <w:vAlign w:val="bottom"/>
            <w:hideMark/>
          </w:tcPr>
          <w:p w:rsidR="00564993" w:rsidRPr="00B53423" w:rsidRDefault="002B3D6B" w:rsidP="0015232B">
            <w:pPr>
              <w:pStyle w:val="NoSpacing"/>
              <w:rPr>
                <w:sz w:val="18"/>
                <w:szCs w:val="18"/>
              </w:rPr>
            </w:pPr>
            <w:r w:rsidRPr="00B53423">
              <w:t> </w:t>
            </w:r>
          </w:p>
        </w:tc>
        <w:tc>
          <w:tcPr>
            <w:tcW w:w="537" w:type="pct"/>
            <w:shd w:val="clear" w:color="auto" w:fill="auto"/>
            <w:vAlign w:val="center"/>
            <w:hideMark/>
          </w:tcPr>
          <w:p w:rsidR="00564993" w:rsidRPr="00B53423" w:rsidRDefault="00564993" w:rsidP="0015232B">
            <w:pPr>
              <w:pStyle w:val="NoSpacing"/>
              <w:jc w:val="right"/>
              <w:rPr>
                <w:rFonts w:asciiTheme="minorHAnsi" w:hAnsiTheme="minorHAnsi" w:cstheme="minorHAnsi"/>
              </w:rPr>
            </w:pPr>
          </w:p>
        </w:tc>
        <w:tc>
          <w:tcPr>
            <w:tcW w:w="615" w:type="pct"/>
            <w:shd w:val="clear" w:color="auto" w:fill="auto"/>
            <w:vAlign w:val="center"/>
            <w:hideMark/>
          </w:tcPr>
          <w:p w:rsidR="00564993" w:rsidRPr="00B53423" w:rsidRDefault="00564993" w:rsidP="0015232B">
            <w:pPr>
              <w:pStyle w:val="NoSpacing"/>
              <w:jc w:val="right"/>
              <w:rPr>
                <w:rFonts w:asciiTheme="minorHAnsi" w:hAnsiTheme="minorHAnsi" w:cstheme="minorHAnsi"/>
              </w:rPr>
            </w:pPr>
          </w:p>
        </w:tc>
        <w:tc>
          <w:tcPr>
            <w:tcW w:w="537" w:type="pct"/>
            <w:shd w:val="clear" w:color="auto" w:fill="auto"/>
            <w:vAlign w:val="center"/>
            <w:hideMark/>
          </w:tcPr>
          <w:p w:rsidR="00564993" w:rsidRPr="00B53423" w:rsidRDefault="00564993" w:rsidP="0015232B">
            <w:pPr>
              <w:pStyle w:val="NoSpacing"/>
              <w:jc w:val="right"/>
              <w:rPr>
                <w:rFonts w:asciiTheme="minorHAnsi" w:hAnsiTheme="minorHAnsi" w:cstheme="minorHAnsi"/>
              </w:rPr>
            </w:pPr>
          </w:p>
        </w:tc>
        <w:tc>
          <w:tcPr>
            <w:tcW w:w="692" w:type="pct"/>
            <w:vAlign w:val="center"/>
          </w:tcPr>
          <w:p w:rsidR="002B3D6B" w:rsidRPr="00B53423" w:rsidDel="002B3D6B" w:rsidRDefault="002B3D6B" w:rsidP="0015232B">
            <w:pPr>
              <w:pStyle w:val="NoSpacing"/>
              <w:jc w:val="right"/>
              <w:rPr>
                <w:rFonts w:asciiTheme="minorHAnsi" w:hAnsiTheme="minorHAnsi" w:cstheme="minorHAnsi"/>
              </w:rPr>
            </w:pPr>
          </w:p>
        </w:tc>
        <w:tc>
          <w:tcPr>
            <w:tcW w:w="691" w:type="pct"/>
            <w:shd w:val="clear" w:color="auto" w:fill="auto"/>
            <w:vAlign w:val="center"/>
            <w:hideMark/>
          </w:tcPr>
          <w:p w:rsidR="00564993" w:rsidRPr="00B53423" w:rsidRDefault="00564993" w:rsidP="0015232B">
            <w:pPr>
              <w:pStyle w:val="NoSpacing"/>
              <w:jc w:val="right"/>
              <w:rPr>
                <w:rFonts w:asciiTheme="minorHAnsi" w:hAnsiTheme="minorHAnsi" w:cstheme="minorHAnsi"/>
              </w:rPr>
            </w:pPr>
          </w:p>
        </w:tc>
      </w:tr>
      <w:tr w:rsidR="002B3D6B" w:rsidRPr="00B53423" w:rsidTr="00F800F4">
        <w:trPr>
          <w:trHeight w:val="300"/>
        </w:trPr>
        <w:tc>
          <w:tcPr>
            <w:tcW w:w="1928" w:type="pct"/>
            <w:shd w:val="clear" w:color="auto" w:fill="auto"/>
            <w:noWrap/>
            <w:vAlign w:val="bottom"/>
            <w:hideMark/>
          </w:tcPr>
          <w:p w:rsidR="00564993" w:rsidRPr="00B53423" w:rsidRDefault="002B3D6B" w:rsidP="0015232B">
            <w:pPr>
              <w:pStyle w:val="NoSpacing"/>
              <w:rPr>
                <w:sz w:val="18"/>
                <w:szCs w:val="18"/>
              </w:rPr>
            </w:pPr>
            <w:r w:rsidRPr="00B53423">
              <w:t>Total Capitalization</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3.01</w:t>
            </w:r>
          </w:p>
        </w:tc>
        <w:tc>
          <w:tcPr>
            <w:tcW w:w="615"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3.26</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3.26</w:t>
            </w:r>
          </w:p>
        </w:tc>
        <w:tc>
          <w:tcPr>
            <w:tcW w:w="692" w:type="pct"/>
            <w:vAlign w:val="center"/>
          </w:tcPr>
          <w:p w:rsidR="002B3D6B" w:rsidRPr="00B53423" w:rsidRDefault="003A6B3B" w:rsidP="0015232B">
            <w:pPr>
              <w:pStyle w:val="NoSpacing"/>
              <w:jc w:val="right"/>
              <w:rPr>
                <w:rFonts w:asciiTheme="minorHAnsi" w:hAnsiTheme="minorHAnsi" w:cstheme="minorHAnsi"/>
              </w:rPr>
            </w:pPr>
            <w:r w:rsidRPr="00B53423">
              <w:rPr>
                <w:rFonts w:asciiTheme="minorHAnsi" w:hAnsiTheme="minorHAnsi" w:cstheme="minorHAnsi"/>
                <w:b/>
                <w:bCs/>
              </w:rPr>
              <w:t>3.26</w:t>
            </w:r>
          </w:p>
        </w:tc>
        <w:tc>
          <w:tcPr>
            <w:tcW w:w="691" w:type="pct"/>
            <w:shd w:val="clear" w:color="auto" w:fill="auto"/>
            <w:vAlign w:val="center"/>
            <w:hideMark/>
          </w:tcPr>
          <w:p w:rsidR="00564993" w:rsidRPr="00B53423" w:rsidRDefault="003A6B3B" w:rsidP="0015232B">
            <w:pPr>
              <w:pStyle w:val="NoSpacing"/>
              <w:jc w:val="right"/>
              <w:rPr>
                <w:rFonts w:asciiTheme="minorHAnsi" w:hAnsiTheme="minorHAnsi" w:cstheme="minorHAnsi"/>
              </w:rPr>
            </w:pPr>
            <w:r w:rsidRPr="00B53423">
              <w:rPr>
                <w:rFonts w:asciiTheme="minorHAnsi" w:hAnsiTheme="minorHAnsi" w:cstheme="minorHAnsi"/>
              </w:rPr>
              <w:t>3.26</w:t>
            </w:r>
          </w:p>
        </w:tc>
      </w:tr>
      <w:tr w:rsidR="002B3D6B" w:rsidRPr="00B53423" w:rsidTr="00F800F4">
        <w:trPr>
          <w:trHeight w:val="300"/>
        </w:trPr>
        <w:tc>
          <w:tcPr>
            <w:tcW w:w="1928" w:type="pct"/>
            <w:shd w:val="clear" w:color="auto" w:fill="auto"/>
            <w:noWrap/>
            <w:vAlign w:val="bottom"/>
            <w:hideMark/>
          </w:tcPr>
          <w:p w:rsidR="00564993" w:rsidRPr="00B53423" w:rsidRDefault="003A6B3B" w:rsidP="0015232B">
            <w:pPr>
              <w:pStyle w:val="NoSpacing"/>
              <w:rPr>
                <w:b/>
                <w:sz w:val="18"/>
                <w:szCs w:val="18"/>
              </w:rPr>
            </w:pPr>
            <w:r w:rsidRPr="00B53423">
              <w:rPr>
                <w:b/>
              </w:rPr>
              <w:t>Net Operation and Maintenance Expenses</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b/>
              </w:rPr>
            </w:pPr>
            <w:r w:rsidRPr="00B53423">
              <w:rPr>
                <w:rFonts w:asciiTheme="minorHAnsi" w:hAnsiTheme="minorHAnsi" w:cstheme="minorHAnsi"/>
                <w:b/>
              </w:rPr>
              <w:t>122.39</w:t>
            </w:r>
          </w:p>
        </w:tc>
        <w:tc>
          <w:tcPr>
            <w:tcW w:w="615" w:type="pct"/>
            <w:shd w:val="clear" w:color="auto" w:fill="auto"/>
            <w:vAlign w:val="center"/>
            <w:hideMark/>
          </w:tcPr>
          <w:p w:rsidR="00564993" w:rsidRPr="00B53423" w:rsidRDefault="003A6B3B" w:rsidP="0015232B">
            <w:pPr>
              <w:pStyle w:val="NoSpacing"/>
              <w:jc w:val="right"/>
              <w:rPr>
                <w:rFonts w:asciiTheme="minorHAnsi" w:hAnsiTheme="minorHAnsi" w:cstheme="minorHAnsi"/>
                <w:b/>
              </w:rPr>
            </w:pPr>
            <w:r w:rsidRPr="00B53423">
              <w:rPr>
                <w:rFonts w:asciiTheme="minorHAnsi" w:hAnsiTheme="minorHAnsi" w:cstheme="minorHAnsi"/>
                <w:b/>
              </w:rPr>
              <w:t>125.23</w:t>
            </w:r>
          </w:p>
        </w:tc>
        <w:tc>
          <w:tcPr>
            <w:tcW w:w="537" w:type="pct"/>
            <w:shd w:val="clear" w:color="auto" w:fill="auto"/>
            <w:vAlign w:val="center"/>
            <w:hideMark/>
          </w:tcPr>
          <w:p w:rsidR="00564993" w:rsidRPr="00B53423" w:rsidRDefault="003A6B3B" w:rsidP="0015232B">
            <w:pPr>
              <w:pStyle w:val="NoSpacing"/>
              <w:jc w:val="right"/>
              <w:rPr>
                <w:rFonts w:asciiTheme="minorHAnsi" w:hAnsiTheme="minorHAnsi" w:cstheme="minorHAnsi"/>
                <w:b/>
              </w:rPr>
            </w:pPr>
            <w:r w:rsidRPr="00B53423">
              <w:rPr>
                <w:rFonts w:asciiTheme="minorHAnsi" w:hAnsiTheme="minorHAnsi" w:cstheme="minorHAnsi"/>
                <w:b/>
              </w:rPr>
              <w:t>125.23</w:t>
            </w:r>
          </w:p>
        </w:tc>
        <w:tc>
          <w:tcPr>
            <w:tcW w:w="692" w:type="pct"/>
            <w:vAlign w:val="center"/>
          </w:tcPr>
          <w:p w:rsidR="002B3D6B" w:rsidRPr="00B53423" w:rsidRDefault="003A6B3B" w:rsidP="0015232B">
            <w:pPr>
              <w:pStyle w:val="NoSpacing"/>
              <w:jc w:val="right"/>
              <w:rPr>
                <w:rFonts w:asciiTheme="minorHAnsi" w:hAnsiTheme="minorHAnsi" w:cstheme="minorHAnsi"/>
                <w:b/>
              </w:rPr>
            </w:pPr>
            <w:r w:rsidRPr="00F800F4">
              <w:rPr>
                <w:rFonts w:asciiTheme="minorHAnsi" w:hAnsiTheme="minorHAnsi" w:cstheme="minorHAnsi"/>
                <w:b/>
              </w:rPr>
              <w:t>144.98</w:t>
            </w:r>
          </w:p>
        </w:tc>
        <w:tc>
          <w:tcPr>
            <w:tcW w:w="691" w:type="pct"/>
            <w:shd w:val="clear" w:color="auto" w:fill="auto"/>
            <w:vAlign w:val="center"/>
            <w:hideMark/>
          </w:tcPr>
          <w:p w:rsidR="00564993" w:rsidRPr="00B53423" w:rsidRDefault="003A6B3B" w:rsidP="0015232B">
            <w:pPr>
              <w:pStyle w:val="NoSpacing"/>
              <w:jc w:val="right"/>
              <w:rPr>
                <w:rFonts w:asciiTheme="minorHAnsi" w:hAnsiTheme="minorHAnsi" w:cstheme="minorHAnsi"/>
                <w:b/>
              </w:rPr>
            </w:pPr>
            <w:r w:rsidRPr="00B53423">
              <w:rPr>
                <w:rFonts w:asciiTheme="minorHAnsi" w:hAnsiTheme="minorHAnsi" w:cstheme="minorHAnsi"/>
                <w:b/>
              </w:rPr>
              <w:t>125.23</w:t>
            </w:r>
          </w:p>
        </w:tc>
      </w:tr>
      <w:tr w:rsidR="002B3D6B" w:rsidRPr="00B53423" w:rsidTr="00F800F4">
        <w:trPr>
          <w:trHeight w:val="300"/>
        </w:trPr>
        <w:tc>
          <w:tcPr>
            <w:tcW w:w="1928" w:type="pct"/>
            <w:shd w:val="clear" w:color="auto" w:fill="auto"/>
            <w:noWrap/>
            <w:vAlign w:val="bottom"/>
            <w:hideMark/>
          </w:tcPr>
          <w:p w:rsidR="00564993" w:rsidRPr="00B53423" w:rsidRDefault="002B3D6B" w:rsidP="0015232B">
            <w:pPr>
              <w:pStyle w:val="NoSpacing"/>
              <w:rPr>
                <w:sz w:val="18"/>
                <w:szCs w:val="18"/>
              </w:rPr>
            </w:pPr>
            <w:r w:rsidRPr="00B53423">
              <w:t>Efficiency Gain</w:t>
            </w:r>
          </w:p>
        </w:tc>
        <w:tc>
          <w:tcPr>
            <w:tcW w:w="537" w:type="pct"/>
            <w:shd w:val="clear" w:color="auto" w:fill="auto"/>
            <w:vAlign w:val="center"/>
            <w:hideMark/>
          </w:tcPr>
          <w:p w:rsidR="00564993" w:rsidRPr="00B53423" w:rsidRDefault="00564993" w:rsidP="0015232B">
            <w:pPr>
              <w:pStyle w:val="NoSpacing"/>
              <w:jc w:val="right"/>
              <w:rPr>
                <w:rFonts w:asciiTheme="minorHAnsi" w:hAnsiTheme="minorHAnsi" w:cstheme="minorHAnsi"/>
              </w:rPr>
            </w:pPr>
          </w:p>
        </w:tc>
        <w:tc>
          <w:tcPr>
            <w:tcW w:w="615" w:type="pct"/>
            <w:shd w:val="clear" w:color="auto" w:fill="auto"/>
            <w:vAlign w:val="center"/>
            <w:hideMark/>
          </w:tcPr>
          <w:p w:rsidR="00564993" w:rsidRPr="00F800F4" w:rsidRDefault="00564993" w:rsidP="0015232B">
            <w:pPr>
              <w:pStyle w:val="NoSpacing"/>
              <w:jc w:val="right"/>
              <w:rPr>
                <w:rFonts w:asciiTheme="minorHAnsi" w:hAnsiTheme="minorHAnsi" w:cstheme="minorHAnsi"/>
                <w:b/>
              </w:rPr>
            </w:pPr>
          </w:p>
        </w:tc>
        <w:tc>
          <w:tcPr>
            <w:tcW w:w="537" w:type="pct"/>
            <w:shd w:val="clear" w:color="auto" w:fill="auto"/>
            <w:vAlign w:val="center"/>
            <w:hideMark/>
          </w:tcPr>
          <w:p w:rsidR="00564993" w:rsidRPr="00F800F4" w:rsidRDefault="003A6B3B" w:rsidP="0015232B">
            <w:pPr>
              <w:pStyle w:val="NoSpacing"/>
              <w:jc w:val="right"/>
              <w:rPr>
                <w:rFonts w:asciiTheme="minorHAnsi" w:hAnsiTheme="minorHAnsi" w:cstheme="minorHAnsi"/>
                <w:b/>
              </w:rPr>
            </w:pPr>
            <w:r w:rsidRPr="00F800F4">
              <w:rPr>
                <w:rFonts w:asciiTheme="minorHAnsi" w:hAnsiTheme="minorHAnsi" w:cstheme="minorHAnsi"/>
                <w:b/>
              </w:rPr>
              <w:t>3.58</w:t>
            </w:r>
          </w:p>
        </w:tc>
        <w:tc>
          <w:tcPr>
            <w:tcW w:w="692" w:type="pct"/>
            <w:vAlign w:val="center"/>
          </w:tcPr>
          <w:p w:rsidR="002B3D6B" w:rsidRPr="00F800F4" w:rsidRDefault="002B3D6B" w:rsidP="0015232B">
            <w:pPr>
              <w:pStyle w:val="NoSpacing"/>
              <w:jc w:val="right"/>
              <w:outlineLvl w:val="1"/>
              <w:rPr>
                <w:rFonts w:asciiTheme="minorHAnsi" w:hAnsiTheme="minorHAnsi" w:cstheme="minorHAnsi"/>
                <w:b/>
              </w:rPr>
            </w:pPr>
          </w:p>
        </w:tc>
        <w:tc>
          <w:tcPr>
            <w:tcW w:w="691" w:type="pct"/>
            <w:shd w:val="clear" w:color="auto" w:fill="auto"/>
            <w:vAlign w:val="center"/>
            <w:hideMark/>
          </w:tcPr>
          <w:p w:rsidR="00564993" w:rsidRPr="00F800F4" w:rsidRDefault="003A6B3B" w:rsidP="0015232B">
            <w:pPr>
              <w:pStyle w:val="NoSpacing"/>
              <w:jc w:val="right"/>
              <w:rPr>
                <w:rFonts w:asciiTheme="minorHAnsi" w:hAnsiTheme="minorHAnsi" w:cstheme="minorHAnsi"/>
                <w:b/>
              </w:rPr>
            </w:pPr>
            <w:r w:rsidRPr="00F800F4">
              <w:rPr>
                <w:rFonts w:asciiTheme="minorHAnsi" w:hAnsiTheme="minorHAnsi" w:cstheme="minorHAnsi"/>
                <w:b/>
              </w:rPr>
              <w:t>9.87</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500" w:name="_Toc399626194"/>
      <w:r w:rsidRPr="00B53423">
        <w:t>INTEREST AND FINANCE CHARGES</w:t>
      </w:r>
      <w:bookmarkEnd w:id="500"/>
      <w:r w:rsidRPr="00B53423">
        <w:t xml:space="preserve"> </w:t>
      </w:r>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numPr>
          <w:ilvl w:val="0"/>
          <w:numId w:val="0"/>
        </w:numPr>
        <w:ind w:left="450" w:firstLine="270"/>
        <w:rPr>
          <w:b/>
        </w:rPr>
      </w:pPr>
      <w:r w:rsidRPr="00B53423">
        <w:rPr>
          <w:b/>
        </w:rPr>
        <w:t>Interest on Long Term Loans: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has claimed interest on long term loan of Rs. 39.42 Crore as against Rs. 18.91 Crore approved in the Tariff Order dated 19</w:t>
      </w:r>
      <w:r w:rsidRPr="00B53423">
        <w:rPr>
          <w:vertAlign w:val="superscript"/>
        </w:rPr>
        <w:t>th</w:t>
      </w:r>
      <w:r w:rsidRPr="00B53423">
        <w:t xml:space="preserve"> October, 2012 in Petition No. 751 / 2011 and 798 / 2011. The Petitioner submitted that the interest capitalised for FY 2010-11 was to the tune of Rs. 0.00 Crore as against Rs. 0.38 Crore approved by the Commission in the Tariff Order. The net interest on loan for FY 2010-11 claimed by the Petitioner is Rs. 39.42 Crore, against Rs. 18.91 Crore approved by the Commission in the Tariff Order.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vide its preliminary deficiency note has asked the Petitioner to submit the details of actual loans along</w:t>
      </w:r>
      <w:r w:rsidR="004539B6" w:rsidRPr="00B53423">
        <w:t xml:space="preserve"> </w:t>
      </w:r>
      <w:r w:rsidRPr="00B53423">
        <w:t>with computation of Interest on Loan as claimed by the Petitioner for FY 2010-11 in its True up Petition. In reply to the Commission’s query the Petitioner submitted that subsequent to the filing of the True-up Petitions for FY 2008-09 to 2011-12, the Commission issued the True-up Order for FY 2000-01 to 2007-08 on 21</w:t>
      </w:r>
      <w:r w:rsidRPr="00B53423">
        <w:rPr>
          <w:vertAlign w:val="superscript"/>
        </w:rPr>
        <w:t>st</w:t>
      </w:r>
      <w:r w:rsidRPr="00B53423">
        <w:t xml:space="preserve"> May, 2013 in which the Commission had adopted a normative approach to tariff with a gearing of 70:30. The Petitioner submitted that the same was reaffirmed by the Commission in the suo-motu Tariff Order for FY 2013-14.</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further submitted that it is agreeable to the approach followed by the Commission in this regard. Accordingly, based on the normative approach, the Petitioner submitted the re-worked the loan balances, additions based on normative capital expenditure, normative repayment linked with allowable depreciation of the respective year and the average interest rate as per the weighted average interest rate of the licensee as per Audited Accounts. The revised interest on long term loan claimed by the Petitioner based on the normative approach works out to Rs. 2.68 Crore</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 xml:space="preserve">Further, as discussed in Para </w:t>
      </w:r>
      <w:fldSimple w:instr=" REF _Ref396853748 \r \h  \* MERGEFORMAT ">
        <w:r w:rsidR="00847C1B">
          <w:t>4.5.4</w:t>
        </w:r>
      </w:fldSimple>
      <w:r w:rsidRPr="00B53423">
        <w:t xml:space="preserve"> above the Petitioner has reaffirmed that the loan balances and interest amount to be considered includes only the loan amount borrowed from PFC and the interest payable to PFC respectively as disclosed in the books of accounts. Accordingly the Petitioner re-submitted the revised head wise detailed computations of opening and closing loan balances and the weighted average rate of interest after reconciling the same with the Audited Accounts as shown in the Table below:</w:t>
      </w:r>
    </w:p>
    <w:p w:rsidR="004C74C2" w:rsidRPr="00B53423" w:rsidRDefault="004C74C2" w:rsidP="0015232B">
      <w:pPr>
        <w:spacing w:line="312" w:lineRule="auto"/>
        <w:jc w:val="center"/>
        <w:rPr>
          <w:rFonts w:asciiTheme="minorHAnsi" w:hAnsiTheme="minorHAnsi" w:cstheme="minorHAnsi"/>
          <w:b/>
        </w:rPr>
      </w:pPr>
    </w:p>
    <w:p w:rsidR="004C74C2" w:rsidRPr="00B53423" w:rsidRDefault="004C74C2" w:rsidP="0015232B">
      <w:pPr>
        <w:spacing w:line="312" w:lineRule="auto"/>
        <w:ind w:left="720"/>
        <w:jc w:val="center"/>
        <w:rPr>
          <w:rFonts w:asciiTheme="minorHAnsi" w:hAnsiTheme="minorHAnsi"/>
          <w:b/>
          <w:sz w:val="22"/>
          <w:szCs w:val="22"/>
        </w:rPr>
      </w:pPr>
      <w:bookmarkStart w:id="501" w:name="_Toc399626364"/>
      <w:r w:rsidRPr="00B53423">
        <w:rPr>
          <w:rFonts w:asciiTheme="minorHAnsi" w:hAnsiTheme="minorHAnsi" w:cstheme="minorHAnsi"/>
          <w:b/>
          <w:caps/>
        </w:rPr>
        <w:t xml:space="preserve">Table </w:t>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STYLEREF 1 \s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6</w:t>
      </w:r>
      <w:r w:rsidR="005D68E7" w:rsidRPr="00B53423">
        <w:rPr>
          <w:rFonts w:asciiTheme="minorHAnsi" w:hAnsiTheme="minorHAnsi" w:cstheme="minorHAnsi"/>
          <w:b/>
          <w:caps/>
        </w:rPr>
        <w:fldChar w:fldCharType="end"/>
      </w:r>
      <w:r w:rsidRPr="00B53423">
        <w:rPr>
          <w:rFonts w:asciiTheme="minorHAnsi" w:hAnsiTheme="minorHAnsi" w:cstheme="minorHAnsi"/>
          <w:b/>
          <w:caps/>
        </w:rPr>
        <w:noBreakHyphen/>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SEQ Table \* ARABIC \s 1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6</w:t>
      </w:r>
      <w:r w:rsidR="005D68E7" w:rsidRPr="00B53423">
        <w:rPr>
          <w:rFonts w:asciiTheme="minorHAnsi" w:hAnsiTheme="minorHAnsi" w:cstheme="minorHAnsi"/>
          <w:b/>
          <w:caps/>
        </w:rPr>
        <w:fldChar w:fldCharType="end"/>
      </w:r>
      <w:r w:rsidRPr="00B53423">
        <w:rPr>
          <w:rFonts w:asciiTheme="minorHAnsi" w:hAnsiTheme="minorHAnsi" w:cstheme="minorHAnsi"/>
          <w:b/>
          <w:caps/>
        </w:rPr>
        <w:t xml:space="preserve">: </w:t>
      </w:r>
      <w:r w:rsidRPr="00B53423">
        <w:rPr>
          <w:rFonts w:asciiTheme="minorHAnsi" w:hAnsiTheme="minorHAnsi" w:cstheme="minorHAnsi"/>
          <w:b/>
        </w:rPr>
        <w:t>REVISED COMPUTATION OF WEIGHTED AVERAGE RATE OF INTEREST SUBMITTED BY THE PETITIONER (Rs. Crore)</w:t>
      </w:r>
      <w:bookmarkEnd w:id="501"/>
    </w:p>
    <w:tbl>
      <w:tblPr>
        <w:tblW w:w="7470" w:type="dxa"/>
        <w:tblInd w:w="82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580"/>
        <w:gridCol w:w="1890"/>
      </w:tblGrid>
      <w:tr w:rsidR="004C74C2" w:rsidRPr="00B53423" w:rsidTr="009268E4">
        <w:trPr>
          <w:trHeight w:val="300"/>
          <w:tblHeader/>
        </w:trPr>
        <w:tc>
          <w:tcPr>
            <w:tcW w:w="5580"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rPr>
            </w:pPr>
            <w:r w:rsidRPr="00B53423">
              <w:rPr>
                <w:b/>
                <w:bCs/>
                <w:color w:val="000000"/>
              </w:rPr>
              <w:t>Particulars</w:t>
            </w:r>
          </w:p>
        </w:tc>
        <w:tc>
          <w:tcPr>
            <w:tcW w:w="1890"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rPr>
            </w:pPr>
            <w:r w:rsidRPr="00B53423">
              <w:rPr>
                <w:b/>
                <w:bCs/>
                <w:color w:val="000000"/>
              </w:rPr>
              <w:t>FY 2010-11</w:t>
            </w:r>
          </w:p>
        </w:tc>
      </w:tr>
      <w:tr w:rsidR="004C74C2" w:rsidRPr="00B53423" w:rsidTr="009268E4">
        <w:trPr>
          <w:trHeight w:val="20"/>
        </w:trPr>
        <w:tc>
          <w:tcPr>
            <w:tcW w:w="5580" w:type="dxa"/>
            <w:shd w:val="clear" w:color="auto" w:fill="auto"/>
            <w:hideMark/>
          </w:tcPr>
          <w:p w:rsidR="004C74C2" w:rsidRPr="00B53423" w:rsidRDefault="004C74C2" w:rsidP="0015232B">
            <w:pPr>
              <w:spacing w:before="0" w:line="240" w:lineRule="auto"/>
              <w:jc w:val="left"/>
              <w:rPr>
                <w:color w:val="000000"/>
              </w:rPr>
            </w:pPr>
            <w:r w:rsidRPr="00B53423">
              <w:t>Opening Loan</w:t>
            </w:r>
          </w:p>
        </w:tc>
        <w:tc>
          <w:tcPr>
            <w:tcW w:w="1890" w:type="dxa"/>
            <w:shd w:val="clear" w:color="auto" w:fill="auto"/>
            <w:vAlign w:val="center"/>
            <w:hideMark/>
          </w:tcPr>
          <w:p w:rsidR="004C74C2" w:rsidRPr="00B53423" w:rsidRDefault="004C74C2" w:rsidP="0015232B">
            <w:pPr>
              <w:spacing w:before="0" w:line="240" w:lineRule="auto"/>
              <w:ind w:right="432"/>
              <w:jc w:val="right"/>
              <w:rPr>
                <w:color w:val="000000"/>
              </w:rPr>
            </w:pPr>
            <w:r w:rsidRPr="00B53423">
              <w:rPr>
                <w:lang w:val="en-IN" w:eastAsia="en-IN"/>
              </w:rPr>
              <w:t>89.37</w:t>
            </w:r>
          </w:p>
        </w:tc>
      </w:tr>
      <w:tr w:rsidR="004C74C2" w:rsidRPr="00B53423" w:rsidTr="009268E4">
        <w:trPr>
          <w:trHeight w:val="300"/>
        </w:trPr>
        <w:tc>
          <w:tcPr>
            <w:tcW w:w="5580" w:type="dxa"/>
            <w:shd w:val="clear" w:color="auto" w:fill="auto"/>
            <w:hideMark/>
          </w:tcPr>
          <w:p w:rsidR="004C74C2" w:rsidRPr="00B53423" w:rsidRDefault="004C74C2" w:rsidP="0015232B">
            <w:pPr>
              <w:spacing w:before="0" w:line="240" w:lineRule="auto"/>
              <w:jc w:val="left"/>
              <w:rPr>
                <w:rFonts w:cs="Tahoma"/>
                <w:color w:val="000000"/>
              </w:rPr>
            </w:pPr>
            <w:r w:rsidRPr="00B53423">
              <w:t>Closing Loan Balance</w:t>
            </w:r>
          </w:p>
        </w:tc>
        <w:tc>
          <w:tcPr>
            <w:tcW w:w="1890" w:type="dxa"/>
            <w:shd w:val="clear" w:color="auto" w:fill="auto"/>
            <w:vAlign w:val="center"/>
            <w:hideMark/>
          </w:tcPr>
          <w:p w:rsidR="004C74C2" w:rsidRPr="00B53423" w:rsidRDefault="004C74C2" w:rsidP="0015232B">
            <w:pPr>
              <w:spacing w:before="0" w:line="240" w:lineRule="auto"/>
              <w:ind w:right="432"/>
              <w:jc w:val="right"/>
              <w:rPr>
                <w:rFonts w:cs="Tahoma"/>
                <w:color w:val="000000"/>
              </w:rPr>
            </w:pPr>
            <w:r w:rsidRPr="00B53423">
              <w:rPr>
                <w:lang w:val="en-IN" w:eastAsia="en-IN"/>
              </w:rPr>
              <w:t>78.75</w:t>
            </w:r>
          </w:p>
        </w:tc>
      </w:tr>
      <w:tr w:rsidR="004C74C2" w:rsidRPr="00B53423" w:rsidTr="009268E4">
        <w:trPr>
          <w:trHeight w:val="300"/>
        </w:trPr>
        <w:tc>
          <w:tcPr>
            <w:tcW w:w="5580" w:type="dxa"/>
            <w:shd w:val="clear" w:color="auto" w:fill="auto"/>
            <w:hideMark/>
          </w:tcPr>
          <w:p w:rsidR="004C74C2" w:rsidRPr="00B53423" w:rsidRDefault="004C74C2" w:rsidP="0015232B">
            <w:pPr>
              <w:spacing w:before="0" w:line="240" w:lineRule="auto"/>
              <w:jc w:val="left"/>
              <w:rPr>
                <w:color w:val="000000"/>
              </w:rPr>
            </w:pPr>
            <w:r w:rsidRPr="00B53423">
              <w:t>Interest</w:t>
            </w:r>
          </w:p>
        </w:tc>
        <w:tc>
          <w:tcPr>
            <w:tcW w:w="1890" w:type="dxa"/>
            <w:shd w:val="clear" w:color="auto" w:fill="auto"/>
            <w:vAlign w:val="center"/>
            <w:hideMark/>
          </w:tcPr>
          <w:p w:rsidR="004C74C2" w:rsidRPr="00B53423" w:rsidRDefault="004C74C2" w:rsidP="0015232B">
            <w:pPr>
              <w:spacing w:before="0" w:line="240" w:lineRule="auto"/>
              <w:ind w:right="432"/>
              <w:jc w:val="right"/>
              <w:rPr>
                <w:color w:val="000000"/>
              </w:rPr>
            </w:pPr>
            <w:r w:rsidRPr="00B53423">
              <w:rPr>
                <w:lang w:val="en-IN" w:eastAsia="en-IN"/>
              </w:rPr>
              <w:t>10.92</w:t>
            </w:r>
          </w:p>
        </w:tc>
      </w:tr>
      <w:tr w:rsidR="004C74C2" w:rsidRPr="00B53423" w:rsidTr="009268E4">
        <w:trPr>
          <w:trHeight w:val="300"/>
        </w:trPr>
        <w:tc>
          <w:tcPr>
            <w:tcW w:w="5580" w:type="dxa"/>
            <w:shd w:val="clear" w:color="auto" w:fill="auto"/>
            <w:hideMark/>
          </w:tcPr>
          <w:p w:rsidR="004C74C2" w:rsidRPr="00B53423" w:rsidRDefault="004C74C2" w:rsidP="0015232B">
            <w:pPr>
              <w:spacing w:before="0" w:line="240" w:lineRule="auto"/>
              <w:jc w:val="left"/>
              <w:rPr>
                <w:b/>
                <w:bCs/>
                <w:color w:val="000000"/>
              </w:rPr>
            </w:pPr>
            <w:r w:rsidRPr="00B53423">
              <w:t>Rate of Interest</w:t>
            </w:r>
            <w:r w:rsidRPr="00B53423" w:rsidDel="002B3EDC">
              <w:rPr>
                <w:b/>
                <w:bCs/>
                <w:color w:val="000000"/>
              </w:rPr>
              <w:t xml:space="preserve"> </w:t>
            </w:r>
          </w:p>
        </w:tc>
        <w:tc>
          <w:tcPr>
            <w:tcW w:w="1890" w:type="dxa"/>
            <w:shd w:val="clear" w:color="auto" w:fill="auto"/>
            <w:vAlign w:val="center"/>
            <w:hideMark/>
          </w:tcPr>
          <w:p w:rsidR="004C74C2" w:rsidRPr="00B53423" w:rsidRDefault="004C74C2" w:rsidP="0015232B">
            <w:pPr>
              <w:spacing w:before="0" w:line="240" w:lineRule="auto"/>
              <w:ind w:right="432"/>
              <w:jc w:val="right"/>
              <w:rPr>
                <w:b/>
                <w:bCs/>
                <w:color w:val="000000"/>
              </w:rPr>
            </w:pPr>
            <w:r w:rsidRPr="00B53423">
              <w:rPr>
                <w:lang w:val="en-IN" w:eastAsia="en-IN"/>
              </w:rPr>
              <w:t>12.99%</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Accordingly, based on the above, the revised interest on long term loan claimed by the Petitioner works out to Rs. 2.68 Crore. Further, the Petitioner has not claimed any amount towards normative interest capitalization in accordance with the Audited Accounts. Thus, net interest on long term loan, claimed by the Petitioner works out to Rs. 2.68 Crore for FY 2010-11.</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Based on the approach explained in earlier para</w:t>
      </w:r>
      <w:r w:rsidR="009A76A5" w:rsidRPr="00B53423">
        <w:t xml:space="preserve"> </w:t>
      </w:r>
      <w:fldSimple w:instr=" REF _Ref396854682 \r \h  \* MERGEFORMAT ">
        <w:r w:rsidR="00847C1B">
          <w:t>4.5.9</w:t>
        </w:r>
      </w:fldSimple>
      <w:r w:rsidRPr="00B53423">
        <w:t xml:space="preserve"> the Commission, has derived the actual capital investments undertaken by the Petitioner in FY 2010-11 based on the Audited Accounts. The details are provided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jc w:val="center"/>
        <w:rPr>
          <w:rFonts w:asciiTheme="minorHAnsi" w:hAnsiTheme="minorHAnsi" w:cstheme="minorHAnsi"/>
          <w:b/>
        </w:rPr>
      </w:pPr>
      <w:bookmarkStart w:id="502" w:name="_Toc399626365"/>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t>: CAPITAL INVESTMENTS IN FY 2010-11 (Rs. Crore)</w:t>
      </w:r>
      <w:bookmarkEnd w:id="502"/>
    </w:p>
    <w:tbl>
      <w:tblPr>
        <w:tblW w:w="8460" w:type="dxa"/>
        <w:tblInd w:w="-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70"/>
        <w:gridCol w:w="1350"/>
        <w:gridCol w:w="990"/>
        <w:gridCol w:w="1170"/>
        <w:gridCol w:w="1080"/>
      </w:tblGrid>
      <w:tr w:rsidR="004C74C2" w:rsidRPr="00B53423" w:rsidTr="009268E4">
        <w:trPr>
          <w:trHeight w:val="300"/>
          <w:tblHeader/>
        </w:trPr>
        <w:tc>
          <w:tcPr>
            <w:tcW w:w="387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Particulars</w:t>
            </w:r>
          </w:p>
        </w:tc>
        <w:tc>
          <w:tcPr>
            <w:tcW w:w="135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Tariff Order</w:t>
            </w:r>
          </w:p>
        </w:tc>
        <w:tc>
          <w:tcPr>
            <w:tcW w:w="99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Audited</w:t>
            </w:r>
          </w:p>
        </w:tc>
        <w:tc>
          <w:tcPr>
            <w:tcW w:w="117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108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9268E4">
        <w:trPr>
          <w:trHeight w:val="300"/>
        </w:trPr>
        <w:tc>
          <w:tcPr>
            <w:tcW w:w="387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Opening WIP  as on 1st April</w:t>
            </w:r>
          </w:p>
        </w:tc>
        <w:tc>
          <w:tcPr>
            <w:tcW w:w="1350" w:type="dxa"/>
            <w:shd w:val="clear" w:color="auto" w:fill="auto"/>
            <w:vAlign w:val="bottom"/>
            <w:hideMark/>
          </w:tcPr>
          <w:p w:rsidR="004C74C2" w:rsidRPr="00B53423" w:rsidRDefault="004C74C2" w:rsidP="0015232B">
            <w:pPr>
              <w:spacing w:before="0" w:line="240" w:lineRule="auto"/>
              <w:ind w:right="162"/>
              <w:jc w:val="right"/>
              <w:rPr>
                <w:rFonts w:cs="Calibri"/>
                <w:color w:val="000000"/>
              </w:rPr>
            </w:pPr>
            <w:r w:rsidRPr="00B53423">
              <w:rPr>
                <w:rFonts w:cs="Calibri"/>
                <w:color w:val="000000"/>
              </w:rPr>
              <w:t xml:space="preserve"> 46.5 </w:t>
            </w:r>
          </w:p>
        </w:tc>
        <w:tc>
          <w:tcPr>
            <w:tcW w:w="99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46.48</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46.48</w:t>
            </w:r>
          </w:p>
        </w:tc>
        <w:tc>
          <w:tcPr>
            <w:tcW w:w="1080" w:type="dxa"/>
            <w:shd w:val="clear" w:color="auto" w:fill="auto"/>
            <w:vAlign w:val="bottom"/>
            <w:hideMark/>
          </w:tcPr>
          <w:p w:rsidR="004C74C2" w:rsidRPr="00B53423" w:rsidRDefault="004C74C2" w:rsidP="0015232B">
            <w:pPr>
              <w:spacing w:before="0" w:line="240" w:lineRule="auto"/>
              <w:ind w:right="250"/>
              <w:jc w:val="right"/>
              <w:rPr>
                <w:rFonts w:cs="Calibri"/>
                <w:color w:val="000000"/>
              </w:rPr>
            </w:pPr>
            <w:r w:rsidRPr="00B53423">
              <w:rPr>
                <w:rFonts w:cs="Calibri"/>
                <w:color w:val="000000"/>
              </w:rPr>
              <w:t>46.48</w:t>
            </w:r>
          </w:p>
        </w:tc>
      </w:tr>
      <w:tr w:rsidR="004C74C2" w:rsidRPr="00B53423" w:rsidTr="009268E4">
        <w:trPr>
          <w:trHeight w:val="330"/>
        </w:trPr>
        <w:tc>
          <w:tcPr>
            <w:tcW w:w="387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Investments</w:t>
            </w:r>
          </w:p>
        </w:tc>
        <w:tc>
          <w:tcPr>
            <w:tcW w:w="1350" w:type="dxa"/>
            <w:vMerge w:val="restart"/>
            <w:shd w:val="clear" w:color="auto" w:fill="auto"/>
            <w:vAlign w:val="bottom"/>
            <w:hideMark/>
          </w:tcPr>
          <w:p w:rsidR="004C74C2" w:rsidRPr="00B53423" w:rsidRDefault="004C74C2" w:rsidP="0015232B">
            <w:pPr>
              <w:spacing w:before="0" w:line="240" w:lineRule="auto"/>
              <w:ind w:right="162"/>
              <w:jc w:val="right"/>
              <w:rPr>
                <w:rFonts w:cs="Calibri"/>
                <w:color w:val="000000"/>
              </w:rPr>
            </w:pPr>
            <w:r w:rsidRPr="00B53423">
              <w:rPr>
                <w:rFonts w:cs="Calibri"/>
                <w:color w:val="000000"/>
              </w:rPr>
              <w:t>30.10</w:t>
            </w:r>
          </w:p>
          <w:p w:rsidR="004C74C2" w:rsidRPr="00B53423" w:rsidRDefault="004C74C2" w:rsidP="0015232B">
            <w:pPr>
              <w:spacing w:before="0" w:line="240" w:lineRule="auto"/>
              <w:ind w:right="162"/>
              <w:jc w:val="right"/>
              <w:rPr>
                <w:rFonts w:cs="Calibri"/>
                <w:color w:val="000000"/>
              </w:rPr>
            </w:pPr>
            <w:r w:rsidRPr="00B53423">
              <w:rPr>
                <w:rFonts w:cs="Calibri"/>
                <w:color w:val="000000"/>
              </w:rPr>
              <w:t> </w:t>
            </w:r>
          </w:p>
          <w:p w:rsidR="004C74C2" w:rsidRPr="00B53423" w:rsidRDefault="004C74C2" w:rsidP="0015232B">
            <w:pPr>
              <w:spacing w:before="0" w:line="240" w:lineRule="auto"/>
              <w:ind w:right="162"/>
              <w:jc w:val="right"/>
              <w:rPr>
                <w:rFonts w:cs="Calibri"/>
                <w:color w:val="000000"/>
              </w:rPr>
            </w:pPr>
            <w:r w:rsidRPr="00B53423">
              <w:rPr>
                <w:rFonts w:cs="Calibri"/>
                <w:color w:val="000000"/>
              </w:rPr>
              <w:t> </w:t>
            </w:r>
          </w:p>
          <w:p w:rsidR="004C74C2" w:rsidRPr="00B53423" w:rsidRDefault="004C74C2" w:rsidP="0015232B">
            <w:pPr>
              <w:spacing w:line="240" w:lineRule="auto"/>
              <w:ind w:right="162"/>
              <w:jc w:val="right"/>
              <w:rPr>
                <w:rFonts w:cs="Calibri"/>
                <w:color w:val="000000"/>
              </w:rPr>
            </w:pPr>
            <w:r w:rsidRPr="00B53423">
              <w:rPr>
                <w:rFonts w:cs="Calibri"/>
                <w:color w:val="000000"/>
              </w:rPr>
              <w:t> </w:t>
            </w:r>
          </w:p>
        </w:tc>
        <w:tc>
          <w:tcPr>
            <w:tcW w:w="99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30.12</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30.12</w:t>
            </w:r>
          </w:p>
        </w:tc>
        <w:tc>
          <w:tcPr>
            <w:tcW w:w="1080" w:type="dxa"/>
            <w:shd w:val="clear" w:color="auto" w:fill="auto"/>
            <w:vAlign w:val="bottom"/>
            <w:hideMark/>
          </w:tcPr>
          <w:p w:rsidR="004C74C2" w:rsidRPr="00B53423" w:rsidRDefault="004C74C2" w:rsidP="0015232B">
            <w:pPr>
              <w:spacing w:before="0" w:line="240" w:lineRule="auto"/>
              <w:ind w:right="250"/>
              <w:jc w:val="right"/>
              <w:rPr>
                <w:rFonts w:cs="Calibri"/>
                <w:color w:val="000000"/>
              </w:rPr>
            </w:pPr>
            <w:r w:rsidRPr="00B53423">
              <w:rPr>
                <w:rFonts w:cs="Calibri"/>
                <w:color w:val="000000"/>
              </w:rPr>
              <w:t>30.12</w:t>
            </w:r>
          </w:p>
        </w:tc>
      </w:tr>
      <w:tr w:rsidR="004C74C2" w:rsidRPr="00B53423" w:rsidTr="009268E4">
        <w:trPr>
          <w:trHeight w:val="300"/>
        </w:trPr>
        <w:tc>
          <w:tcPr>
            <w:tcW w:w="387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 xml:space="preserve">Employee Expenses Capitalisation </w:t>
            </w:r>
          </w:p>
        </w:tc>
        <w:tc>
          <w:tcPr>
            <w:tcW w:w="1350" w:type="dxa"/>
            <w:vMerge/>
            <w:shd w:val="clear" w:color="auto" w:fill="auto"/>
            <w:vAlign w:val="bottom"/>
            <w:hideMark/>
          </w:tcPr>
          <w:p w:rsidR="004C74C2" w:rsidRPr="00B53423" w:rsidRDefault="004C74C2" w:rsidP="0015232B">
            <w:pPr>
              <w:spacing w:line="240" w:lineRule="auto"/>
              <w:ind w:right="162"/>
              <w:jc w:val="right"/>
              <w:rPr>
                <w:rFonts w:cs="Calibri"/>
                <w:color w:val="000000"/>
              </w:rPr>
            </w:pPr>
          </w:p>
        </w:tc>
        <w:tc>
          <w:tcPr>
            <w:tcW w:w="99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3.25</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3.25</w:t>
            </w:r>
          </w:p>
        </w:tc>
        <w:tc>
          <w:tcPr>
            <w:tcW w:w="1080" w:type="dxa"/>
            <w:shd w:val="clear" w:color="auto" w:fill="auto"/>
            <w:vAlign w:val="bottom"/>
            <w:hideMark/>
          </w:tcPr>
          <w:p w:rsidR="004C74C2" w:rsidRPr="00B53423" w:rsidRDefault="004C74C2" w:rsidP="0015232B">
            <w:pPr>
              <w:spacing w:before="0" w:line="240" w:lineRule="auto"/>
              <w:ind w:right="250"/>
              <w:jc w:val="right"/>
              <w:rPr>
                <w:rFonts w:cs="Calibri"/>
                <w:color w:val="000000"/>
              </w:rPr>
            </w:pPr>
            <w:r w:rsidRPr="00B53423">
              <w:rPr>
                <w:rFonts w:cs="Calibri"/>
                <w:color w:val="000000"/>
              </w:rPr>
              <w:t>3.25</w:t>
            </w:r>
          </w:p>
        </w:tc>
      </w:tr>
      <w:tr w:rsidR="004C74C2" w:rsidRPr="00B53423" w:rsidTr="009268E4">
        <w:trPr>
          <w:trHeight w:val="300"/>
        </w:trPr>
        <w:tc>
          <w:tcPr>
            <w:tcW w:w="387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A&amp;G Expenses Capitalisation</w:t>
            </w:r>
          </w:p>
        </w:tc>
        <w:tc>
          <w:tcPr>
            <w:tcW w:w="1350" w:type="dxa"/>
            <w:vMerge/>
            <w:shd w:val="clear" w:color="auto" w:fill="auto"/>
            <w:vAlign w:val="bottom"/>
            <w:hideMark/>
          </w:tcPr>
          <w:p w:rsidR="004C74C2" w:rsidRPr="00B53423" w:rsidRDefault="004C74C2" w:rsidP="0015232B">
            <w:pPr>
              <w:spacing w:line="240" w:lineRule="auto"/>
              <w:ind w:right="162"/>
              <w:jc w:val="right"/>
              <w:rPr>
                <w:rFonts w:cs="Calibri"/>
                <w:color w:val="000000"/>
              </w:rPr>
            </w:pPr>
          </w:p>
        </w:tc>
        <w:tc>
          <w:tcPr>
            <w:tcW w:w="99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080" w:type="dxa"/>
            <w:shd w:val="clear" w:color="auto" w:fill="auto"/>
            <w:vAlign w:val="bottom"/>
            <w:hideMark/>
          </w:tcPr>
          <w:p w:rsidR="004C74C2" w:rsidRPr="00B53423" w:rsidRDefault="004C74C2" w:rsidP="0015232B">
            <w:pPr>
              <w:spacing w:before="0" w:line="240" w:lineRule="auto"/>
              <w:ind w:right="250"/>
              <w:jc w:val="right"/>
              <w:rPr>
                <w:rFonts w:cs="Calibri"/>
                <w:color w:val="000000"/>
              </w:rPr>
            </w:pPr>
            <w:r w:rsidRPr="00B53423">
              <w:rPr>
                <w:rFonts w:cs="Calibri"/>
                <w:color w:val="000000"/>
              </w:rPr>
              <w:t>0.00</w:t>
            </w:r>
          </w:p>
        </w:tc>
      </w:tr>
      <w:tr w:rsidR="004C74C2" w:rsidRPr="00B53423" w:rsidTr="009268E4">
        <w:trPr>
          <w:trHeight w:val="600"/>
        </w:trPr>
        <w:tc>
          <w:tcPr>
            <w:tcW w:w="387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Interest Capitalisation on Interest on long term loans</w:t>
            </w:r>
          </w:p>
        </w:tc>
        <w:tc>
          <w:tcPr>
            <w:tcW w:w="1350" w:type="dxa"/>
            <w:vMerge/>
            <w:shd w:val="clear" w:color="auto" w:fill="auto"/>
            <w:vAlign w:val="bottom"/>
            <w:hideMark/>
          </w:tcPr>
          <w:p w:rsidR="004C74C2" w:rsidRPr="00B53423" w:rsidRDefault="004C74C2" w:rsidP="0015232B">
            <w:pPr>
              <w:spacing w:before="0" w:line="240" w:lineRule="auto"/>
              <w:ind w:right="162"/>
              <w:jc w:val="right"/>
              <w:rPr>
                <w:rFonts w:cs="Calibri"/>
                <w:color w:val="000000"/>
              </w:rPr>
            </w:pPr>
          </w:p>
        </w:tc>
        <w:tc>
          <w:tcPr>
            <w:tcW w:w="99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170"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080" w:type="dxa"/>
            <w:shd w:val="clear" w:color="auto" w:fill="auto"/>
            <w:vAlign w:val="bottom"/>
            <w:hideMark/>
          </w:tcPr>
          <w:p w:rsidR="004C74C2" w:rsidRPr="00B53423" w:rsidRDefault="004C74C2" w:rsidP="0015232B">
            <w:pPr>
              <w:spacing w:before="0" w:line="240" w:lineRule="auto"/>
              <w:ind w:right="250"/>
              <w:jc w:val="right"/>
              <w:rPr>
                <w:rFonts w:cs="Calibri"/>
                <w:color w:val="000000"/>
              </w:rPr>
            </w:pPr>
            <w:r w:rsidRPr="00B53423">
              <w:rPr>
                <w:rFonts w:cs="Calibri"/>
                <w:color w:val="000000"/>
              </w:rPr>
              <w:t>0.00</w:t>
            </w:r>
          </w:p>
        </w:tc>
      </w:tr>
      <w:tr w:rsidR="004C74C2" w:rsidRPr="00B53423" w:rsidTr="009268E4">
        <w:trPr>
          <w:trHeight w:val="300"/>
        </w:trPr>
        <w:tc>
          <w:tcPr>
            <w:tcW w:w="3870"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Total Investments</w:t>
            </w:r>
          </w:p>
        </w:tc>
        <w:tc>
          <w:tcPr>
            <w:tcW w:w="1350" w:type="dxa"/>
            <w:shd w:val="clear" w:color="auto" w:fill="auto"/>
            <w:vAlign w:val="bottom"/>
            <w:hideMark/>
          </w:tcPr>
          <w:p w:rsidR="004C74C2" w:rsidRPr="00B53423" w:rsidRDefault="004C74C2" w:rsidP="0015232B">
            <w:pPr>
              <w:spacing w:before="0" w:line="240" w:lineRule="auto"/>
              <w:ind w:right="162"/>
              <w:jc w:val="right"/>
              <w:rPr>
                <w:rFonts w:cs="Calibri"/>
                <w:b/>
                <w:color w:val="000000"/>
              </w:rPr>
            </w:pPr>
            <w:r w:rsidRPr="00B53423">
              <w:rPr>
                <w:rFonts w:cs="Calibri"/>
                <w:b/>
                <w:color w:val="000000"/>
              </w:rPr>
              <w:t xml:space="preserve"> 80.2 </w:t>
            </w:r>
          </w:p>
        </w:tc>
        <w:tc>
          <w:tcPr>
            <w:tcW w:w="99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79.86</w:t>
            </w:r>
          </w:p>
        </w:tc>
        <w:tc>
          <w:tcPr>
            <w:tcW w:w="117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79.86</w:t>
            </w:r>
          </w:p>
        </w:tc>
        <w:tc>
          <w:tcPr>
            <w:tcW w:w="1080" w:type="dxa"/>
            <w:shd w:val="clear" w:color="auto" w:fill="auto"/>
            <w:vAlign w:val="bottom"/>
            <w:hideMark/>
          </w:tcPr>
          <w:p w:rsidR="004C74C2" w:rsidRPr="00B53423" w:rsidRDefault="004C74C2" w:rsidP="0015232B">
            <w:pPr>
              <w:spacing w:before="0" w:line="240" w:lineRule="auto"/>
              <w:ind w:right="250"/>
              <w:jc w:val="right"/>
              <w:rPr>
                <w:rFonts w:cs="Calibri"/>
                <w:b/>
                <w:bCs/>
                <w:color w:val="000000"/>
              </w:rPr>
            </w:pPr>
            <w:r w:rsidRPr="00B53423">
              <w:rPr>
                <w:rFonts w:cs="Calibri"/>
                <w:b/>
                <w:bCs/>
                <w:color w:val="000000"/>
              </w:rPr>
              <w:t>79.86</w:t>
            </w:r>
          </w:p>
        </w:tc>
      </w:tr>
      <w:tr w:rsidR="004C74C2" w:rsidRPr="00B53423" w:rsidTr="009268E4">
        <w:trPr>
          <w:trHeight w:val="300"/>
        </w:trPr>
        <w:tc>
          <w:tcPr>
            <w:tcW w:w="3870"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Transferred to GFA (Total Capitalisation)</w:t>
            </w:r>
          </w:p>
        </w:tc>
        <w:tc>
          <w:tcPr>
            <w:tcW w:w="1350" w:type="dxa"/>
            <w:shd w:val="clear" w:color="auto" w:fill="auto"/>
            <w:vAlign w:val="bottom"/>
            <w:hideMark/>
          </w:tcPr>
          <w:p w:rsidR="004C74C2" w:rsidRPr="00B53423" w:rsidRDefault="004C74C2" w:rsidP="0015232B">
            <w:pPr>
              <w:spacing w:before="0" w:line="240" w:lineRule="auto"/>
              <w:ind w:right="162"/>
              <w:jc w:val="right"/>
              <w:rPr>
                <w:rFonts w:cs="Calibri"/>
                <w:b/>
                <w:color w:val="000000"/>
              </w:rPr>
            </w:pPr>
            <w:r w:rsidRPr="00B53423">
              <w:rPr>
                <w:rFonts w:cs="Calibri"/>
                <w:b/>
                <w:color w:val="000000"/>
              </w:rPr>
              <w:t xml:space="preserve">0.00  </w:t>
            </w:r>
          </w:p>
        </w:tc>
        <w:tc>
          <w:tcPr>
            <w:tcW w:w="99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43.35</w:t>
            </w:r>
          </w:p>
        </w:tc>
        <w:tc>
          <w:tcPr>
            <w:tcW w:w="117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43.35</w:t>
            </w:r>
          </w:p>
        </w:tc>
        <w:tc>
          <w:tcPr>
            <w:tcW w:w="1080" w:type="dxa"/>
            <w:shd w:val="clear" w:color="auto" w:fill="auto"/>
            <w:vAlign w:val="bottom"/>
            <w:hideMark/>
          </w:tcPr>
          <w:p w:rsidR="004C74C2" w:rsidRPr="00B53423" w:rsidRDefault="004C74C2" w:rsidP="0015232B">
            <w:pPr>
              <w:spacing w:before="0" w:line="240" w:lineRule="auto"/>
              <w:ind w:right="250"/>
              <w:jc w:val="right"/>
              <w:rPr>
                <w:rFonts w:cs="Calibri"/>
                <w:b/>
                <w:bCs/>
                <w:color w:val="000000"/>
              </w:rPr>
            </w:pPr>
            <w:r w:rsidRPr="00B53423">
              <w:rPr>
                <w:rFonts w:cs="Calibri"/>
                <w:b/>
                <w:bCs/>
                <w:color w:val="000000"/>
              </w:rPr>
              <w:t>43.35</w:t>
            </w:r>
          </w:p>
        </w:tc>
      </w:tr>
      <w:tr w:rsidR="004C74C2" w:rsidRPr="00B53423" w:rsidTr="009268E4">
        <w:trPr>
          <w:trHeight w:val="300"/>
        </w:trPr>
        <w:tc>
          <w:tcPr>
            <w:tcW w:w="3870"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Closing WIP</w:t>
            </w:r>
          </w:p>
        </w:tc>
        <w:tc>
          <w:tcPr>
            <w:tcW w:w="1350" w:type="dxa"/>
            <w:shd w:val="clear" w:color="auto" w:fill="auto"/>
            <w:vAlign w:val="bottom"/>
            <w:hideMark/>
          </w:tcPr>
          <w:p w:rsidR="004C74C2" w:rsidRPr="00B53423" w:rsidRDefault="004C74C2" w:rsidP="0015232B">
            <w:pPr>
              <w:spacing w:before="0" w:line="240" w:lineRule="auto"/>
              <w:ind w:right="162"/>
              <w:jc w:val="right"/>
              <w:rPr>
                <w:rFonts w:cs="Calibri"/>
                <w:b/>
                <w:color w:val="000000"/>
              </w:rPr>
            </w:pPr>
            <w:r w:rsidRPr="00B53423">
              <w:rPr>
                <w:rFonts w:cs="Calibri"/>
                <w:b/>
                <w:color w:val="000000"/>
              </w:rPr>
              <w:t xml:space="preserve"> 80.2 </w:t>
            </w:r>
          </w:p>
        </w:tc>
        <w:tc>
          <w:tcPr>
            <w:tcW w:w="99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36.50</w:t>
            </w:r>
          </w:p>
        </w:tc>
        <w:tc>
          <w:tcPr>
            <w:tcW w:w="1170"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36.50</w:t>
            </w:r>
          </w:p>
        </w:tc>
        <w:tc>
          <w:tcPr>
            <w:tcW w:w="1080" w:type="dxa"/>
            <w:shd w:val="clear" w:color="auto" w:fill="auto"/>
            <w:vAlign w:val="bottom"/>
            <w:hideMark/>
          </w:tcPr>
          <w:p w:rsidR="004C74C2" w:rsidRPr="00B53423" w:rsidRDefault="004C74C2" w:rsidP="0015232B">
            <w:pPr>
              <w:spacing w:before="0" w:line="240" w:lineRule="auto"/>
              <w:ind w:right="250"/>
              <w:jc w:val="right"/>
              <w:rPr>
                <w:rFonts w:cs="Calibri"/>
                <w:b/>
                <w:bCs/>
                <w:color w:val="000000"/>
              </w:rPr>
            </w:pPr>
            <w:r w:rsidRPr="00B53423">
              <w:rPr>
                <w:rFonts w:cs="Calibri"/>
                <w:b/>
                <w:bCs/>
                <w:color w:val="000000"/>
              </w:rPr>
              <w:t>36.50</w:t>
            </w:r>
          </w:p>
        </w:tc>
      </w:tr>
    </w:tbl>
    <w:p w:rsidR="004C74C2" w:rsidRPr="00B53423" w:rsidRDefault="004C74C2" w:rsidP="0015232B">
      <w:pPr>
        <w:spacing w:before="0"/>
        <w:jc w:val="center"/>
        <w:rPr>
          <w:rFonts w:asciiTheme="minorHAnsi" w:hAnsiTheme="minorHAnsi" w:cstheme="minorHAnsi"/>
          <w:b/>
        </w:rPr>
      </w:pPr>
    </w:p>
    <w:p w:rsidR="004C74C2" w:rsidRPr="00B53423" w:rsidRDefault="004C74C2" w:rsidP="0015232B">
      <w:pPr>
        <w:pStyle w:val="Heading3"/>
        <w:keepNext w:val="0"/>
        <w:ind w:hanging="1080"/>
      </w:pPr>
      <w:r w:rsidRPr="00B53423">
        <w:t xml:space="preserve">The Commission has considered the normative 70:30 gearing approach, 70% of the capital expenditure undertaken in any year has been considered to be financed through loan and balance 30% has been considered to be financed through equity contributions.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vide its deficiency note has asked the Petitioner to submit the details of the GFA addition on account of Consumer Contribution, Grants and subsidies for FY 2008-09 to FY 2011-12. In reply to the Commission’s query the Petitioner submitted the details of GFA addition on account of Consumer Contribution, Grants and subsidies for FY 2010-11 as shown in the Table below:</w:t>
      </w:r>
    </w:p>
    <w:p w:rsidR="004C74C2" w:rsidRPr="00B53423" w:rsidRDefault="004C74C2" w:rsidP="0015232B">
      <w:pPr>
        <w:pStyle w:val="ListParagraph"/>
        <w:ind w:left="180"/>
      </w:pPr>
    </w:p>
    <w:p w:rsidR="004C74C2" w:rsidRPr="00B53423" w:rsidRDefault="004C74C2" w:rsidP="0015232B">
      <w:pPr>
        <w:pStyle w:val="ListParagraph"/>
        <w:spacing w:line="312" w:lineRule="auto"/>
        <w:ind w:left="360" w:firstLine="360"/>
        <w:rPr>
          <w:rFonts w:asciiTheme="minorHAnsi" w:hAnsiTheme="minorHAnsi"/>
          <w:sz w:val="22"/>
          <w:szCs w:val="22"/>
        </w:rPr>
      </w:pPr>
      <w:bookmarkStart w:id="503" w:name="_Toc399626366"/>
      <w:r w:rsidRPr="00B53423">
        <w:rPr>
          <w:rFonts w:asciiTheme="minorHAnsi" w:hAnsiTheme="minorHAnsi" w:cstheme="minorHAnsi"/>
          <w:b/>
          <w:caps/>
        </w:rPr>
        <w:t xml:space="preserve">Table </w:t>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STYLEREF 1 \s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6</w:t>
      </w:r>
      <w:r w:rsidR="005D68E7" w:rsidRPr="00B53423">
        <w:rPr>
          <w:rFonts w:asciiTheme="minorHAnsi" w:hAnsiTheme="minorHAnsi" w:cstheme="minorHAnsi"/>
          <w:b/>
          <w:caps/>
        </w:rPr>
        <w:fldChar w:fldCharType="end"/>
      </w:r>
      <w:r w:rsidRPr="00B53423">
        <w:rPr>
          <w:rFonts w:asciiTheme="minorHAnsi" w:hAnsiTheme="minorHAnsi" w:cstheme="minorHAnsi"/>
          <w:b/>
          <w:caps/>
        </w:rPr>
        <w:noBreakHyphen/>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SEQ Table \* ARABIC \s 1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8</w:t>
      </w:r>
      <w:r w:rsidR="005D68E7" w:rsidRPr="00B53423">
        <w:rPr>
          <w:rFonts w:asciiTheme="minorHAnsi" w:hAnsiTheme="minorHAnsi" w:cstheme="minorHAnsi"/>
          <w:b/>
          <w:caps/>
        </w:rPr>
        <w:fldChar w:fldCharType="end"/>
      </w:r>
      <w:r w:rsidRPr="00B53423">
        <w:rPr>
          <w:rFonts w:asciiTheme="minorHAnsi" w:hAnsiTheme="minorHAnsi" w:cstheme="minorHAnsi"/>
          <w:b/>
          <w:caps/>
        </w:rPr>
        <w:t xml:space="preserve">: </w:t>
      </w:r>
      <w:r w:rsidRPr="00B53423">
        <w:rPr>
          <w:rFonts w:asciiTheme="minorHAnsi" w:hAnsiTheme="minorHAnsi"/>
          <w:caps/>
          <w:sz w:val="22"/>
          <w:szCs w:val="22"/>
        </w:rPr>
        <w:t xml:space="preserve"> </w:t>
      </w:r>
      <w:r w:rsidRPr="00B53423">
        <w:rPr>
          <w:rFonts w:asciiTheme="minorHAnsi" w:hAnsiTheme="minorHAnsi"/>
          <w:b/>
          <w:caps/>
          <w:sz w:val="22"/>
          <w:szCs w:val="22"/>
        </w:rPr>
        <w:t>Consumer Contribution</w:t>
      </w:r>
      <w:r w:rsidRPr="00B53423">
        <w:rPr>
          <w:rFonts w:asciiTheme="minorHAnsi" w:hAnsiTheme="minorHAnsi" w:cstheme="minorHAnsi"/>
          <w:b/>
          <w:caps/>
          <w:sz w:val="22"/>
          <w:szCs w:val="22"/>
        </w:rPr>
        <w:t>, Grants and subsidies</w:t>
      </w:r>
      <w:r w:rsidRPr="00B53423">
        <w:rPr>
          <w:rFonts w:asciiTheme="minorHAnsi" w:hAnsiTheme="minorHAnsi" w:cstheme="minorHAnsi"/>
          <w:b/>
          <w:sz w:val="22"/>
          <w:szCs w:val="22"/>
        </w:rPr>
        <w:t xml:space="preserve"> (Rs. Crore)</w:t>
      </w:r>
      <w:bookmarkEnd w:id="503"/>
    </w:p>
    <w:tbl>
      <w:tblPr>
        <w:tblW w:w="7308" w:type="dxa"/>
        <w:jc w:val="center"/>
        <w:tblInd w:w="-278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584"/>
        <w:gridCol w:w="1724"/>
      </w:tblGrid>
      <w:tr w:rsidR="004C74C2" w:rsidRPr="00B53423" w:rsidTr="009268E4">
        <w:trPr>
          <w:trHeight w:val="300"/>
          <w:tblHeader/>
          <w:jc w:val="center"/>
        </w:trPr>
        <w:tc>
          <w:tcPr>
            <w:tcW w:w="5584" w:type="dxa"/>
            <w:shd w:val="clear" w:color="auto" w:fill="DBE5F1" w:themeFill="accent1" w:themeFillTint="33"/>
            <w:noWrap/>
            <w:vAlign w:val="center"/>
            <w:hideMark/>
          </w:tcPr>
          <w:p w:rsidR="004C74C2" w:rsidRPr="00B53423" w:rsidRDefault="004C74C2" w:rsidP="0015232B">
            <w:pPr>
              <w:spacing w:before="0"/>
              <w:jc w:val="center"/>
              <w:rPr>
                <w:b/>
                <w:bCs/>
                <w:color w:val="000000"/>
              </w:rPr>
            </w:pPr>
            <w:r w:rsidRPr="00B53423">
              <w:rPr>
                <w:b/>
                <w:bCs/>
                <w:color w:val="000000"/>
              </w:rPr>
              <w:t>Particulars</w:t>
            </w:r>
          </w:p>
        </w:tc>
        <w:tc>
          <w:tcPr>
            <w:tcW w:w="1724" w:type="dxa"/>
            <w:shd w:val="clear" w:color="auto" w:fill="DBE5F1" w:themeFill="accent1" w:themeFillTint="33"/>
            <w:noWrap/>
            <w:vAlign w:val="center"/>
            <w:hideMark/>
          </w:tcPr>
          <w:p w:rsidR="004C74C2" w:rsidRPr="00B53423" w:rsidRDefault="004C74C2" w:rsidP="0015232B">
            <w:pPr>
              <w:spacing w:before="0"/>
              <w:rPr>
                <w:b/>
                <w:bCs/>
                <w:color w:val="000000"/>
              </w:rPr>
            </w:pPr>
            <w:r w:rsidRPr="00B53423">
              <w:rPr>
                <w:b/>
                <w:bCs/>
                <w:color w:val="000000"/>
              </w:rPr>
              <w:t xml:space="preserve"> FY 2010-11</w:t>
            </w:r>
          </w:p>
        </w:tc>
      </w:tr>
      <w:tr w:rsidR="004C74C2" w:rsidRPr="00B53423" w:rsidTr="009268E4">
        <w:trPr>
          <w:trHeight w:val="300"/>
          <w:jc w:val="center"/>
        </w:trPr>
        <w:tc>
          <w:tcPr>
            <w:tcW w:w="5584"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Opening Balance</w:t>
            </w:r>
          </w:p>
        </w:tc>
        <w:tc>
          <w:tcPr>
            <w:tcW w:w="1724" w:type="dxa"/>
            <w:shd w:val="clear" w:color="auto" w:fill="auto"/>
            <w:noWrap/>
            <w:vAlign w:val="center"/>
            <w:hideMark/>
          </w:tcPr>
          <w:p w:rsidR="004C74C2" w:rsidRPr="00B53423" w:rsidRDefault="004C74C2" w:rsidP="0015232B">
            <w:pPr>
              <w:spacing w:before="0" w:line="240" w:lineRule="auto"/>
              <w:jc w:val="center"/>
              <w:rPr>
                <w:color w:val="000000"/>
              </w:rPr>
            </w:pPr>
            <w:r w:rsidRPr="00B53423">
              <w:rPr>
                <w:color w:val="000000"/>
              </w:rPr>
              <w:t>139.25</w:t>
            </w:r>
          </w:p>
        </w:tc>
      </w:tr>
      <w:tr w:rsidR="004C74C2" w:rsidRPr="00B53423" w:rsidTr="009268E4">
        <w:trPr>
          <w:trHeight w:val="300"/>
          <w:jc w:val="center"/>
        </w:trPr>
        <w:tc>
          <w:tcPr>
            <w:tcW w:w="5584"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Additions during the year</w:t>
            </w:r>
          </w:p>
        </w:tc>
        <w:tc>
          <w:tcPr>
            <w:tcW w:w="1724" w:type="dxa"/>
            <w:shd w:val="clear" w:color="auto" w:fill="auto"/>
            <w:noWrap/>
            <w:vAlign w:val="center"/>
            <w:hideMark/>
          </w:tcPr>
          <w:p w:rsidR="004C74C2" w:rsidRPr="00B53423" w:rsidRDefault="004C74C2" w:rsidP="0015232B">
            <w:pPr>
              <w:spacing w:before="0" w:line="240" w:lineRule="auto"/>
              <w:jc w:val="center"/>
              <w:rPr>
                <w:color w:val="000000"/>
              </w:rPr>
            </w:pPr>
            <w:r w:rsidRPr="00B53423">
              <w:rPr>
                <w:color w:val="000000"/>
              </w:rPr>
              <w:t>11.36</w:t>
            </w:r>
          </w:p>
        </w:tc>
      </w:tr>
      <w:tr w:rsidR="004C74C2" w:rsidRPr="00B53423" w:rsidTr="009268E4">
        <w:trPr>
          <w:trHeight w:val="300"/>
          <w:jc w:val="center"/>
        </w:trPr>
        <w:tc>
          <w:tcPr>
            <w:tcW w:w="5584"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Amortization</w:t>
            </w:r>
          </w:p>
        </w:tc>
        <w:tc>
          <w:tcPr>
            <w:tcW w:w="1724" w:type="dxa"/>
            <w:shd w:val="clear" w:color="auto" w:fill="auto"/>
            <w:noWrap/>
            <w:vAlign w:val="center"/>
            <w:hideMark/>
          </w:tcPr>
          <w:p w:rsidR="004C74C2" w:rsidRPr="00B53423" w:rsidRDefault="004C74C2" w:rsidP="0015232B">
            <w:pPr>
              <w:spacing w:before="0" w:line="240" w:lineRule="auto"/>
              <w:jc w:val="center"/>
              <w:rPr>
                <w:color w:val="000000"/>
              </w:rPr>
            </w:pPr>
            <w:r w:rsidRPr="00B53423">
              <w:rPr>
                <w:color w:val="000000"/>
              </w:rPr>
              <w:t>45.71</w:t>
            </w:r>
          </w:p>
        </w:tc>
      </w:tr>
      <w:tr w:rsidR="004C74C2" w:rsidRPr="00B53423" w:rsidTr="009268E4">
        <w:trPr>
          <w:trHeight w:val="300"/>
          <w:jc w:val="center"/>
        </w:trPr>
        <w:tc>
          <w:tcPr>
            <w:tcW w:w="5584"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Closing Balance</w:t>
            </w:r>
          </w:p>
        </w:tc>
        <w:tc>
          <w:tcPr>
            <w:tcW w:w="1724" w:type="dxa"/>
            <w:shd w:val="clear" w:color="auto" w:fill="auto"/>
            <w:noWrap/>
            <w:vAlign w:val="center"/>
            <w:hideMark/>
          </w:tcPr>
          <w:p w:rsidR="004C74C2" w:rsidRPr="00B53423" w:rsidRDefault="004C74C2" w:rsidP="0015232B">
            <w:pPr>
              <w:spacing w:before="0" w:line="240" w:lineRule="auto"/>
              <w:jc w:val="center"/>
              <w:rPr>
                <w:b/>
                <w:bCs/>
                <w:color w:val="000000"/>
              </w:rPr>
            </w:pPr>
            <w:r w:rsidRPr="00B53423">
              <w:rPr>
                <w:b/>
                <w:bCs/>
                <w:color w:val="000000"/>
              </w:rPr>
              <w:t>104.90</w:t>
            </w:r>
          </w:p>
        </w:tc>
      </w:tr>
    </w:tbl>
    <w:p w:rsidR="004C74C2" w:rsidRPr="00B53423" w:rsidRDefault="004C74C2" w:rsidP="0015232B">
      <w:pPr>
        <w:spacing w:before="0"/>
      </w:pPr>
    </w:p>
    <w:p w:rsidR="004C74C2" w:rsidRPr="00B53423" w:rsidRDefault="004C74C2" w:rsidP="0015232B">
      <w:pPr>
        <w:pStyle w:val="Heading3"/>
        <w:keepNext w:val="0"/>
        <w:ind w:hanging="1080"/>
      </w:pPr>
      <w:r w:rsidRPr="00B53423">
        <w:t xml:space="preserve">The Commission has verified the details of GFA addition on account of consumer contributions, capital subsidies and grants from the Audited Accounts of FY 2010-11.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Thus, based on the above the approved financing of the capital investment is depicted in the Table below:</w:t>
      </w:r>
    </w:p>
    <w:p w:rsidR="004C74C2" w:rsidRPr="00B53423" w:rsidRDefault="004C74C2" w:rsidP="0015232B">
      <w:pPr>
        <w:jc w:val="center"/>
        <w:rPr>
          <w:rFonts w:asciiTheme="minorHAnsi" w:hAnsiTheme="minorHAnsi" w:cstheme="minorHAnsi"/>
          <w:b/>
        </w:rPr>
      </w:pPr>
    </w:p>
    <w:p w:rsidR="004C74C2" w:rsidRPr="00B53423" w:rsidRDefault="004C74C2" w:rsidP="0015232B">
      <w:pPr>
        <w:jc w:val="center"/>
        <w:rPr>
          <w:rFonts w:asciiTheme="minorHAnsi" w:hAnsiTheme="minorHAnsi" w:cstheme="minorHAnsi"/>
          <w:b/>
        </w:rPr>
      </w:pPr>
      <w:bookmarkStart w:id="504" w:name="_Toc399626367"/>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9</w:t>
      </w:r>
      <w:r w:rsidR="005D68E7" w:rsidRPr="00B53423">
        <w:rPr>
          <w:rFonts w:asciiTheme="minorHAnsi" w:hAnsiTheme="minorHAnsi" w:cstheme="minorHAnsi"/>
          <w:b/>
        </w:rPr>
        <w:fldChar w:fldCharType="end"/>
      </w:r>
      <w:r w:rsidRPr="00B53423">
        <w:rPr>
          <w:rFonts w:asciiTheme="minorHAnsi" w:hAnsiTheme="minorHAnsi" w:cstheme="minorHAnsi"/>
          <w:b/>
        </w:rPr>
        <w:t>: FINANCING OF THE CAPITAL INVESTMENTS IN FY 2010-11 (Rs. Crore)</w:t>
      </w:r>
      <w:bookmarkEnd w:id="504"/>
    </w:p>
    <w:tbl>
      <w:tblPr>
        <w:tblW w:w="8782"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996"/>
        <w:gridCol w:w="1409"/>
        <w:gridCol w:w="1357"/>
        <w:gridCol w:w="934"/>
        <w:gridCol w:w="1038"/>
        <w:gridCol w:w="1048"/>
      </w:tblGrid>
      <w:tr w:rsidR="004C74C2" w:rsidRPr="00B53423" w:rsidTr="009268E4">
        <w:trPr>
          <w:trHeight w:val="300"/>
          <w:tblHeader/>
        </w:trPr>
        <w:tc>
          <w:tcPr>
            <w:tcW w:w="3065"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Particulars</w:t>
            </w:r>
          </w:p>
        </w:tc>
        <w:tc>
          <w:tcPr>
            <w:tcW w:w="1416" w:type="dxa"/>
            <w:shd w:val="clear" w:color="auto" w:fill="DBE5F1" w:themeFill="accent1" w:themeFillTint="33"/>
            <w:vAlign w:val="center"/>
          </w:tcPr>
          <w:p w:rsidR="004C74C2" w:rsidRPr="00B53423" w:rsidRDefault="004C74C2" w:rsidP="0015232B">
            <w:pPr>
              <w:spacing w:before="0" w:line="240" w:lineRule="auto"/>
              <w:jc w:val="center"/>
              <w:rPr>
                <w:rFonts w:cs="Calibri"/>
                <w:b/>
                <w:bCs/>
                <w:lang w:val="en-US"/>
              </w:rPr>
            </w:pPr>
            <w:r w:rsidRPr="00B53423">
              <w:rPr>
                <w:rFonts w:cs="Calibri"/>
                <w:b/>
                <w:bCs/>
                <w:lang w:val="en-US"/>
              </w:rPr>
              <w:t>Derivation</w:t>
            </w:r>
          </w:p>
        </w:tc>
        <w:tc>
          <w:tcPr>
            <w:tcW w:w="1374"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Tariff Order</w:t>
            </w:r>
          </w:p>
        </w:tc>
        <w:tc>
          <w:tcPr>
            <w:tcW w:w="937"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Audited</w:t>
            </w:r>
          </w:p>
        </w:tc>
        <w:tc>
          <w:tcPr>
            <w:tcW w:w="1045"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945"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4539B6">
        <w:trPr>
          <w:trHeight w:val="300"/>
        </w:trPr>
        <w:tc>
          <w:tcPr>
            <w:tcW w:w="3065"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Investment</w:t>
            </w:r>
          </w:p>
        </w:tc>
        <w:tc>
          <w:tcPr>
            <w:tcW w:w="1416" w:type="dxa"/>
          </w:tcPr>
          <w:p w:rsidR="004C74C2" w:rsidRPr="00B53423" w:rsidRDefault="004C74C2" w:rsidP="0015232B">
            <w:pPr>
              <w:spacing w:before="0" w:line="240" w:lineRule="auto"/>
              <w:jc w:val="center"/>
              <w:rPr>
                <w:rFonts w:cs="Calibri"/>
                <w:lang w:val="en-US"/>
              </w:rPr>
            </w:pPr>
            <w:r w:rsidRPr="00B53423">
              <w:rPr>
                <w:rFonts w:cs="Calibri"/>
                <w:lang w:val="en-US"/>
              </w:rPr>
              <w:t>A</w:t>
            </w:r>
          </w:p>
        </w:tc>
        <w:tc>
          <w:tcPr>
            <w:tcW w:w="1374" w:type="dxa"/>
            <w:shd w:val="clear" w:color="auto" w:fill="auto"/>
            <w:vAlign w:val="center"/>
            <w:hideMark/>
          </w:tcPr>
          <w:p w:rsidR="004C74C2" w:rsidRPr="00B53423" w:rsidRDefault="004C74C2" w:rsidP="0015232B">
            <w:pPr>
              <w:spacing w:before="0" w:line="240" w:lineRule="auto"/>
              <w:ind w:right="209"/>
              <w:jc w:val="right"/>
              <w:rPr>
                <w:rFonts w:cs="Calibri"/>
              </w:rPr>
            </w:pPr>
            <w:r w:rsidRPr="00B53423">
              <w:rPr>
                <w:rFonts w:cs="Calibri"/>
              </w:rPr>
              <w:t>30.00</w:t>
            </w:r>
          </w:p>
        </w:tc>
        <w:tc>
          <w:tcPr>
            <w:tcW w:w="937" w:type="dxa"/>
            <w:shd w:val="clear" w:color="auto" w:fill="auto"/>
            <w:vAlign w:val="center"/>
            <w:hideMark/>
          </w:tcPr>
          <w:p w:rsidR="004C74C2" w:rsidRPr="00B53423" w:rsidRDefault="004C74C2" w:rsidP="0015232B">
            <w:pPr>
              <w:spacing w:before="0" w:line="240" w:lineRule="auto"/>
              <w:jc w:val="right"/>
              <w:rPr>
                <w:rFonts w:cs="Calibri"/>
              </w:rPr>
            </w:pPr>
            <w:r w:rsidRPr="00B53423">
              <w:rPr>
                <w:rFonts w:cs="Calibri"/>
              </w:rPr>
              <w:t>60.29</w:t>
            </w:r>
          </w:p>
        </w:tc>
        <w:tc>
          <w:tcPr>
            <w:tcW w:w="1045" w:type="dxa"/>
            <w:shd w:val="clear" w:color="auto" w:fill="auto"/>
            <w:vAlign w:val="center"/>
            <w:hideMark/>
          </w:tcPr>
          <w:p w:rsidR="004C74C2" w:rsidRPr="00B53423" w:rsidRDefault="004C74C2" w:rsidP="0015232B">
            <w:pPr>
              <w:spacing w:before="0" w:line="240" w:lineRule="auto"/>
              <w:jc w:val="right"/>
              <w:rPr>
                <w:rFonts w:cs="Calibri"/>
              </w:rPr>
            </w:pPr>
            <w:r w:rsidRPr="00B53423">
              <w:rPr>
                <w:rFonts w:cs="Calibri"/>
              </w:rPr>
              <w:t>30.12</w:t>
            </w:r>
          </w:p>
        </w:tc>
        <w:tc>
          <w:tcPr>
            <w:tcW w:w="945" w:type="dxa"/>
            <w:shd w:val="clear" w:color="auto" w:fill="auto"/>
            <w:vAlign w:val="center"/>
            <w:hideMark/>
          </w:tcPr>
          <w:p w:rsidR="004C74C2" w:rsidRPr="00B53423" w:rsidRDefault="004C74C2" w:rsidP="0015232B">
            <w:pPr>
              <w:spacing w:before="0" w:line="240" w:lineRule="auto"/>
              <w:ind w:right="209"/>
              <w:jc w:val="right"/>
              <w:rPr>
                <w:rFonts w:cs="Calibri"/>
              </w:rPr>
            </w:pPr>
            <w:r w:rsidRPr="00B53423">
              <w:rPr>
                <w:rFonts w:cs="Calibri"/>
              </w:rPr>
              <w:t>30.12</w:t>
            </w:r>
          </w:p>
        </w:tc>
      </w:tr>
      <w:tr w:rsidR="004C74C2" w:rsidRPr="00B53423" w:rsidTr="004539B6">
        <w:trPr>
          <w:trHeight w:val="300"/>
        </w:trPr>
        <w:tc>
          <w:tcPr>
            <w:tcW w:w="3065"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 xml:space="preserve">Less: </w:t>
            </w:r>
          </w:p>
        </w:tc>
        <w:tc>
          <w:tcPr>
            <w:tcW w:w="1416" w:type="dxa"/>
          </w:tcPr>
          <w:p w:rsidR="004C74C2" w:rsidRPr="00B53423" w:rsidRDefault="004C74C2" w:rsidP="0015232B">
            <w:pPr>
              <w:spacing w:before="0" w:line="240" w:lineRule="auto"/>
              <w:jc w:val="center"/>
              <w:rPr>
                <w:rFonts w:cs="Calibri"/>
                <w:lang w:val="en-US"/>
              </w:rPr>
            </w:pPr>
          </w:p>
        </w:tc>
        <w:tc>
          <w:tcPr>
            <w:tcW w:w="1374" w:type="dxa"/>
            <w:shd w:val="clear" w:color="auto" w:fill="auto"/>
            <w:vAlign w:val="center"/>
            <w:hideMark/>
          </w:tcPr>
          <w:p w:rsidR="004C74C2" w:rsidRPr="00B53423" w:rsidRDefault="004C74C2" w:rsidP="0015232B">
            <w:pPr>
              <w:spacing w:before="0" w:line="240" w:lineRule="auto"/>
              <w:ind w:right="209"/>
              <w:jc w:val="right"/>
              <w:rPr>
                <w:rFonts w:cs="Calibri"/>
              </w:rPr>
            </w:pPr>
          </w:p>
        </w:tc>
        <w:tc>
          <w:tcPr>
            <w:tcW w:w="937" w:type="dxa"/>
            <w:shd w:val="clear" w:color="auto" w:fill="auto"/>
            <w:vAlign w:val="center"/>
            <w:hideMark/>
          </w:tcPr>
          <w:p w:rsidR="004C74C2" w:rsidRPr="00B53423" w:rsidRDefault="004C74C2" w:rsidP="0015232B">
            <w:pPr>
              <w:spacing w:before="0" w:line="240" w:lineRule="auto"/>
              <w:jc w:val="right"/>
              <w:rPr>
                <w:rFonts w:cs="Calibri"/>
              </w:rPr>
            </w:pPr>
          </w:p>
        </w:tc>
        <w:tc>
          <w:tcPr>
            <w:tcW w:w="1045" w:type="dxa"/>
            <w:shd w:val="clear" w:color="auto" w:fill="auto"/>
            <w:vAlign w:val="center"/>
            <w:hideMark/>
          </w:tcPr>
          <w:p w:rsidR="004C74C2" w:rsidRPr="00B53423" w:rsidRDefault="004C74C2" w:rsidP="0015232B">
            <w:pPr>
              <w:spacing w:before="0" w:line="240" w:lineRule="auto"/>
              <w:jc w:val="right"/>
              <w:rPr>
                <w:rFonts w:cs="Calibri"/>
              </w:rPr>
            </w:pPr>
            <w:r w:rsidRPr="00B53423">
              <w:rPr>
                <w:rFonts w:cs="Calibri"/>
              </w:rPr>
              <w:t>0</w:t>
            </w:r>
          </w:p>
        </w:tc>
        <w:tc>
          <w:tcPr>
            <w:tcW w:w="945" w:type="dxa"/>
            <w:shd w:val="clear" w:color="auto" w:fill="auto"/>
            <w:vAlign w:val="center"/>
            <w:hideMark/>
          </w:tcPr>
          <w:p w:rsidR="004C74C2" w:rsidRPr="00B53423" w:rsidRDefault="004C74C2" w:rsidP="0015232B">
            <w:pPr>
              <w:spacing w:before="0" w:line="240" w:lineRule="auto"/>
              <w:ind w:right="209"/>
              <w:jc w:val="right"/>
              <w:rPr>
                <w:rFonts w:cs="Calibri"/>
              </w:rPr>
            </w:pPr>
            <w:r w:rsidRPr="00B53423">
              <w:rPr>
                <w:rFonts w:cs="Calibri"/>
              </w:rPr>
              <w:t>-</w:t>
            </w:r>
          </w:p>
        </w:tc>
      </w:tr>
      <w:tr w:rsidR="004C74C2" w:rsidRPr="00B53423" w:rsidTr="004539B6">
        <w:trPr>
          <w:trHeight w:val="300"/>
        </w:trPr>
        <w:tc>
          <w:tcPr>
            <w:tcW w:w="3065"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Consumer Contribution</w:t>
            </w:r>
          </w:p>
        </w:tc>
        <w:tc>
          <w:tcPr>
            <w:tcW w:w="1416" w:type="dxa"/>
          </w:tcPr>
          <w:p w:rsidR="004C74C2" w:rsidRPr="00B53423" w:rsidRDefault="004C74C2" w:rsidP="0015232B">
            <w:pPr>
              <w:spacing w:before="0" w:line="240" w:lineRule="auto"/>
              <w:jc w:val="center"/>
              <w:rPr>
                <w:rFonts w:cs="Calibri"/>
                <w:lang w:val="en-US"/>
              </w:rPr>
            </w:pPr>
            <w:r w:rsidRPr="00B53423">
              <w:rPr>
                <w:rFonts w:cs="Calibri"/>
                <w:lang w:val="en-US"/>
              </w:rPr>
              <w:t>B</w:t>
            </w:r>
          </w:p>
        </w:tc>
        <w:tc>
          <w:tcPr>
            <w:tcW w:w="1374" w:type="dxa"/>
            <w:shd w:val="clear" w:color="auto" w:fill="auto"/>
            <w:vAlign w:val="center"/>
            <w:hideMark/>
          </w:tcPr>
          <w:p w:rsidR="004C74C2" w:rsidRPr="00B53423" w:rsidRDefault="004C74C2" w:rsidP="0015232B">
            <w:pPr>
              <w:spacing w:before="0" w:line="240" w:lineRule="auto"/>
              <w:ind w:right="209"/>
              <w:jc w:val="right"/>
              <w:rPr>
                <w:rFonts w:cs="Calibri"/>
              </w:rPr>
            </w:pPr>
            <w:r w:rsidRPr="00B53423">
              <w:rPr>
                <w:rFonts w:cs="Calibri"/>
              </w:rPr>
              <w:t>11.00</w:t>
            </w:r>
          </w:p>
        </w:tc>
        <w:tc>
          <w:tcPr>
            <w:tcW w:w="937" w:type="dxa"/>
            <w:shd w:val="clear" w:color="auto" w:fill="auto"/>
            <w:vAlign w:val="center"/>
            <w:hideMark/>
          </w:tcPr>
          <w:p w:rsidR="004C74C2" w:rsidRPr="00B53423" w:rsidRDefault="004C74C2" w:rsidP="0015232B">
            <w:pPr>
              <w:spacing w:before="0" w:line="240" w:lineRule="auto"/>
              <w:jc w:val="right"/>
              <w:rPr>
                <w:rFonts w:cs="Calibri"/>
              </w:rPr>
            </w:pPr>
            <w:r w:rsidRPr="00B53423">
              <w:rPr>
                <w:rFonts w:cs="Calibri"/>
              </w:rPr>
              <w:t>11.36</w:t>
            </w:r>
          </w:p>
        </w:tc>
        <w:tc>
          <w:tcPr>
            <w:tcW w:w="1045" w:type="dxa"/>
            <w:shd w:val="clear" w:color="auto" w:fill="auto"/>
            <w:vAlign w:val="center"/>
            <w:hideMark/>
          </w:tcPr>
          <w:p w:rsidR="004C74C2" w:rsidRPr="00B53423" w:rsidRDefault="004C74C2" w:rsidP="0015232B">
            <w:pPr>
              <w:spacing w:before="0" w:line="240" w:lineRule="auto"/>
              <w:jc w:val="right"/>
              <w:rPr>
                <w:rFonts w:cs="Calibri"/>
              </w:rPr>
            </w:pPr>
            <w:r w:rsidRPr="00B53423">
              <w:rPr>
                <w:rFonts w:cs="Calibri"/>
              </w:rPr>
              <w:t>11.36</w:t>
            </w:r>
          </w:p>
        </w:tc>
        <w:tc>
          <w:tcPr>
            <w:tcW w:w="945" w:type="dxa"/>
            <w:shd w:val="clear" w:color="auto" w:fill="auto"/>
            <w:vAlign w:val="center"/>
            <w:hideMark/>
          </w:tcPr>
          <w:p w:rsidR="004C74C2" w:rsidRPr="00B53423" w:rsidRDefault="004C74C2" w:rsidP="0015232B">
            <w:pPr>
              <w:spacing w:before="0" w:line="240" w:lineRule="auto"/>
              <w:ind w:right="209"/>
              <w:jc w:val="right"/>
              <w:rPr>
                <w:rFonts w:cs="Calibri"/>
              </w:rPr>
            </w:pPr>
            <w:r w:rsidRPr="00B53423">
              <w:rPr>
                <w:rFonts w:cs="Calibri"/>
              </w:rPr>
              <w:t>11.36</w:t>
            </w:r>
          </w:p>
        </w:tc>
      </w:tr>
      <w:tr w:rsidR="004C74C2" w:rsidRPr="00B53423" w:rsidTr="004539B6">
        <w:trPr>
          <w:trHeight w:val="300"/>
        </w:trPr>
        <w:tc>
          <w:tcPr>
            <w:tcW w:w="3065"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Investment funded by debt and equity</w:t>
            </w:r>
          </w:p>
        </w:tc>
        <w:tc>
          <w:tcPr>
            <w:tcW w:w="1416" w:type="dxa"/>
          </w:tcPr>
          <w:p w:rsidR="004C74C2" w:rsidRPr="00B53423" w:rsidRDefault="004C74C2" w:rsidP="0015232B">
            <w:pPr>
              <w:spacing w:before="0" w:line="240" w:lineRule="auto"/>
              <w:jc w:val="center"/>
              <w:rPr>
                <w:rFonts w:cs="Calibri"/>
                <w:lang w:val="en-US"/>
              </w:rPr>
            </w:pPr>
            <w:r w:rsidRPr="00B53423">
              <w:rPr>
                <w:rFonts w:cs="Calibri"/>
                <w:lang w:val="en-US"/>
              </w:rPr>
              <w:t>C=A-B</w:t>
            </w:r>
          </w:p>
        </w:tc>
        <w:tc>
          <w:tcPr>
            <w:tcW w:w="1374" w:type="dxa"/>
            <w:shd w:val="clear" w:color="auto" w:fill="auto"/>
            <w:vAlign w:val="center"/>
            <w:hideMark/>
          </w:tcPr>
          <w:p w:rsidR="004C74C2" w:rsidRPr="00B53423" w:rsidRDefault="004C74C2" w:rsidP="0015232B">
            <w:pPr>
              <w:spacing w:before="0" w:line="240" w:lineRule="auto"/>
              <w:ind w:right="209"/>
              <w:jc w:val="right"/>
              <w:rPr>
                <w:rFonts w:cs="Calibri"/>
              </w:rPr>
            </w:pPr>
            <w:r w:rsidRPr="00B53423">
              <w:rPr>
                <w:rFonts w:cs="Calibri"/>
              </w:rPr>
              <w:t>19.00</w:t>
            </w:r>
          </w:p>
        </w:tc>
        <w:tc>
          <w:tcPr>
            <w:tcW w:w="937" w:type="dxa"/>
            <w:shd w:val="clear" w:color="auto" w:fill="auto"/>
            <w:vAlign w:val="center"/>
            <w:hideMark/>
          </w:tcPr>
          <w:p w:rsidR="004C74C2" w:rsidRPr="00B53423" w:rsidRDefault="004C74C2" w:rsidP="0015232B">
            <w:pPr>
              <w:spacing w:before="0" w:line="240" w:lineRule="auto"/>
              <w:jc w:val="right"/>
              <w:rPr>
                <w:rFonts w:cs="Calibri"/>
              </w:rPr>
            </w:pPr>
          </w:p>
        </w:tc>
        <w:tc>
          <w:tcPr>
            <w:tcW w:w="1045" w:type="dxa"/>
            <w:shd w:val="clear" w:color="auto" w:fill="auto"/>
            <w:vAlign w:val="center"/>
            <w:hideMark/>
          </w:tcPr>
          <w:p w:rsidR="004C74C2" w:rsidRPr="00B53423" w:rsidRDefault="004C74C2" w:rsidP="0015232B">
            <w:pPr>
              <w:spacing w:before="0" w:line="240" w:lineRule="auto"/>
              <w:jc w:val="right"/>
              <w:rPr>
                <w:rFonts w:cs="Calibri"/>
              </w:rPr>
            </w:pPr>
            <w:r w:rsidRPr="00B53423">
              <w:rPr>
                <w:rFonts w:cs="Calibri"/>
              </w:rPr>
              <w:t>18.76</w:t>
            </w:r>
          </w:p>
        </w:tc>
        <w:tc>
          <w:tcPr>
            <w:tcW w:w="945" w:type="dxa"/>
            <w:shd w:val="clear" w:color="auto" w:fill="auto"/>
            <w:vAlign w:val="center"/>
            <w:hideMark/>
          </w:tcPr>
          <w:p w:rsidR="004C74C2" w:rsidRPr="00B53423" w:rsidRDefault="004C74C2" w:rsidP="0015232B">
            <w:pPr>
              <w:spacing w:before="0" w:line="240" w:lineRule="auto"/>
              <w:ind w:right="209"/>
              <w:jc w:val="right"/>
              <w:rPr>
                <w:rFonts w:cs="Calibri"/>
              </w:rPr>
            </w:pPr>
            <w:r w:rsidRPr="00B53423">
              <w:rPr>
                <w:rFonts w:cs="Calibri"/>
              </w:rPr>
              <w:t>18.76</w:t>
            </w:r>
          </w:p>
        </w:tc>
      </w:tr>
      <w:tr w:rsidR="004C74C2" w:rsidRPr="00B53423" w:rsidTr="004539B6">
        <w:trPr>
          <w:trHeight w:val="300"/>
        </w:trPr>
        <w:tc>
          <w:tcPr>
            <w:tcW w:w="3065"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 xml:space="preserve">Debt Funded </w:t>
            </w:r>
          </w:p>
        </w:tc>
        <w:tc>
          <w:tcPr>
            <w:tcW w:w="1416" w:type="dxa"/>
          </w:tcPr>
          <w:p w:rsidR="004C74C2" w:rsidRPr="00B53423" w:rsidRDefault="004C74C2" w:rsidP="0015232B">
            <w:pPr>
              <w:spacing w:before="0" w:line="240" w:lineRule="auto"/>
              <w:jc w:val="center"/>
              <w:rPr>
                <w:rFonts w:cs="Calibri"/>
                <w:lang w:val="en-US"/>
              </w:rPr>
            </w:pPr>
            <w:r w:rsidRPr="00B53423">
              <w:rPr>
                <w:rFonts w:cs="Calibri"/>
                <w:lang w:val="en-US"/>
              </w:rPr>
              <w:t>D= 70%*C</w:t>
            </w:r>
          </w:p>
        </w:tc>
        <w:tc>
          <w:tcPr>
            <w:tcW w:w="1374" w:type="dxa"/>
            <w:shd w:val="clear" w:color="auto" w:fill="auto"/>
            <w:vAlign w:val="center"/>
            <w:hideMark/>
          </w:tcPr>
          <w:p w:rsidR="004C74C2" w:rsidRPr="00B53423" w:rsidRDefault="004C74C2" w:rsidP="0015232B">
            <w:pPr>
              <w:spacing w:before="0" w:line="240" w:lineRule="auto"/>
              <w:ind w:right="209"/>
              <w:jc w:val="right"/>
              <w:rPr>
                <w:rFonts w:cs="Calibri"/>
              </w:rPr>
            </w:pPr>
            <w:r w:rsidRPr="00B53423">
              <w:rPr>
                <w:rFonts w:cs="Calibri"/>
              </w:rPr>
              <w:t>13.00</w:t>
            </w:r>
          </w:p>
        </w:tc>
        <w:tc>
          <w:tcPr>
            <w:tcW w:w="937" w:type="dxa"/>
            <w:shd w:val="clear" w:color="auto" w:fill="auto"/>
            <w:vAlign w:val="center"/>
            <w:hideMark/>
          </w:tcPr>
          <w:p w:rsidR="004C74C2" w:rsidRPr="00B53423" w:rsidRDefault="004C74C2" w:rsidP="0015232B">
            <w:pPr>
              <w:spacing w:before="0" w:line="240" w:lineRule="auto"/>
              <w:jc w:val="right"/>
              <w:rPr>
                <w:rFonts w:cs="Calibri"/>
              </w:rPr>
            </w:pPr>
          </w:p>
        </w:tc>
        <w:tc>
          <w:tcPr>
            <w:tcW w:w="1045" w:type="dxa"/>
            <w:shd w:val="clear" w:color="auto" w:fill="auto"/>
            <w:vAlign w:val="center"/>
            <w:hideMark/>
          </w:tcPr>
          <w:p w:rsidR="004C74C2" w:rsidRPr="00B53423" w:rsidRDefault="004C74C2" w:rsidP="0015232B">
            <w:pPr>
              <w:spacing w:before="0" w:line="240" w:lineRule="auto"/>
              <w:jc w:val="right"/>
              <w:rPr>
                <w:rFonts w:cs="Calibri"/>
              </w:rPr>
            </w:pPr>
            <w:r w:rsidRPr="00B53423">
              <w:rPr>
                <w:rFonts w:cs="Calibri"/>
              </w:rPr>
              <w:t>13.13</w:t>
            </w:r>
          </w:p>
        </w:tc>
        <w:tc>
          <w:tcPr>
            <w:tcW w:w="945" w:type="dxa"/>
            <w:shd w:val="clear" w:color="auto" w:fill="auto"/>
            <w:vAlign w:val="center"/>
            <w:hideMark/>
          </w:tcPr>
          <w:p w:rsidR="004C74C2" w:rsidRPr="00B53423" w:rsidRDefault="004C74C2" w:rsidP="0015232B">
            <w:pPr>
              <w:spacing w:before="0" w:line="240" w:lineRule="auto"/>
              <w:ind w:right="209"/>
              <w:jc w:val="right"/>
              <w:rPr>
                <w:rFonts w:cs="Calibri"/>
              </w:rPr>
            </w:pPr>
            <w:r w:rsidRPr="00B53423">
              <w:rPr>
                <w:rFonts w:cs="Calibri"/>
              </w:rPr>
              <w:t>13.13</w:t>
            </w:r>
          </w:p>
        </w:tc>
      </w:tr>
      <w:tr w:rsidR="004C74C2" w:rsidRPr="00B53423" w:rsidTr="004539B6">
        <w:trPr>
          <w:trHeight w:val="300"/>
        </w:trPr>
        <w:tc>
          <w:tcPr>
            <w:tcW w:w="3065"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Equity Funded</w:t>
            </w:r>
          </w:p>
        </w:tc>
        <w:tc>
          <w:tcPr>
            <w:tcW w:w="1416" w:type="dxa"/>
          </w:tcPr>
          <w:p w:rsidR="004C74C2" w:rsidRPr="00B53423" w:rsidRDefault="004C74C2" w:rsidP="0015232B">
            <w:pPr>
              <w:spacing w:before="0" w:line="240" w:lineRule="auto"/>
              <w:jc w:val="center"/>
              <w:rPr>
                <w:rFonts w:cs="Calibri"/>
                <w:lang w:val="en-US"/>
              </w:rPr>
            </w:pPr>
            <w:r w:rsidRPr="00B53423">
              <w:rPr>
                <w:rFonts w:cs="Calibri"/>
                <w:lang w:val="en-US"/>
              </w:rPr>
              <w:t>E=30%*C</w:t>
            </w:r>
          </w:p>
        </w:tc>
        <w:tc>
          <w:tcPr>
            <w:tcW w:w="1374" w:type="dxa"/>
            <w:shd w:val="clear" w:color="auto" w:fill="auto"/>
            <w:vAlign w:val="center"/>
            <w:hideMark/>
          </w:tcPr>
          <w:p w:rsidR="004C74C2" w:rsidRPr="00B53423" w:rsidRDefault="004C74C2" w:rsidP="0015232B">
            <w:pPr>
              <w:spacing w:before="0" w:line="240" w:lineRule="auto"/>
              <w:ind w:right="209"/>
              <w:jc w:val="right"/>
              <w:rPr>
                <w:rFonts w:cs="Calibri"/>
              </w:rPr>
            </w:pPr>
            <w:r w:rsidRPr="00B53423">
              <w:rPr>
                <w:rFonts w:cs="Calibri"/>
              </w:rPr>
              <w:t>6.00</w:t>
            </w:r>
          </w:p>
        </w:tc>
        <w:tc>
          <w:tcPr>
            <w:tcW w:w="937" w:type="dxa"/>
            <w:shd w:val="clear" w:color="auto" w:fill="auto"/>
            <w:vAlign w:val="center"/>
            <w:hideMark/>
          </w:tcPr>
          <w:p w:rsidR="004C74C2" w:rsidRPr="00B53423" w:rsidRDefault="004C74C2" w:rsidP="0015232B">
            <w:pPr>
              <w:spacing w:before="0" w:line="240" w:lineRule="auto"/>
              <w:jc w:val="right"/>
              <w:rPr>
                <w:rFonts w:cs="Calibri"/>
              </w:rPr>
            </w:pPr>
          </w:p>
        </w:tc>
        <w:tc>
          <w:tcPr>
            <w:tcW w:w="1045" w:type="dxa"/>
            <w:shd w:val="clear" w:color="auto" w:fill="auto"/>
            <w:vAlign w:val="center"/>
            <w:hideMark/>
          </w:tcPr>
          <w:p w:rsidR="004C74C2" w:rsidRPr="00B53423" w:rsidRDefault="004C74C2" w:rsidP="0015232B">
            <w:pPr>
              <w:spacing w:before="0" w:line="240" w:lineRule="auto"/>
              <w:jc w:val="right"/>
              <w:rPr>
                <w:rFonts w:cs="Calibri"/>
              </w:rPr>
            </w:pPr>
            <w:r w:rsidRPr="00B53423">
              <w:rPr>
                <w:rFonts w:cs="Calibri"/>
              </w:rPr>
              <w:t>5.63</w:t>
            </w:r>
          </w:p>
        </w:tc>
        <w:tc>
          <w:tcPr>
            <w:tcW w:w="945" w:type="dxa"/>
            <w:shd w:val="clear" w:color="auto" w:fill="auto"/>
            <w:vAlign w:val="center"/>
            <w:hideMark/>
          </w:tcPr>
          <w:p w:rsidR="004C74C2" w:rsidRPr="00B53423" w:rsidRDefault="004C74C2" w:rsidP="0015232B">
            <w:pPr>
              <w:spacing w:before="0" w:line="240" w:lineRule="auto"/>
              <w:ind w:right="209"/>
              <w:jc w:val="right"/>
              <w:rPr>
                <w:rFonts w:cs="Calibri"/>
              </w:rPr>
            </w:pPr>
            <w:r w:rsidRPr="00B53423">
              <w:rPr>
                <w:rFonts w:cs="Calibri"/>
              </w:rPr>
              <w:t>5.63</w:t>
            </w:r>
          </w:p>
        </w:tc>
      </w:tr>
    </w:tbl>
    <w:p w:rsidR="004C74C2" w:rsidRPr="00B53423" w:rsidRDefault="004C74C2" w:rsidP="0015232B">
      <w:pPr>
        <w:spacing w:before="0"/>
        <w:jc w:val="center"/>
        <w:rPr>
          <w:rFonts w:asciiTheme="minorHAnsi" w:hAnsiTheme="minorHAnsi" w:cstheme="minorHAnsi"/>
          <w:b/>
        </w:rPr>
      </w:pPr>
    </w:p>
    <w:p w:rsidR="004C74C2" w:rsidRPr="00B53423" w:rsidRDefault="004C74C2" w:rsidP="0015232B">
      <w:pPr>
        <w:pStyle w:val="Heading3"/>
        <w:keepNext w:val="0"/>
        <w:ind w:hanging="1080"/>
      </w:pPr>
      <w:r w:rsidRPr="00B53423">
        <w:t xml:space="preserve">Thus, from the above Tables it is seen, that the total investments made by the Petitioner in FY 2010-11 were to the tune of Rs. 30.12 Crore. The consumer contributions, capital subsidies and grants received during the corresponding period is Rs. 11.36 Crore. Thus, balance Rs. 18.76 Crore have been funded through debt and equity. Considering a debt equity ratio of 70:30, Rs. 13.13 Crore or 70% of the capital investment is approved to be funded through debt and balance 30% equivalent to Rs. 5.63 Crore through equity. Allowable depreciation for the year has been considered as normative loan repayment. The closing loan balance of FY 2009-10 has been considered as the opening loan balance of FY 2010-11. The actual weighted average rate as per Audited Accounts has been considered for computing the interest.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Considering the above, the gross interest on long term loan is Rs. 2.58 Crore. The interest capitalisation has been considered at the same rate as per Audited Accounts. The computations for interest on long term loan are depicted below:</w:t>
      </w:r>
    </w:p>
    <w:p w:rsidR="004C74C2" w:rsidRPr="00B53423" w:rsidRDefault="004C74C2" w:rsidP="0015232B"/>
    <w:p w:rsidR="004C74C2" w:rsidRPr="00B53423" w:rsidRDefault="004C74C2" w:rsidP="0015232B">
      <w:pPr>
        <w:jc w:val="center"/>
        <w:rPr>
          <w:b/>
        </w:rPr>
      </w:pPr>
      <w:bookmarkStart w:id="505" w:name="_Toc399626368"/>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10</w:t>
      </w:r>
      <w:r w:rsidR="005D68E7" w:rsidRPr="00B53423">
        <w:rPr>
          <w:rFonts w:asciiTheme="minorHAnsi" w:hAnsiTheme="minorHAnsi" w:cstheme="minorHAnsi"/>
          <w:b/>
        </w:rPr>
        <w:fldChar w:fldCharType="end"/>
      </w:r>
      <w:r w:rsidRPr="00B53423">
        <w:rPr>
          <w:rFonts w:asciiTheme="minorHAnsi" w:hAnsiTheme="minorHAnsi" w:cstheme="minorHAnsi"/>
          <w:b/>
        </w:rPr>
        <w:t>:</w:t>
      </w:r>
      <w:r w:rsidRPr="00B53423">
        <w:rPr>
          <w:b/>
        </w:rPr>
        <w:t xml:space="preserve"> APPROVED INTEREST ON LONG TERM LOAN FOR FY 2010-11 (Rs. Crore)</w:t>
      </w:r>
      <w:bookmarkEnd w:id="505"/>
    </w:p>
    <w:tbl>
      <w:tblPr>
        <w:tblW w:w="8782"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578"/>
        <w:gridCol w:w="1311"/>
        <w:gridCol w:w="1506"/>
        <w:gridCol w:w="1172"/>
        <w:gridCol w:w="1215"/>
      </w:tblGrid>
      <w:tr w:rsidR="004C74C2" w:rsidRPr="00B53423" w:rsidTr="00F126DD">
        <w:trPr>
          <w:trHeight w:val="900"/>
          <w:tblHeader/>
        </w:trPr>
        <w:tc>
          <w:tcPr>
            <w:tcW w:w="3578" w:type="dxa"/>
            <w:shd w:val="clear" w:color="auto" w:fill="DBE5F1" w:themeFill="accent1" w:themeFillTint="33"/>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311"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506"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9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197"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F126DD">
        <w:trPr>
          <w:trHeight w:val="300"/>
        </w:trPr>
        <w:tc>
          <w:tcPr>
            <w:tcW w:w="3578"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Opening Balance</w:t>
            </w:r>
          </w:p>
        </w:tc>
        <w:tc>
          <w:tcPr>
            <w:tcW w:w="1311"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50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xml:space="preserve">           89.37 </w:t>
            </w:r>
          </w:p>
        </w:tc>
        <w:tc>
          <w:tcPr>
            <w:tcW w:w="119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23.08</w:t>
            </w:r>
          </w:p>
        </w:tc>
        <w:tc>
          <w:tcPr>
            <w:tcW w:w="119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23.51</w:t>
            </w:r>
          </w:p>
        </w:tc>
      </w:tr>
      <w:tr w:rsidR="004C74C2" w:rsidRPr="00B53423" w:rsidTr="00F126DD">
        <w:trPr>
          <w:trHeight w:val="600"/>
        </w:trPr>
        <w:tc>
          <w:tcPr>
            <w:tcW w:w="3578"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Additions: 70% of the Asset Capitalization</w:t>
            </w:r>
          </w:p>
        </w:tc>
        <w:tc>
          <w:tcPr>
            <w:tcW w:w="1311"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50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xml:space="preserve">                -   </w:t>
            </w:r>
          </w:p>
        </w:tc>
        <w:tc>
          <w:tcPr>
            <w:tcW w:w="119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13.13</w:t>
            </w:r>
          </w:p>
        </w:tc>
        <w:tc>
          <w:tcPr>
            <w:tcW w:w="119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13.13</w:t>
            </w:r>
          </w:p>
        </w:tc>
      </w:tr>
      <w:tr w:rsidR="004C74C2" w:rsidRPr="00B53423" w:rsidTr="00F126DD">
        <w:trPr>
          <w:trHeight w:val="600"/>
        </w:trPr>
        <w:tc>
          <w:tcPr>
            <w:tcW w:w="3578"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Allowable Depreciation during the Year</w:t>
            </w:r>
          </w:p>
        </w:tc>
        <w:tc>
          <w:tcPr>
            <w:tcW w:w="1311"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50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xml:space="preserve">                -   </w:t>
            </w:r>
          </w:p>
        </w:tc>
        <w:tc>
          <w:tcPr>
            <w:tcW w:w="119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17.99</w:t>
            </w:r>
          </w:p>
        </w:tc>
        <w:tc>
          <w:tcPr>
            <w:tcW w:w="119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17.99</w:t>
            </w:r>
          </w:p>
        </w:tc>
      </w:tr>
      <w:tr w:rsidR="004C74C2" w:rsidRPr="00B53423" w:rsidTr="00F126DD">
        <w:trPr>
          <w:trHeight w:val="300"/>
        </w:trPr>
        <w:tc>
          <w:tcPr>
            <w:tcW w:w="3578" w:type="dxa"/>
            <w:shd w:val="clear" w:color="auto" w:fill="auto"/>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Closing Balance</w:t>
            </w:r>
          </w:p>
        </w:tc>
        <w:tc>
          <w:tcPr>
            <w:tcW w:w="1311"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50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xml:space="preserve">           88.93 </w:t>
            </w:r>
          </w:p>
        </w:tc>
        <w:tc>
          <w:tcPr>
            <w:tcW w:w="119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18.22</w:t>
            </w:r>
          </w:p>
        </w:tc>
        <w:tc>
          <w:tcPr>
            <w:tcW w:w="119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18.65</w:t>
            </w:r>
          </w:p>
        </w:tc>
      </w:tr>
      <w:tr w:rsidR="004C74C2" w:rsidRPr="00B53423" w:rsidTr="00F126DD">
        <w:trPr>
          <w:trHeight w:val="300"/>
        </w:trPr>
        <w:tc>
          <w:tcPr>
            <w:tcW w:w="3578"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Average Rate of Interest</w:t>
            </w:r>
          </w:p>
        </w:tc>
        <w:tc>
          <w:tcPr>
            <w:tcW w:w="1311"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50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12.25%</w:t>
            </w:r>
          </w:p>
        </w:tc>
        <w:tc>
          <w:tcPr>
            <w:tcW w:w="1190" w:type="dxa"/>
            <w:shd w:val="clear" w:color="auto" w:fill="auto"/>
            <w:vAlign w:val="bottom"/>
            <w:hideMark/>
          </w:tcPr>
          <w:p w:rsidR="004C74C2" w:rsidRPr="00B53423" w:rsidRDefault="002B3D6B"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12.99%</w:t>
            </w:r>
          </w:p>
        </w:tc>
        <w:tc>
          <w:tcPr>
            <w:tcW w:w="119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12.25%</w:t>
            </w:r>
          </w:p>
        </w:tc>
      </w:tr>
      <w:tr w:rsidR="004C74C2" w:rsidRPr="00B53423" w:rsidTr="00F126DD">
        <w:trPr>
          <w:trHeight w:val="300"/>
        </w:trPr>
        <w:tc>
          <w:tcPr>
            <w:tcW w:w="3578" w:type="dxa"/>
            <w:shd w:val="clear" w:color="auto" w:fill="auto"/>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Gross Allowable Interest</w:t>
            </w:r>
          </w:p>
        </w:tc>
        <w:tc>
          <w:tcPr>
            <w:tcW w:w="1311" w:type="dxa"/>
            <w:shd w:val="clear" w:color="auto" w:fill="auto"/>
            <w:noWrap/>
            <w:hideMark/>
          </w:tcPr>
          <w:p w:rsidR="004C74C2" w:rsidRPr="00B53423" w:rsidRDefault="004C74C2" w:rsidP="0015232B">
            <w:pPr>
              <w:spacing w:before="0" w:line="240" w:lineRule="auto"/>
              <w:jc w:val="right"/>
              <w:rPr>
                <w:rFonts w:asciiTheme="minorHAnsi" w:hAnsiTheme="minorHAnsi" w:cstheme="minorHAnsi"/>
                <w:b/>
                <w:color w:val="000000"/>
              </w:rPr>
            </w:pPr>
            <w:r w:rsidRPr="00B53423">
              <w:rPr>
                <w:rFonts w:asciiTheme="minorHAnsi" w:hAnsiTheme="minorHAnsi" w:cstheme="minorHAnsi"/>
                <w:color w:val="000000"/>
              </w:rPr>
              <w:t>12.29</w:t>
            </w:r>
          </w:p>
        </w:tc>
        <w:tc>
          <w:tcPr>
            <w:tcW w:w="150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rPr>
              <w:t xml:space="preserve">           10.92 </w:t>
            </w:r>
          </w:p>
        </w:tc>
        <w:tc>
          <w:tcPr>
            <w:tcW w:w="119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b/>
                <w:color w:val="000000"/>
              </w:rPr>
            </w:pPr>
            <w:r w:rsidRPr="00B53423">
              <w:rPr>
                <w:rFonts w:asciiTheme="minorHAnsi" w:hAnsiTheme="minorHAnsi" w:cstheme="minorHAnsi"/>
                <w:color w:val="000000"/>
              </w:rPr>
              <w:t>2.68</w:t>
            </w:r>
          </w:p>
        </w:tc>
        <w:tc>
          <w:tcPr>
            <w:tcW w:w="119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b/>
                <w:color w:val="000000"/>
              </w:rPr>
            </w:pPr>
            <w:r w:rsidRPr="00B53423">
              <w:rPr>
                <w:rFonts w:asciiTheme="minorHAnsi" w:hAnsiTheme="minorHAnsi" w:cstheme="minorHAnsi"/>
                <w:color w:val="000000"/>
              </w:rPr>
              <w:t>2.58</w:t>
            </w:r>
          </w:p>
        </w:tc>
      </w:tr>
      <w:tr w:rsidR="004C74C2" w:rsidRPr="00B53423" w:rsidTr="00F126DD">
        <w:trPr>
          <w:trHeight w:val="300"/>
        </w:trPr>
        <w:tc>
          <w:tcPr>
            <w:tcW w:w="3578"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Interest Capitalized</w:t>
            </w:r>
          </w:p>
        </w:tc>
        <w:tc>
          <w:tcPr>
            <w:tcW w:w="1311"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0.38</w:t>
            </w:r>
          </w:p>
        </w:tc>
        <w:tc>
          <w:tcPr>
            <w:tcW w:w="150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xml:space="preserve">                -   </w:t>
            </w:r>
          </w:p>
        </w:tc>
        <w:tc>
          <w:tcPr>
            <w:tcW w:w="119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0.00</w:t>
            </w:r>
          </w:p>
        </w:tc>
        <w:tc>
          <w:tcPr>
            <w:tcW w:w="119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0.00</w:t>
            </w:r>
          </w:p>
        </w:tc>
      </w:tr>
      <w:tr w:rsidR="004C74C2" w:rsidRPr="00B53423" w:rsidTr="00F126DD">
        <w:trPr>
          <w:trHeight w:val="300"/>
        </w:trPr>
        <w:tc>
          <w:tcPr>
            <w:tcW w:w="3578" w:type="dxa"/>
            <w:shd w:val="clear" w:color="auto" w:fill="auto"/>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Allowable Interest</w:t>
            </w:r>
          </w:p>
        </w:tc>
        <w:tc>
          <w:tcPr>
            <w:tcW w:w="1311"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rPr>
              <w:t>11.91</w:t>
            </w:r>
          </w:p>
        </w:tc>
        <w:tc>
          <w:tcPr>
            <w:tcW w:w="150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b/>
              </w:rPr>
            </w:pPr>
            <w:r w:rsidRPr="00B53423">
              <w:rPr>
                <w:rFonts w:asciiTheme="minorHAnsi" w:hAnsiTheme="minorHAnsi" w:cstheme="minorHAnsi"/>
              </w:rPr>
              <w:t xml:space="preserve">           10.92 </w:t>
            </w:r>
          </w:p>
        </w:tc>
        <w:tc>
          <w:tcPr>
            <w:tcW w:w="1190"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b/>
                <w:color w:val="000000"/>
              </w:rPr>
            </w:pPr>
            <w:r w:rsidRPr="00B53423">
              <w:rPr>
                <w:rFonts w:asciiTheme="minorHAnsi" w:hAnsiTheme="minorHAnsi" w:cstheme="minorHAnsi"/>
                <w:color w:val="000000"/>
              </w:rPr>
              <w:t>2.68</w:t>
            </w:r>
          </w:p>
        </w:tc>
        <w:tc>
          <w:tcPr>
            <w:tcW w:w="1197" w:type="dxa"/>
            <w:shd w:val="clear" w:color="auto" w:fill="auto"/>
            <w:noWrap/>
            <w:hideMark/>
          </w:tcPr>
          <w:p w:rsidR="004C74C2" w:rsidRPr="00B53423" w:rsidRDefault="004C74C2" w:rsidP="0015232B">
            <w:pPr>
              <w:spacing w:before="0" w:line="240" w:lineRule="auto"/>
              <w:jc w:val="right"/>
              <w:rPr>
                <w:rFonts w:asciiTheme="minorHAnsi" w:hAnsiTheme="minorHAnsi" w:cstheme="minorHAnsi"/>
                <w:b/>
                <w:color w:val="000000"/>
              </w:rPr>
            </w:pPr>
            <w:r w:rsidRPr="00B53423">
              <w:rPr>
                <w:rFonts w:asciiTheme="minorHAnsi" w:hAnsiTheme="minorHAnsi" w:cstheme="minorHAnsi"/>
                <w:color w:val="000000"/>
              </w:rPr>
              <w:t>2.58</w:t>
            </w:r>
          </w:p>
        </w:tc>
      </w:tr>
    </w:tbl>
    <w:p w:rsidR="004C74C2" w:rsidRPr="00B53423" w:rsidRDefault="004C74C2" w:rsidP="0015232B">
      <w:pPr>
        <w:spacing w:before="0"/>
        <w:jc w:val="center"/>
        <w:rPr>
          <w:b/>
        </w:rPr>
      </w:pPr>
    </w:p>
    <w:p w:rsidR="004C74C2" w:rsidRPr="00B53423" w:rsidRDefault="004C74C2" w:rsidP="0015232B">
      <w:pPr>
        <w:pStyle w:val="Heading3"/>
        <w:keepNext w:val="0"/>
        <w:ind w:hanging="1080"/>
      </w:pPr>
      <w:r w:rsidRPr="00B53423">
        <w:t>Thus, the net interest on long term loan approved by the Commission for Truing up of FY 2010-11 after reducing the nil interest capitalised works out to Rs. 2.58 Crore.</w:t>
      </w:r>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numPr>
          <w:ilvl w:val="0"/>
          <w:numId w:val="0"/>
        </w:numPr>
        <w:ind w:left="720"/>
      </w:pPr>
      <w:r w:rsidRPr="00B53423">
        <w:rPr>
          <w:b/>
        </w:rPr>
        <w:t>Finance Charges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finance charges constitutes of components such as guarantee fees, bank charges which are imposed by Government, financial institutions, etc. and are uncontrollable in nature. The Petitioner has claimed Finance charges of Rs. 27.89 Crore as against Rs. 7.00 Crore approved by the Commission in the Tariff Order dated 19</w:t>
      </w:r>
      <w:r w:rsidRPr="00B53423">
        <w:rPr>
          <w:vertAlign w:val="superscript"/>
        </w:rPr>
        <w:t>th</w:t>
      </w:r>
      <w:r w:rsidRPr="00B53423">
        <w:t xml:space="preserve"> October, 2012 in Petition No. 751 / 2011 and 798 / 2012 for FY 2010-11.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has claimed finance charges towards items such as interest on electricity duty, bank charges, discount to consumers, interest on consumer security deposits, etc.</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discussed in detail in para</w:t>
      </w:r>
      <w:r w:rsidR="009A76A5" w:rsidRPr="00B53423">
        <w:t xml:space="preserve"> </w:t>
      </w:r>
      <w:fldSimple w:instr=" REF _Ref396853920 \r \h  \* MERGEFORMAT ">
        <w:r w:rsidR="00847C1B">
          <w:t>4.5.19</w:t>
        </w:r>
      </w:fldSimple>
      <w:r w:rsidRPr="00B53423">
        <w:t>, the Commission has disallowed the interest on electricity duty of Rs. 23.39 Crore as claimed by the Petitioner.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Further as discussed in detail in Para</w:t>
      </w:r>
      <w:r w:rsidR="009A76A5" w:rsidRPr="00B53423">
        <w:t xml:space="preserve"> </w:t>
      </w:r>
      <w:fldSimple w:instr=" REF _Ref396853930 \r \h  \* MERGEFORMAT ">
        <w:r w:rsidR="00847C1B">
          <w:t>4.5.20</w:t>
        </w:r>
      </w:fldSimple>
      <w:r w:rsidR="009A76A5" w:rsidRPr="00B53423">
        <w:t xml:space="preserve"> </w:t>
      </w:r>
      <w:r w:rsidRPr="00B53423">
        <w:t>of this Order the Commission approves the actual expenses incurred towards discount to consumers. Also, bank charges and interest on consumer security deposits have been allowed at actual based on Audited Accounts as detailed in Para</w:t>
      </w:r>
      <w:r w:rsidR="009A76A5" w:rsidRPr="00B53423">
        <w:t xml:space="preserve"> </w:t>
      </w:r>
      <w:fldSimple w:instr=" REF _Ref396853942 \r \h  \* MERGEFORMAT ">
        <w:r w:rsidR="00847C1B">
          <w:t>4.5.21</w:t>
        </w:r>
      </w:fldSimple>
      <w:r w:rsidRPr="00B53423">
        <w:t>.</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Thus, the Commission has approved finance charges amounting to Rs. 4.50 Crore for FY 2010-11 as against Rs. 27.89 Crore claimed by the Petitioner as shown in the Table below:</w:t>
      </w:r>
    </w:p>
    <w:p w:rsidR="004C74C2" w:rsidRPr="00B53423" w:rsidRDefault="004C74C2" w:rsidP="0015232B">
      <w:pPr>
        <w:pStyle w:val="ListParagraph"/>
        <w:spacing w:before="240"/>
        <w:ind w:left="432"/>
        <w:jc w:val="center"/>
        <w:rPr>
          <w:rFonts w:asciiTheme="minorHAnsi" w:hAnsiTheme="minorHAnsi" w:cstheme="minorHAnsi"/>
          <w:b/>
        </w:rPr>
      </w:pPr>
      <w:bookmarkStart w:id="506" w:name="_Toc399626369"/>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11</w:t>
      </w:r>
      <w:r w:rsidR="005D68E7" w:rsidRPr="00B53423">
        <w:rPr>
          <w:rFonts w:asciiTheme="minorHAnsi" w:hAnsiTheme="minorHAnsi" w:cstheme="minorHAnsi"/>
          <w:b/>
        </w:rPr>
        <w:fldChar w:fldCharType="end"/>
      </w:r>
      <w:r w:rsidRPr="00B53423">
        <w:rPr>
          <w:rFonts w:asciiTheme="minorHAnsi" w:hAnsiTheme="minorHAnsi" w:cstheme="minorHAnsi"/>
          <w:b/>
        </w:rPr>
        <w:t>: ALLOWABLE FINANCE CHARGES FOR FY 2010-11 (Rs. Crore)</w:t>
      </w:r>
      <w:bookmarkEnd w:id="506"/>
    </w:p>
    <w:tbl>
      <w:tblPr>
        <w:tblW w:w="8288" w:type="dxa"/>
        <w:tblInd w:w="103" w:type="dxa"/>
        <w:tblLook w:val="04A0"/>
      </w:tblPr>
      <w:tblGrid>
        <w:gridCol w:w="4360"/>
        <w:gridCol w:w="960"/>
        <w:gridCol w:w="976"/>
        <w:gridCol w:w="960"/>
        <w:gridCol w:w="1048"/>
      </w:tblGrid>
      <w:tr w:rsidR="004C74C2" w:rsidRPr="00B53423" w:rsidTr="009268E4">
        <w:trPr>
          <w:trHeight w:val="1020"/>
          <w:tblHeader/>
        </w:trPr>
        <w:tc>
          <w:tcPr>
            <w:tcW w:w="4360" w:type="dxa"/>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IN" w:eastAsia="en-IN"/>
              </w:rPr>
              <w:t>Particulars</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Tariff Order</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sz w:val="20"/>
                <w:szCs w:val="20"/>
                <w:lang w:val="en-US"/>
              </w:rPr>
            </w:pPr>
            <w:r w:rsidRPr="00B53423">
              <w:rPr>
                <w:rFonts w:cs="Calibri"/>
                <w:b/>
                <w:bCs/>
                <w:sz w:val="20"/>
                <w:szCs w:val="20"/>
                <w:lang w:val="en-US"/>
              </w:rPr>
              <w:t>Actuals as per Audited Accounts</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1048"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Interest on Electricity Duty</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23.39</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23.39</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Finance Charges / Guarantee Fees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0.96</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Bank Charges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0.04</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0.04</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0.04</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0.04</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Discount to Consumers on sale of energy</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1.53</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Interest on Consumer Security Deposits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4.47</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4.46</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4.46</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4.46</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b/>
                <w:bCs/>
                <w:color w:val="000000"/>
                <w:lang w:val="en-US"/>
              </w:rPr>
            </w:pPr>
            <w:r w:rsidRPr="00B53423">
              <w:rPr>
                <w:rFonts w:cs="Calibri"/>
                <w:b/>
                <w:bCs/>
                <w:color w:val="000000"/>
              </w:rPr>
              <w:t>Total Finance Charges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7.00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27.89</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27.89</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4.50</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720"/>
        <w:rPr>
          <w:b/>
        </w:rPr>
      </w:pPr>
      <w:r w:rsidRPr="00B53423">
        <w:rPr>
          <w:b/>
        </w:rPr>
        <w:t>Interest on Working Capital</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Tariff Regulations provide for normative interest on working capital based on the principles outline in the Distribution Tariff Regulations, 2006. The Petitioner submitted that in accordance with the Regulations it is eligible for interest on working capital. The Petitioner further submitted that Regulations 4.8(2)(B) of the Distribution Tariff Regulations, 2006specifies the rate of interest on working capital borrowing as the bank rate specified by RBI plus some margin approved by the Commission. The Petitioner submitted that it has accordingly considered a rate of 12.50% which is line with the rate approved by the Commission in its Tariff Order for FY 2010-11. The Petitioner further requested the Commission to approve normative interest on working of Rs. 8.77 Crore as against Rs. 10.37 Crore approved by the Commission in the Tariff Order of FY 2010-11.</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Based on the methodology specified in the above Regulations the Commission in the Tariff Order dated 19</w:t>
      </w:r>
      <w:r w:rsidRPr="00B53423">
        <w:rPr>
          <w:vertAlign w:val="superscript"/>
        </w:rPr>
        <w:t>th</w:t>
      </w:r>
      <w:r w:rsidRPr="00B53423">
        <w:t xml:space="preserve"> October, 2012 in Petition No. 751 / 2011 and 798 / 2012 for FY 2010-11 had allowed normative interest on working capital of Rs. 10.37 Crore. Following the similar approach and in accordance with the Regulations, the Commission in this Order has assessed the working capital and interest thereon based on the trued up ARR of the Petitioner.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has approved Rs. 8.77 Crore towards interest on working capital for FY 2010-11 which is same as that claimed by the Petitioner. The summary of the interest on working capital approved by the Commission in the Tariff Order for FY 2010-11, claimed by the Petitioner and that approved by the Commission in the present Truing up Order is shown in the Table below:</w:t>
      </w:r>
    </w:p>
    <w:p w:rsidR="004C74C2" w:rsidRPr="00B53423" w:rsidRDefault="004C74C2" w:rsidP="0015232B">
      <w:pPr>
        <w:pStyle w:val="ListParagraph"/>
        <w:ind w:left="180"/>
      </w:pPr>
    </w:p>
    <w:p w:rsidR="004C74C2" w:rsidRPr="00B53423" w:rsidRDefault="004C74C2" w:rsidP="0015232B">
      <w:pPr>
        <w:spacing w:before="240"/>
        <w:rPr>
          <w:rFonts w:asciiTheme="minorHAnsi" w:hAnsiTheme="minorHAnsi" w:cstheme="minorHAnsi"/>
          <w:b/>
        </w:rPr>
      </w:pPr>
      <w:bookmarkStart w:id="507" w:name="_Toc399626370"/>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12</w:t>
      </w:r>
      <w:r w:rsidR="005D68E7" w:rsidRPr="00B53423">
        <w:rPr>
          <w:rFonts w:asciiTheme="minorHAnsi" w:hAnsiTheme="minorHAnsi" w:cstheme="minorHAnsi"/>
          <w:b/>
        </w:rPr>
        <w:fldChar w:fldCharType="end"/>
      </w:r>
      <w:r w:rsidRPr="00B53423">
        <w:rPr>
          <w:rFonts w:asciiTheme="minorHAnsi" w:hAnsiTheme="minorHAnsi" w:cstheme="minorHAnsi"/>
          <w:b/>
        </w:rPr>
        <w:t>: ALLOWABLE INTEREST ON WORKING CAPITAL FOR FY 2010-11 (Rs. Crore)</w:t>
      </w:r>
      <w:bookmarkEnd w:id="507"/>
    </w:p>
    <w:tbl>
      <w:tblPr>
        <w:tblW w:w="8615" w:type="dxa"/>
        <w:tblInd w:w="-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535"/>
        <w:gridCol w:w="960"/>
        <w:gridCol w:w="1128"/>
        <w:gridCol w:w="1007"/>
        <w:gridCol w:w="1215"/>
      </w:tblGrid>
      <w:tr w:rsidR="004C74C2" w:rsidRPr="00B53423" w:rsidTr="009268E4">
        <w:trPr>
          <w:trHeight w:val="1020"/>
          <w:tblHeader/>
        </w:trPr>
        <w:tc>
          <w:tcPr>
            <w:tcW w:w="4535"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IN" w:eastAsia="en-IN"/>
              </w:rPr>
              <w:t>Particulars</w:t>
            </w:r>
          </w:p>
        </w:tc>
        <w:tc>
          <w:tcPr>
            <w:tcW w:w="960"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Tariff Order</w:t>
            </w:r>
          </w:p>
        </w:tc>
        <w:tc>
          <w:tcPr>
            <w:tcW w:w="1028"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lang w:val="en-US"/>
              </w:rPr>
            </w:pPr>
            <w:r w:rsidRPr="00B53423">
              <w:rPr>
                <w:rFonts w:asciiTheme="minorHAnsi" w:hAnsiTheme="minorHAnsi" w:cstheme="minorHAnsi"/>
                <w:b/>
                <w:bCs/>
                <w:lang w:val="en-US"/>
              </w:rPr>
              <w:t>Actuals as per Audited Accounts</w:t>
            </w:r>
          </w:p>
        </w:tc>
        <w:tc>
          <w:tcPr>
            <w:tcW w:w="960"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True-up Petition</w:t>
            </w:r>
          </w:p>
        </w:tc>
        <w:tc>
          <w:tcPr>
            <w:tcW w:w="1132"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Allowable</w:t>
            </w:r>
          </w:p>
        </w:tc>
      </w:tr>
      <w:tr w:rsidR="004C74C2" w:rsidRPr="00B53423" w:rsidTr="009268E4">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 xml:space="preserve">One month's O &amp; M  Expenses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10.19 </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10.44 </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10.44 </w:t>
            </w:r>
          </w:p>
        </w:tc>
      </w:tr>
      <w:tr w:rsidR="004C74C2" w:rsidRPr="00B53423" w:rsidTr="009268E4">
        <w:trPr>
          <w:trHeight w:val="300"/>
        </w:trPr>
        <w:tc>
          <w:tcPr>
            <w:tcW w:w="4535" w:type="dxa"/>
            <w:shd w:val="clear" w:color="auto" w:fill="auto"/>
            <w:noWrap/>
            <w:vAlign w:val="center"/>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One-twelfth of the sum of the book value of stores, materials and supplies at the end of each month of such financial year</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0.91 </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1.61 </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1.61 </w:t>
            </w:r>
          </w:p>
        </w:tc>
      </w:tr>
      <w:tr w:rsidR="004C74C2" w:rsidRPr="00B53423" w:rsidTr="009268E4">
        <w:trPr>
          <w:trHeight w:val="575"/>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Receivables equivalent to 60 days average billing of Beneficiaries</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149.24 </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157.01 </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157.01 </w:t>
            </w:r>
          </w:p>
        </w:tc>
      </w:tr>
      <w:tr w:rsidR="004C74C2" w:rsidRPr="00B53423" w:rsidTr="009268E4">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Gross Total</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160.34 </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169.06 </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169.06 </w:t>
            </w:r>
          </w:p>
        </w:tc>
      </w:tr>
      <w:tr w:rsidR="004C74C2" w:rsidRPr="00B53423" w:rsidTr="009268E4">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 </w:t>
            </w:r>
          </w:p>
        </w:tc>
        <w:tc>
          <w:tcPr>
            <w:tcW w:w="960" w:type="dxa"/>
            <w:shd w:val="clear" w:color="auto" w:fill="auto"/>
            <w:noWrap/>
            <w:hideMark/>
          </w:tcPr>
          <w:p w:rsidR="004C74C2" w:rsidRPr="00B53423" w:rsidRDefault="004C74C2" w:rsidP="0015232B">
            <w:pPr>
              <w:spacing w:before="0"/>
              <w:jc w:val="right"/>
              <w:rPr>
                <w:sz w:val="20"/>
                <w:szCs w:val="20"/>
              </w:rPr>
            </w:pPr>
          </w:p>
        </w:tc>
        <w:tc>
          <w:tcPr>
            <w:tcW w:w="1028" w:type="dxa"/>
            <w:shd w:val="clear" w:color="auto" w:fill="auto"/>
            <w:noWrap/>
            <w:hideMark/>
          </w:tcPr>
          <w:p w:rsidR="004C74C2" w:rsidRPr="00B53423" w:rsidRDefault="004C74C2" w:rsidP="0015232B">
            <w:pPr>
              <w:spacing w:before="0"/>
              <w:jc w:val="right"/>
              <w:rPr>
                <w:sz w:val="20"/>
                <w:szCs w:val="20"/>
              </w:rPr>
            </w:pPr>
          </w:p>
        </w:tc>
        <w:tc>
          <w:tcPr>
            <w:tcW w:w="960" w:type="dxa"/>
            <w:shd w:val="clear" w:color="auto" w:fill="auto"/>
            <w:noWrap/>
            <w:hideMark/>
          </w:tcPr>
          <w:p w:rsidR="004C74C2" w:rsidRPr="00B53423" w:rsidRDefault="004C74C2" w:rsidP="0015232B">
            <w:pPr>
              <w:spacing w:before="0"/>
              <w:jc w:val="right"/>
              <w:rPr>
                <w:sz w:val="20"/>
                <w:szCs w:val="20"/>
              </w:rPr>
            </w:pPr>
          </w:p>
        </w:tc>
        <w:tc>
          <w:tcPr>
            <w:tcW w:w="1132" w:type="dxa"/>
            <w:shd w:val="clear" w:color="auto" w:fill="auto"/>
            <w:noWrap/>
            <w:hideMark/>
          </w:tcPr>
          <w:p w:rsidR="004C74C2" w:rsidRPr="00B53423" w:rsidRDefault="004C74C2" w:rsidP="0015232B">
            <w:pPr>
              <w:spacing w:before="0"/>
              <w:jc w:val="right"/>
              <w:rPr>
                <w:sz w:val="20"/>
                <w:szCs w:val="20"/>
              </w:rPr>
            </w:pPr>
          </w:p>
        </w:tc>
      </w:tr>
      <w:tr w:rsidR="004C74C2" w:rsidRPr="00B53423" w:rsidTr="009268E4">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Security Deposits by the beneficiaries (if any )</w:t>
            </w:r>
          </w:p>
        </w:tc>
        <w:tc>
          <w:tcPr>
            <w:tcW w:w="960" w:type="dxa"/>
            <w:shd w:val="clear" w:color="auto" w:fill="auto"/>
            <w:noWrap/>
            <w:hideMark/>
          </w:tcPr>
          <w:p w:rsidR="004C74C2" w:rsidRPr="00B53423" w:rsidRDefault="004C74C2" w:rsidP="0015232B">
            <w:pPr>
              <w:spacing w:before="0"/>
              <w:jc w:val="right"/>
              <w:rPr>
                <w:b/>
                <w:sz w:val="20"/>
                <w:szCs w:val="20"/>
              </w:rPr>
            </w:pPr>
            <w:r w:rsidRPr="00B53423">
              <w:rPr>
                <w:b/>
                <w:sz w:val="20"/>
                <w:szCs w:val="20"/>
              </w:rPr>
              <w:t xml:space="preserve">     77.35 </w:t>
            </w:r>
          </w:p>
        </w:tc>
        <w:tc>
          <w:tcPr>
            <w:tcW w:w="1028" w:type="dxa"/>
            <w:shd w:val="clear" w:color="auto" w:fill="auto"/>
            <w:noWrap/>
            <w:hideMark/>
          </w:tcPr>
          <w:p w:rsidR="004C74C2" w:rsidRPr="00B53423" w:rsidRDefault="004C74C2" w:rsidP="0015232B">
            <w:pPr>
              <w:spacing w:before="0"/>
              <w:jc w:val="right"/>
              <w:rPr>
                <w:b/>
                <w:sz w:val="20"/>
                <w:szCs w:val="20"/>
              </w:rPr>
            </w:pPr>
            <w:r w:rsidRPr="00B53423">
              <w:rPr>
                <w:b/>
                <w:sz w:val="20"/>
                <w:szCs w:val="20"/>
              </w:rPr>
              <w:t> </w:t>
            </w:r>
          </w:p>
        </w:tc>
        <w:tc>
          <w:tcPr>
            <w:tcW w:w="960" w:type="dxa"/>
            <w:shd w:val="clear" w:color="auto" w:fill="auto"/>
            <w:noWrap/>
            <w:hideMark/>
          </w:tcPr>
          <w:p w:rsidR="004C74C2" w:rsidRPr="00B53423" w:rsidRDefault="004C74C2" w:rsidP="0015232B">
            <w:pPr>
              <w:spacing w:before="0"/>
              <w:jc w:val="right"/>
              <w:rPr>
                <w:b/>
                <w:sz w:val="20"/>
                <w:szCs w:val="20"/>
              </w:rPr>
            </w:pPr>
            <w:r w:rsidRPr="00B53423">
              <w:rPr>
                <w:b/>
                <w:sz w:val="20"/>
                <w:szCs w:val="20"/>
              </w:rPr>
              <w:t xml:space="preserve">     98.89 </w:t>
            </w:r>
          </w:p>
        </w:tc>
        <w:tc>
          <w:tcPr>
            <w:tcW w:w="1132" w:type="dxa"/>
            <w:shd w:val="clear" w:color="auto" w:fill="auto"/>
            <w:noWrap/>
            <w:hideMark/>
          </w:tcPr>
          <w:p w:rsidR="004C74C2" w:rsidRPr="00B53423" w:rsidRDefault="004C74C2" w:rsidP="0015232B">
            <w:pPr>
              <w:spacing w:before="0"/>
              <w:jc w:val="right"/>
              <w:rPr>
                <w:b/>
                <w:sz w:val="20"/>
                <w:szCs w:val="20"/>
              </w:rPr>
            </w:pPr>
            <w:r w:rsidRPr="00B53423">
              <w:rPr>
                <w:b/>
                <w:sz w:val="20"/>
                <w:szCs w:val="20"/>
              </w:rPr>
              <w:t xml:space="preserve">         98.89 </w:t>
            </w:r>
          </w:p>
        </w:tc>
      </w:tr>
      <w:tr w:rsidR="004C74C2" w:rsidRPr="00B53423" w:rsidTr="009268E4">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Net Working Capital</w:t>
            </w:r>
          </w:p>
        </w:tc>
        <w:tc>
          <w:tcPr>
            <w:tcW w:w="960" w:type="dxa"/>
            <w:shd w:val="clear" w:color="auto" w:fill="auto"/>
            <w:noWrap/>
            <w:hideMark/>
          </w:tcPr>
          <w:p w:rsidR="004C74C2" w:rsidRPr="00B53423" w:rsidRDefault="004C74C2" w:rsidP="0015232B">
            <w:pPr>
              <w:spacing w:before="0"/>
              <w:jc w:val="right"/>
              <w:rPr>
                <w:b/>
                <w:sz w:val="20"/>
                <w:szCs w:val="20"/>
              </w:rPr>
            </w:pPr>
            <w:r w:rsidRPr="00B53423">
              <w:rPr>
                <w:b/>
                <w:sz w:val="20"/>
                <w:szCs w:val="20"/>
              </w:rPr>
              <w:t xml:space="preserve">      82.99 </w:t>
            </w:r>
          </w:p>
        </w:tc>
        <w:tc>
          <w:tcPr>
            <w:tcW w:w="1028" w:type="dxa"/>
            <w:shd w:val="clear" w:color="auto" w:fill="auto"/>
            <w:noWrap/>
            <w:hideMark/>
          </w:tcPr>
          <w:p w:rsidR="004C74C2" w:rsidRPr="00B53423" w:rsidRDefault="004C74C2" w:rsidP="0015232B">
            <w:pPr>
              <w:spacing w:before="0"/>
              <w:jc w:val="right"/>
              <w:rPr>
                <w:b/>
                <w:sz w:val="20"/>
                <w:szCs w:val="20"/>
              </w:rPr>
            </w:pPr>
            <w:r w:rsidRPr="00B53423">
              <w:rPr>
                <w:b/>
                <w:sz w:val="20"/>
                <w:szCs w:val="20"/>
              </w:rPr>
              <w:t> </w:t>
            </w:r>
          </w:p>
        </w:tc>
        <w:tc>
          <w:tcPr>
            <w:tcW w:w="960" w:type="dxa"/>
            <w:shd w:val="clear" w:color="auto" w:fill="auto"/>
            <w:noWrap/>
            <w:hideMark/>
          </w:tcPr>
          <w:p w:rsidR="004C74C2" w:rsidRPr="00B53423" w:rsidRDefault="004C74C2" w:rsidP="0015232B">
            <w:pPr>
              <w:spacing w:before="0"/>
              <w:jc w:val="right"/>
              <w:rPr>
                <w:b/>
                <w:sz w:val="20"/>
                <w:szCs w:val="20"/>
              </w:rPr>
            </w:pPr>
            <w:r w:rsidRPr="00B53423">
              <w:rPr>
                <w:b/>
                <w:sz w:val="20"/>
                <w:szCs w:val="20"/>
              </w:rPr>
              <w:t xml:space="preserve">     70.17 </w:t>
            </w:r>
          </w:p>
        </w:tc>
        <w:tc>
          <w:tcPr>
            <w:tcW w:w="1132" w:type="dxa"/>
            <w:shd w:val="clear" w:color="auto" w:fill="auto"/>
            <w:noWrap/>
            <w:hideMark/>
          </w:tcPr>
          <w:p w:rsidR="004C74C2" w:rsidRPr="00B53423" w:rsidRDefault="004C74C2" w:rsidP="0015232B">
            <w:pPr>
              <w:spacing w:before="0"/>
              <w:jc w:val="right"/>
              <w:rPr>
                <w:b/>
                <w:sz w:val="20"/>
                <w:szCs w:val="20"/>
              </w:rPr>
            </w:pPr>
            <w:r w:rsidRPr="00B53423">
              <w:rPr>
                <w:b/>
                <w:sz w:val="20"/>
                <w:szCs w:val="20"/>
              </w:rPr>
              <w:t xml:space="preserve">         70.17 </w:t>
            </w:r>
          </w:p>
        </w:tc>
      </w:tr>
      <w:tr w:rsidR="004C74C2" w:rsidRPr="00B53423" w:rsidTr="009268E4">
        <w:trPr>
          <w:trHeight w:val="300"/>
        </w:trPr>
        <w:tc>
          <w:tcPr>
            <w:tcW w:w="4535" w:type="dxa"/>
            <w:shd w:val="clear" w:color="auto" w:fill="auto"/>
            <w:noWrap/>
            <w:vAlign w:val="bottom"/>
            <w:hideMark/>
          </w:tcPr>
          <w:p w:rsidR="004C74C2" w:rsidRPr="00B53423" w:rsidRDefault="004C74C2" w:rsidP="0015232B">
            <w:pPr>
              <w:spacing w:before="0" w:line="240" w:lineRule="auto"/>
              <w:jc w:val="center"/>
              <w:rPr>
                <w:rFonts w:asciiTheme="minorHAnsi" w:hAnsiTheme="minorHAnsi" w:cstheme="minorHAnsi"/>
              </w:rPr>
            </w:pPr>
            <w:r w:rsidRPr="00B53423">
              <w:rPr>
                <w:rFonts w:asciiTheme="minorHAnsi" w:hAnsiTheme="minorHAnsi" w:cstheme="minorHAnsi"/>
              </w:rPr>
              <w:t> </w:t>
            </w:r>
          </w:p>
        </w:tc>
        <w:tc>
          <w:tcPr>
            <w:tcW w:w="960" w:type="dxa"/>
            <w:shd w:val="clear" w:color="auto" w:fill="auto"/>
            <w:noWrap/>
            <w:hideMark/>
          </w:tcPr>
          <w:p w:rsidR="004C74C2" w:rsidRPr="00B53423" w:rsidRDefault="004C74C2" w:rsidP="0015232B">
            <w:pPr>
              <w:spacing w:before="0"/>
              <w:jc w:val="right"/>
              <w:rPr>
                <w:sz w:val="20"/>
                <w:szCs w:val="20"/>
              </w:rPr>
            </w:pPr>
          </w:p>
        </w:tc>
        <w:tc>
          <w:tcPr>
            <w:tcW w:w="1028" w:type="dxa"/>
            <w:shd w:val="clear" w:color="auto" w:fill="auto"/>
            <w:noWrap/>
            <w:hideMark/>
          </w:tcPr>
          <w:p w:rsidR="004C74C2" w:rsidRPr="00B53423" w:rsidRDefault="004C74C2" w:rsidP="0015232B">
            <w:pPr>
              <w:spacing w:before="0"/>
              <w:jc w:val="right"/>
              <w:rPr>
                <w:sz w:val="20"/>
                <w:szCs w:val="20"/>
              </w:rPr>
            </w:pPr>
          </w:p>
        </w:tc>
        <w:tc>
          <w:tcPr>
            <w:tcW w:w="960" w:type="dxa"/>
            <w:shd w:val="clear" w:color="auto" w:fill="auto"/>
            <w:noWrap/>
            <w:hideMark/>
          </w:tcPr>
          <w:p w:rsidR="004C74C2" w:rsidRPr="00B53423" w:rsidRDefault="004C74C2" w:rsidP="0015232B">
            <w:pPr>
              <w:spacing w:before="0"/>
              <w:jc w:val="right"/>
              <w:rPr>
                <w:sz w:val="20"/>
                <w:szCs w:val="20"/>
              </w:rPr>
            </w:pPr>
          </w:p>
        </w:tc>
        <w:tc>
          <w:tcPr>
            <w:tcW w:w="1132" w:type="dxa"/>
            <w:shd w:val="clear" w:color="auto" w:fill="auto"/>
            <w:noWrap/>
            <w:hideMark/>
          </w:tcPr>
          <w:p w:rsidR="004C74C2" w:rsidRPr="00B53423" w:rsidRDefault="004C74C2" w:rsidP="0015232B">
            <w:pPr>
              <w:spacing w:before="0"/>
              <w:jc w:val="right"/>
              <w:rPr>
                <w:sz w:val="20"/>
                <w:szCs w:val="20"/>
              </w:rPr>
            </w:pPr>
          </w:p>
        </w:tc>
      </w:tr>
      <w:tr w:rsidR="004C74C2" w:rsidRPr="00B53423" w:rsidTr="009268E4">
        <w:trPr>
          <w:trHeight w:val="300"/>
        </w:trPr>
        <w:tc>
          <w:tcPr>
            <w:tcW w:w="4535"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Rate of Interest for Working Capital</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12.50%</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12.50%</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12.50%</w:t>
            </w:r>
          </w:p>
        </w:tc>
      </w:tr>
      <w:tr w:rsidR="004C74C2" w:rsidRPr="00B53423" w:rsidTr="009268E4">
        <w:trPr>
          <w:trHeight w:val="300"/>
        </w:trPr>
        <w:tc>
          <w:tcPr>
            <w:tcW w:w="4535"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Interest on Working Capital</w:t>
            </w:r>
          </w:p>
        </w:tc>
        <w:tc>
          <w:tcPr>
            <w:tcW w:w="960" w:type="dxa"/>
            <w:shd w:val="clear" w:color="auto" w:fill="auto"/>
            <w:noWrap/>
            <w:hideMark/>
          </w:tcPr>
          <w:p w:rsidR="004C74C2" w:rsidRPr="00B53423" w:rsidRDefault="004C74C2" w:rsidP="0015232B">
            <w:pPr>
              <w:spacing w:before="0"/>
              <w:jc w:val="right"/>
              <w:rPr>
                <w:b/>
                <w:sz w:val="20"/>
                <w:szCs w:val="20"/>
              </w:rPr>
            </w:pPr>
            <w:r w:rsidRPr="00B53423">
              <w:rPr>
                <w:b/>
                <w:sz w:val="20"/>
                <w:szCs w:val="20"/>
              </w:rPr>
              <w:t xml:space="preserve">     10.37 </w:t>
            </w:r>
          </w:p>
        </w:tc>
        <w:tc>
          <w:tcPr>
            <w:tcW w:w="1028" w:type="dxa"/>
            <w:shd w:val="clear" w:color="auto" w:fill="auto"/>
            <w:noWrap/>
            <w:hideMark/>
          </w:tcPr>
          <w:p w:rsidR="004C74C2" w:rsidRPr="00B53423" w:rsidRDefault="004C74C2" w:rsidP="0015232B">
            <w:pPr>
              <w:spacing w:before="0"/>
              <w:jc w:val="right"/>
              <w:rPr>
                <w:b/>
                <w:sz w:val="20"/>
                <w:szCs w:val="20"/>
              </w:rPr>
            </w:pPr>
            <w:r w:rsidRPr="00B53423">
              <w:rPr>
                <w:b/>
                <w:sz w:val="20"/>
                <w:szCs w:val="20"/>
              </w:rPr>
              <w:t xml:space="preserve">         0.16 </w:t>
            </w:r>
          </w:p>
        </w:tc>
        <w:tc>
          <w:tcPr>
            <w:tcW w:w="960" w:type="dxa"/>
            <w:shd w:val="clear" w:color="auto" w:fill="auto"/>
            <w:noWrap/>
            <w:hideMark/>
          </w:tcPr>
          <w:p w:rsidR="004C74C2" w:rsidRPr="00B53423" w:rsidRDefault="004C74C2" w:rsidP="0015232B">
            <w:pPr>
              <w:spacing w:before="0"/>
              <w:jc w:val="right"/>
              <w:rPr>
                <w:b/>
                <w:sz w:val="20"/>
                <w:szCs w:val="20"/>
              </w:rPr>
            </w:pPr>
            <w:r w:rsidRPr="00B53423">
              <w:rPr>
                <w:b/>
                <w:sz w:val="20"/>
                <w:szCs w:val="20"/>
              </w:rPr>
              <w:t xml:space="preserve">       8.77 </w:t>
            </w:r>
          </w:p>
        </w:tc>
        <w:tc>
          <w:tcPr>
            <w:tcW w:w="1132" w:type="dxa"/>
            <w:shd w:val="clear" w:color="auto" w:fill="auto"/>
            <w:noWrap/>
            <w:hideMark/>
          </w:tcPr>
          <w:p w:rsidR="004C74C2" w:rsidRPr="00B53423" w:rsidRDefault="004C74C2" w:rsidP="0015232B">
            <w:pPr>
              <w:spacing w:before="0"/>
              <w:jc w:val="right"/>
              <w:rPr>
                <w:b/>
                <w:sz w:val="20"/>
                <w:szCs w:val="20"/>
              </w:rPr>
            </w:pPr>
            <w:r w:rsidRPr="00B53423">
              <w:rPr>
                <w:b/>
                <w:sz w:val="20"/>
                <w:szCs w:val="20"/>
              </w:rPr>
              <w:t xml:space="preserve">           8.77 </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450" w:firstLine="270"/>
        <w:rPr>
          <w:b/>
        </w:rPr>
      </w:pPr>
      <w:r w:rsidRPr="00B53423">
        <w:rPr>
          <w:b/>
        </w:rPr>
        <w:t>Total Interest and Finance Charges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following Table summarises the interest and finance charges approved by the Commission in the Tariff Order, interest and finance charges claimed by the Petitioner and that approved by the Commission in this Order:</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rPr>
          <w:rFonts w:asciiTheme="minorHAnsi" w:hAnsiTheme="minorHAnsi" w:cstheme="minorHAnsi"/>
          <w:b/>
        </w:rPr>
      </w:pPr>
      <w:bookmarkStart w:id="508" w:name="_Toc399626371"/>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13</w:t>
      </w:r>
      <w:r w:rsidR="005D68E7" w:rsidRPr="00B53423">
        <w:rPr>
          <w:rFonts w:asciiTheme="minorHAnsi" w:hAnsiTheme="minorHAnsi" w:cstheme="minorHAnsi"/>
          <w:b/>
        </w:rPr>
        <w:fldChar w:fldCharType="end"/>
      </w:r>
      <w:r w:rsidRPr="00B53423">
        <w:rPr>
          <w:rFonts w:asciiTheme="minorHAnsi" w:hAnsiTheme="minorHAnsi" w:cstheme="minorHAnsi"/>
          <w:b/>
        </w:rPr>
        <w:t>: ALLOWABLE INTEREST AND FINANCE CHARGES FOR FY 2010-11 (Rs. Crore)</w:t>
      </w:r>
      <w:bookmarkEnd w:id="508"/>
    </w:p>
    <w:tbl>
      <w:tblPr>
        <w:tblW w:w="9180" w:type="dxa"/>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792"/>
        <w:gridCol w:w="1183"/>
        <w:gridCol w:w="1692"/>
        <w:gridCol w:w="1178"/>
        <w:gridCol w:w="1335"/>
      </w:tblGrid>
      <w:tr w:rsidR="004C74C2" w:rsidRPr="00B53423" w:rsidTr="00E03138">
        <w:trPr>
          <w:trHeight w:val="900"/>
          <w:tblHeader/>
        </w:trPr>
        <w:tc>
          <w:tcPr>
            <w:tcW w:w="3792" w:type="dxa"/>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183"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692"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78"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335"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b/>
                <w:bCs/>
                <w:i/>
                <w:iCs/>
                <w:color w:val="000000"/>
                <w:lang w:val="en-US"/>
              </w:rPr>
            </w:pPr>
            <w:r w:rsidRPr="00B53423">
              <w:rPr>
                <w:rFonts w:cs="Calibri"/>
                <w:b/>
                <w:bCs/>
                <w:i/>
                <w:iCs/>
                <w:color w:val="000000"/>
                <w:lang w:val="en-US"/>
              </w:rPr>
              <w:t>A: Interest on Long Term Loans</w:t>
            </w:r>
          </w:p>
        </w:tc>
        <w:tc>
          <w:tcPr>
            <w:tcW w:w="1183" w:type="dxa"/>
            <w:shd w:val="clear" w:color="auto" w:fill="auto"/>
            <w:noWrap/>
            <w:vAlign w:val="bottom"/>
            <w:hideMark/>
          </w:tcPr>
          <w:p w:rsidR="004C74C2" w:rsidRPr="00B53423" w:rsidRDefault="004C74C2" w:rsidP="0015232B">
            <w:pPr>
              <w:spacing w:before="0" w:line="240" w:lineRule="auto"/>
              <w:rPr>
                <w:rFonts w:cs="Calibri"/>
                <w:color w:val="000000"/>
              </w:rPr>
            </w:pPr>
            <w:r w:rsidRPr="00B53423">
              <w:rPr>
                <w:rFonts w:cs="Calibri"/>
                <w:color w:val="000000"/>
              </w:rPr>
              <w:t> </w:t>
            </w:r>
          </w:p>
        </w:tc>
        <w:tc>
          <w:tcPr>
            <w:tcW w:w="1692" w:type="dxa"/>
            <w:shd w:val="clear" w:color="auto" w:fill="auto"/>
            <w:noWrap/>
            <w:vAlign w:val="bottom"/>
            <w:hideMark/>
          </w:tcPr>
          <w:p w:rsidR="004C74C2" w:rsidRPr="00B53423" w:rsidRDefault="004C74C2" w:rsidP="0015232B">
            <w:pPr>
              <w:spacing w:before="0" w:line="240" w:lineRule="auto"/>
              <w:rPr>
                <w:rFonts w:cs="Calibri"/>
                <w:color w:val="000000"/>
              </w:rPr>
            </w:pPr>
            <w:r w:rsidRPr="00B53423">
              <w:rPr>
                <w:rFonts w:cs="Calibri"/>
                <w:color w:val="000000"/>
              </w:rPr>
              <w:t> </w:t>
            </w:r>
          </w:p>
        </w:tc>
        <w:tc>
          <w:tcPr>
            <w:tcW w:w="1178" w:type="dxa"/>
            <w:shd w:val="clear" w:color="auto" w:fill="auto"/>
            <w:noWrap/>
            <w:vAlign w:val="bottom"/>
            <w:hideMark/>
          </w:tcPr>
          <w:p w:rsidR="004C74C2" w:rsidRPr="00B53423" w:rsidRDefault="004C74C2" w:rsidP="0015232B">
            <w:pPr>
              <w:spacing w:before="0" w:line="240" w:lineRule="auto"/>
              <w:rPr>
                <w:rFonts w:cs="Calibri"/>
                <w:color w:val="000000"/>
              </w:rPr>
            </w:pPr>
            <w:r w:rsidRPr="00B53423">
              <w:rPr>
                <w:rFonts w:cs="Calibri"/>
                <w:color w:val="000000"/>
              </w:rPr>
              <w:t> </w:t>
            </w:r>
          </w:p>
        </w:tc>
        <w:tc>
          <w:tcPr>
            <w:tcW w:w="1335" w:type="dxa"/>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Gross Interest on Long Term Loan</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12.29</w:t>
            </w: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color w:val="000000"/>
              </w:rPr>
            </w:pPr>
            <w:r w:rsidRPr="00B53423">
              <w:rPr>
                <w:rFonts w:cs="Calibri"/>
                <w:color w:val="000000"/>
              </w:rPr>
              <w:t>11.53</w:t>
            </w: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color w:val="000000"/>
              </w:rPr>
            </w:pPr>
            <w:r w:rsidRPr="00B53423">
              <w:rPr>
                <w:rFonts w:cs="Calibri"/>
                <w:color w:val="000000"/>
              </w:rPr>
              <w:t>2.68</w:t>
            </w: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color w:val="000000"/>
              </w:rPr>
            </w:pPr>
            <w:r w:rsidRPr="00B53423">
              <w:rPr>
                <w:rFonts w:cs="Calibri"/>
                <w:color w:val="000000"/>
              </w:rPr>
              <w:t>2.58</w:t>
            </w: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Interest Capitalisation</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0.38</w:t>
            </w: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color w:val="000000"/>
              </w:rPr>
            </w:pPr>
            <w:r w:rsidRPr="00B53423">
              <w:rPr>
                <w:rFonts w:cs="Calibri"/>
                <w:color w:val="000000"/>
              </w:rPr>
              <w:t>0.00</w:t>
            </w: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color w:val="000000"/>
              </w:rPr>
            </w:pPr>
            <w:r w:rsidRPr="00B53423">
              <w:rPr>
                <w:rFonts w:cs="Calibri"/>
                <w:color w:val="000000"/>
              </w:rPr>
              <w:t>0.00</w:t>
            </w: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color w:val="000000"/>
              </w:rPr>
            </w:pPr>
            <w:r w:rsidRPr="00B53423">
              <w:rPr>
                <w:rFonts w:cs="Calibri"/>
                <w:color w:val="000000"/>
              </w:rPr>
              <w:t>0.00</w:t>
            </w: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Interest on Long Term Loans</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b/>
                <w:bCs/>
                <w:color w:val="000000"/>
              </w:rPr>
            </w:pPr>
            <w:r w:rsidRPr="00B53423">
              <w:rPr>
                <w:rFonts w:cs="Calibri"/>
                <w:b/>
                <w:bCs/>
                <w:color w:val="000000"/>
              </w:rPr>
              <w:t>11.91</w:t>
            </w: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b/>
                <w:bCs/>
                <w:color w:val="000000"/>
              </w:rPr>
            </w:pPr>
            <w:r w:rsidRPr="00B53423">
              <w:rPr>
                <w:rFonts w:cs="Calibri"/>
                <w:b/>
                <w:bCs/>
                <w:color w:val="000000"/>
              </w:rPr>
              <w:t>11.53</w:t>
            </w: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b/>
                <w:bCs/>
                <w:color w:val="000000"/>
              </w:rPr>
            </w:pPr>
            <w:r w:rsidRPr="00B53423">
              <w:rPr>
                <w:rFonts w:cs="Calibri"/>
                <w:b/>
                <w:bCs/>
                <w:color w:val="000000"/>
              </w:rPr>
              <w:t>2.68</w:t>
            </w: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b/>
                <w:bCs/>
                <w:color w:val="000000"/>
              </w:rPr>
            </w:pPr>
            <w:r w:rsidRPr="00B53423">
              <w:rPr>
                <w:rFonts w:cs="Calibri"/>
                <w:b/>
                <w:bCs/>
                <w:color w:val="000000"/>
              </w:rPr>
              <w:t>2.58</w:t>
            </w: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color w:val="000000"/>
              </w:rPr>
            </w:pP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color w:val="000000"/>
              </w:rPr>
            </w:pP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color w:val="000000"/>
              </w:rPr>
            </w:pP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color w:val="000000"/>
              </w:rPr>
            </w:pP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b/>
                <w:bCs/>
                <w:i/>
                <w:iCs/>
                <w:color w:val="000000"/>
                <w:lang w:val="en-US"/>
              </w:rPr>
            </w:pPr>
            <w:r w:rsidRPr="00B53423">
              <w:rPr>
                <w:rFonts w:cs="Calibri"/>
                <w:b/>
                <w:bCs/>
                <w:i/>
                <w:iCs/>
                <w:color w:val="000000"/>
                <w:lang w:val="en-US"/>
              </w:rPr>
              <w:t>B: Finance and Other Charges</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color w:val="000000"/>
              </w:rPr>
            </w:pP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color w:val="000000"/>
              </w:rPr>
            </w:pP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color w:val="000000"/>
              </w:rPr>
            </w:pP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color w:val="000000"/>
              </w:rPr>
            </w:pP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Interest on Electricity Duty</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0.00</w:t>
            </w: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color w:val="000000"/>
              </w:rPr>
            </w:pPr>
            <w:r w:rsidRPr="00B53423">
              <w:rPr>
                <w:rFonts w:cs="Calibri"/>
                <w:color w:val="000000"/>
              </w:rPr>
              <w:t>23.39</w:t>
            </w: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color w:val="000000"/>
              </w:rPr>
            </w:pPr>
            <w:r w:rsidRPr="00B53423">
              <w:rPr>
                <w:rFonts w:cs="Calibri"/>
                <w:color w:val="000000"/>
              </w:rPr>
              <w:t>23.39</w:t>
            </w: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color w:val="000000"/>
              </w:rPr>
            </w:pPr>
            <w:r w:rsidRPr="00B53423">
              <w:rPr>
                <w:rFonts w:cs="Calibri"/>
                <w:color w:val="000000"/>
              </w:rPr>
              <w:t>0.00</w:t>
            </w: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Finance Charges / Guarantee Fees</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0.96</w:t>
            </w: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color w:val="000000"/>
              </w:rPr>
            </w:pPr>
            <w:r w:rsidRPr="00B53423">
              <w:rPr>
                <w:rFonts w:cs="Calibri"/>
                <w:color w:val="000000"/>
              </w:rPr>
              <w:t>0.00</w:t>
            </w: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color w:val="000000"/>
              </w:rPr>
            </w:pPr>
            <w:r w:rsidRPr="00B53423">
              <w:rPr>
                <w:rFonts w:cs="Calibri"/>
                <w:color w:val="000000"/>
              </w:rPr>
              <w:t>0.00</w:t>
            </w: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color w:val="000000"/>
              </w:rPr>
            </w:pPr>
            <w:r w:rsidRPr="00B53423">
              <w:rPr>
                <w:rFonts w:cs="Calibri"/>
                <w:color w:val="000000"/>
              </w:rPr>
              <w:t>0.00</w:t>
            </w: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Bank Charges</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0.04</w:t>
            </w: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color w:val="000000"/>
              </w:rPr>
            </w:pPr>
            <w:r w:rsidRPr="00B53423">
              <w:rPr>
                <w:rFonts w:cs="Calibri"/>
                <w:color w:val="000000"/>
              </w:rPr>
              <w:t>0.04</w:t>
            </w: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color w:val="000000"/>
              </w:rPr>
            </w:pPr>
            <w:r w:rsidRPr="00B53423">
              <w:rPr>
                <w:rFonts w:cs="Calibri"/>
                <w:color w:val="000000"/>
              </w:rPr>
              <w:t>0.04</w:t>
            </w: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color w:val="000000"/>
              </w:rPr>
            </w:pPr>
            <w:r w:rsidRPr="00B53423">
              <w:rPr>
                <w:rFonts w:cs="Calibri"/>
                <w:color w:val="000000"/>
              </w:rPr>
              <w:t>0.04</w:t>
            </w: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Discount to Consumers on sale of energy</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1.53</w:t>
            </w: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color w:val="000000"/>
              </w:rPr>
            </w:pPr>
            <w:r w:rsidRPr="00B53423">
              <w:rPr>
                <w:rFonts w:cs="Calibri"/>
                <w:color w:val="000000"/>
              </w:rPr>
              <w:t>0.00</w:t>
            </w: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color w:val="000000"/>
              </w:rPr>
            </w:pPr>
            <w:r w:rsidRPr="00B53423">
              <w:rPr>
                <w:rFonts w:cs="Calibri"/>
                <w:color w:val="000000"/>
              </w:rPr>
              <w:t>0.00</w:t>
            </w: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color w:val="000000"/>
              </w:rPr>
            </w:pPr>
            <w:r w:rsidRPr="00B53423">
              <w:rPr>
                <w:rFonts w:cs="Calibri"/>
                <w:color w:val="000000"/>
              </w:rPr>
              <w:t>0.00</w:t>
            </w: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Interest on Consumer Security Deposits</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4.47</w:t>
            </w: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color w:val="000000"/>
              </w:rPr>
            </w:pPr>
            <w:r w:rsidRPr="00B53423">
              <w:rPr>
                <w:rFonts w:cs="Calibri"/>
                <w:color w:val="000000"/>
              </w:rPr>
              <w:t>4.46</w:t>
            </w: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color w:val="000000"/>
              </w:rPr>
            </w:pPr>
            <w:r w:rsidRPr="00B53423">
              <w:rPr>
                <w:rFonts w:cs="Calibri"/>
                <w:color w:val="000000"/>
              </w:rPr>
              <w:t>4.46</w:t>
            </w: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color w:val="000000"/>
              </w:rPr>
            </w:pPr>
            <w:r w:rsidRPr="00B53423">
              <w:rPr>
                <w:rFonts w:cs="Calibri"/>
                <w:color w:val="000000"/>
              </w:rPr>
              <w:t>4.46</w:t>
            </w: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Finance Charges</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b/>
                <w:bCs/>
                <w:color w:val="000000"/>
              </w:rPr>
            </w:pPr>
            <w:r w:rsidRPr="00B53423">
              <w:rPr>
                <w:rFonts w:cs="Calibri"/>
                <w:b/>
                <w:bCs/>
                <w:color w:val="000000"/>
              </w:rPr>
              <w:t>7.00</w:t>
            </w: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b/>
                <w:bCs/>
                <w:color w:val="000000"/>
              </w:rPr>
            </w:pPr>
            <w:r w:rsidRPr="00B53423">
              <w:rPr>
                <w:rFonts w:cs="Calibri"/>
                <w:b/>
                <w:bCs/>
                <w:color w:val="000000"/>
              </w:rPr>
              <w:t>27.89</w:t>
            </w: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b/>
                <w:bCs/>
                <w:color w:val="000000"/>
              </w:rPr>
            </w:pPr>
            <w:r w:rsidRPr="00B53423">
              <w:rPr>
                <w:rFonts w:cs="Calibri"/>
                <w:b/>
                <w:bCs/>
                <w:color w:val="000000"/>
              </w:rPr>
              <w:t>27.89</w:t>
            </w: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b/>
                <w:bCs/>
                <w:color w:val="000000"/>
              </w:rPr>
            </w:pPr>
            <w:r w:rsidRPr="00B53423">
              <w:rPr>
                <w:rFonts w:cs="Calibri"/>
                <w:b/>
                <w:bCs/>
                <w:color w:val="000000"/>
              </w:rPr>
              <w:t>4.50</w:t>
            </w: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color w:val="000000"/>
              </w:rPr>
            </w:pP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color w:val="000000"/>
              </w:rPr>
            </w:pP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color w:val="000000"/>
              </w:rPr>
            </w:pP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color w:val="000000"/>
              </w:rPr>
            </w:pP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b/>
                <w:bCs/>
                <w:i/>
                <w:iCs/>
                <w:color w:val="000000"/>
                <w:lang w:val="en-US"/>
              </w:rPr>
            </w:pPr>
            <w:r w:rsidRPr="00B53423">
              <w:rPr>
                <w:rFonts w:cs="Calibri"/>
                <w:b/>
                <w:bCs/>
                <w:i/>
                <w:iCs/>
                <w:color w:val="000000"/>
                <w:lang w:val="en-US"/>
              </w:rPr>
              <w:t>C: Interest on Working Capital</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b/>
                <w:bCs/>
                <w:color w:val="000000"/>
              </w:rPr>
            </w:pPr>
            <w:r w:rsidRPr="00B53423">
              <w:rPr>
                <w:rFonts w:cs="Calibri"/>
                <w:b/>
                <w:bCs/>
                <w:color w:val="000000"/>
              </w:rPr>
              <w:t>10.37</w:t>
            </w: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b/>
                <w:bCs/>
                <w:color w:val="000000"/>
              </w:rPr>
            </w:pPr>
            <w:r w:rsidRPr="00B53423">
              <w:rPr>
                <w:rFonts w:cs="Calibri"/>
                <w:b/>
                <w:bCs/>
                <w:color w:val="000000"/>
              </w:rPr>
              <w:t>0.16</w:t>
            </w: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b/>
                <w:bCs/>
                <w:color w:val="000000"/>
              </w:rPr>
            </w:pPr>
            <w:r w:rsidRPr="00B53423">
              <w:rPr>
                <w:rFonts w:cs="Calibri"/>
                <w:b/>
                <w:bCs/>
                <w:color w:val="000000"/>
              </w:rPr>
              <w:t>8.77</w:t>
            </w: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b/>
                <w:bCs/>
                <w:color w:val="000000"/>
              </w:rPr>
            </w:pPr>
            <w:r w:rsidRPr="00B53423">
              <w:rPr>
                <w:rFonts w:cs="Calibri"/>
                <w:b/>
                <w:bCs/>
                <w:color w:val="000000"/>
              </w:rPr>
              <w:t>8.77</w:t>
            </w: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color w:val="000000"/>
              </w:rPr>
            </w:pP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color w:val="000000"/>
              </w:rPr>
            </w:pP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color w:val="000000"/>
              </w:rPr>
            </w:pP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color w:val="000000"/>
              </w:rPr>
            </w:pPr>
          </w:p>
        </w:tc>
      </w:tr>
      <w:tr w:rsidR="004C74C2" w:rsidRPr="00B53423" w:rsidTr="00E03138">
        <w:trPr>
          <w:trHeight w:val="300"/>
        </w:trPr>
        <w:tc>
          <w:tcPr>
            <w:tcW w:w="3792"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(A+B+C)</w:t>
            </w:r>
          </w:p>
        </w:tc>
        <w:tc>
          <w:tcPr>
            <w:tcW w:w="1183" w:type="dxa"/>
            <w:shd w:val="clear" w:color="auto" w:fill="auto"/>
            <w:noWrap/>
            <w:vAlign w:val="bottom"/>
            <w:hideMark/>
          </w:tcPr>
          <w:p w:rsidR="004C74C2" w:rsidRPr="00B53423" w:rsidRDefault="004C74C2" w:rsidP="0015232B">
            <w:pPr>
              <w:spacing w:before="0" w:line="240" w:lineRule="auto"/>
              <w:ind w:right="145"/>
              <w:jc w:val="right"/>
              <w:rPr>
                <w:rFonts w:cs="Calibri"/>
                <w:b/>
                <w:bCs/>
                <w:color w:val="000000"/>
              </w:rPr>
            </w:pPr>
            <w:r w:rsidRPr="00B53423">
              <w:rPr>
                <w:rFonts w:cs="Calibri"/>
                <w:b/>
                <w:bCs/>
                <w:color w:val="000000"/>
              </w:rPr>
              <w:t>29.28</w:t>
            </w:r>
          </w:p>
        </w:tc>
        <w:tc>
          <w:tcPr>
            <w:tcW w:w="1692" w:type="dxa"/>
            <w:shd w:val="clear" w:color="auto" w:fill="auto"/>
            <w:noWrap/>
            <w:vAlign w:val="bottom"/>
            <w:hideMark/>
          </w:tcPr>
          <w:p w:rsidR="004C74C2" w:rsidRPr="00B53423" w:rsidRDefault="004C74C2" w:rsidP="0015232B">
            <w:pPr>
              <w:spacing w:before="0" w:line="240" w:lineRule="auto"/>
              <w:ind w:right="502"/>
              <w:jc w:val="right"/>
              <w:rPr>
                <w:rFonts w:cs="Calibri"/>
                <w:b/>
                <w:bCs/>
                <w:color w:val="000000"/>
              </w:rPr>
            </w:pPr>
            <w:r w:rsidRPr="00B53423">
              <w:rPr>
                <w:rFonts w:cs="Calibri"/>
                <w:b/>
                <w:bCs/>
                <w:color w:val="000000"/>
              </w:rPr>
              <w:t>39.58</w:t>
            </w:r>
          </w:p>
        </w:tc>
        <w:tc>
          <w:tcPr>
            <w:tcW w:w="1178" w:type="dxa"/>
            <w:shd w:val="clear" w:color="auto" w:fill="auto"/>
            <w:noWrap/>
            <w:vAlign w:val="bottom"/>
            <w:hideMark/>
          </w:tcPr>
          <w:p w:rsidR="004C74C2" w:rsidRPr="00B53423" w:rsidRDefault="004C74C2" w:rsidP="0015232B">
            <w:pPr>
              <w:spacing w:before="0" w:line="240" w:lineRule="auto"/>
              <w:ind w:right="152"/>
              <w:jc w:val="right"/>
              <w:rPr>
                <w:rFonts w:cs="Calibri"/>
                <w:b/>
                <w:bCs/>
                <w:color w:val="000000"/>
              </w:rPr>
            </w:pPr>
            <w:r w:rsidRPr="00B53423">
              <w:rPr>
                <w:rFonts w:cs="Calibri"/>
                <w:b/>
                <w:bCs/>
                <w:color w:val="000000"/>
              </w:rPr>
              <w:t>39.34</w:t>
            </w:r>
          </w:p>
        </w:tc>
        <w:tc>
          <w:tcPr>
            <w:tcW w:w="1335" w:type="dxa"/>
            <w:shd w:val="clear" w:color="auto" w:fill="auto"/>
            <w:noWrap/>
            <w:vAlign w:val="bottom"/>
            <w:hideMark/>
          </w:tcPr>
          <w:p w:rsidR="004C74C2" w:rsidRPr="00B53423" w:rsidRDefault="004C74C2" w:rsidP="0015232B">
            <w:pPr>
              <w:spacing w:before="0" w:line="240" w:lineRule="auto"/>
              <w:ind w:right="93"/>
              <w:jc w:val="right"/>
              <w:rPr>
                <w:rFonts w:cs="Calibri"/>
                <w:b/>
                <w:bCs/>
                <w:color w:val="000000"/>
              </w:rPr>
            </w:pPr>
            <w:r w:rsidRPr="00B53423">
              <w:rPr>
                <w:rFonts w:cs="Calibri"/>
                <w:b/>
                <w:bCs/>
                <w:color w:val="000000"/>
              </w:rPr>
              <w:t>15.86</w:t>
            </w:r>
          </w:p>
        </w:tc>
      </w:tr>
    </w:tbl>
    <w:p w:rsidR="004C74C2" w:rsidRPr="00B53423" w:rsidRDefault="004C74C2" w:rsidP="0015232B">
      <w:pPr>
        <w:pStyle w:val="Heading3"/>
        <w:keepNext w:val="0"/>
        <w:numPr>
          <w:ilvl w:val="0"/>
          <w:numId w:val="0"/>
        </w:numPr>
        <w:ind w:left="450"/>
        <w:rPr>
          <w:caps/>
        </w:rPr>
      </w:pPr>
    </w:p>
    <w:p w:rsidR="004C74C2" w:rsidRPr="00B53423" w:rsidRDefault="004D0378" w:rsidP="0015232B">
      <w:pPr>
        <w:pStyle w:val="Heading2"/>
        <w:keepNext w:val="0"/>
        <w:ind w:left="720" w:hanging="1080"/>
        <w:rPr>
          <w:caps/>
        </w:rPr>
      </w:pPr>
      <w:bookmarkStart w:id="509" w:name="_Toc399626195"/>
      <w:r w:rsidRPr="00B53423">
        <w:rPr>
          <w:caps/>
        </w:rPr>
        <w:t>Depreciation</w:t>
      </w:r>
      <w:bookmarkEnd w:id="509"/>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19</w:t>
      </w:r>
      <w:r w:rsidRPr="00B53423">
        <w:rPr>
          <w:vertAlign w:val="superscript"/>
        </w:rPr>
        <w:t>th</w:t>
      </w:r>
      <w:r w:rsidRPr="00B53423">
        <w:t xml:space="preserve"> October, 2012 in Petition No. 751 / 2011 and 798 / 2012 for FY 2010-11, the Commission had approved a depreciation expense of Rs. 17.20 Crore on a gross fixed asset base of Rs. 503.68 Crore.</w:t>
      </w:r>
    </w:p>
    <w:p w:rsidR="004C74C2" w:rsidRPr="00B53423" w:rsidRDefault="004C74C2" w:rsidP="0015232B">
      <w:pPr>
        <w:pStyle w:val="Heading3"/>
        <w:keepNext w:val="0"/>
        <w:numPr>
          <w:ilvl w:val="0"/>
          <w:numId w:val="0"/>
        </w:numPr>
        <w:ind w:left="450"/>
        <w:rPr>
          <w:sz w:val="22"/>
          <w:szCs w:val="22"/>
        </w:rPr>
      </w:pPr>
    </w:p>
    <w:p w:rsidR="004C74C2" w:rsidRPr="00B53423" w:rsidRDefault="004C74C2" w:rsidP="0015232B">
      <w:pPr>
        <w:pStyle w:val="Heading3"/>
        <w:keepNext w:val="0"/>
        <w:ind w:hanging="1080"/>
        <w:rPr>
          <w:sz w:val="22"/>
          <w:szCs w:val="22"/>
        </w:rPr>
      </w:pPr>
      <w:r w:rsidRPr="00B53423">
        <w:t>The Petitioner submitted that the actual depreciation expense as per Audited Accounts is Rs. 17.28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2010-11</w:t>
      </w:r>
      <w:r w:rsidRPr="00B53423">
        <w:rPr>
          <w:sz w:val="22"/>
          <w:szCs w:val="22"/>
        </w:rPr>
        <w:t>.</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 further submitted that in the earlier Tariff Orders, the Commission has approved depreciation expense on the basis of the projected gross fixed asset balances after prudence check of the capital investment proposed by Petitioner. The Petitioner further submitted that the depreciation has been allowed at the rates specified in the Ministry of Power notifications in the initial years and thereafter in line with the UPERC (Terms and Conditions of Distribution Tariff) Regulations 2006 which also prescribe depreciation rates as per the Ministry of Power notification </w:t>
      </w:r>
      <w:proofErr w:type="gramStart"/>
      <w:r w:rsidRPr="00B53423">
        <w:t>No</w:t>
      </w:r>
      <w:proofErr w:type="gramEnd"/>
      <w:r w:rsidRPr="00B53423">
        <w:t>. S.O. 265(E) dated 27</w:t>
      </w:r>
      <w:r w:rsidRPr="00B53423">
        <w:rPr>
          <w:vertAlign w:val="superscript"/>
        </w:rPr>
        <w:t>th</w:t>
      </w:r>
      <w:r w:rsidRPr="00B53423">
        <w:t xml:space="preserve"> March 1994. The Petitioner also submitted that in some years where asset class wise details of capitalisation were not available, the Commission had allowed weighted average depreciation rates on composite basis.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added that for the purpose of True-up it has computed depreciation expense on the actual gross fixed asset base using the same depreciation rates which were used by the Commission in the Tariff Order dated 19</w:t>
      </w:r>
      <w:r w:rsidRPr="00B53423">
        <w:rPr>
          <w:vertAlign w:val="superscript"/>
        </w:rPr>
        <w:t>th</w:t>
      </w:r>
      <w:r w:rsidRPr="00B53423">
        <w:t xml:space="preserve"> October, 2012 in Petition No. 751 / 2011 and 798 / 2012 for FY 2010-11 However, it was observed that the Petitioner had considered depreciation rate of 7.91% to compute the depreciation as against the depreciation rate of 4.73% approved by the Commission in the Tariff Order dated 19</w:t>
      </w:r>
      <w:r w:rsidRPr="00B53423">
        <w:rPr>
          <w:vertAlign w:val="superscript"/>
        </w:rPr>
        <w:t>th</w:t>
      </w:r>
      <w:r w:rsidRPr="00B53423">
        <w:t xml:space="preserve"> October, 2012 in Petition No. 751 / 2011 and 798 / 2012 for FY 2010-11. In reply to the Commission’s query regarding variation in Depreciation rate the Petitioner submitted the revised depreciation computation after considering the depreciation rate approved by the Commission in the aforesaid Tariff Order as shown in the Table below:</w:t>
      </w:r>
    </w:p>
    <w:p w:rsidR="004C74C2" w:rsidRPr="00B53423" w:rsidRDefault="004C74C2" w:rsidP="0015232B">
      <w:pPr>
        <w:pStyle w:val="Heading3"/>
        <w:keepNext w:val="0"/>
        <w:numPr>
          <w:ilvl w:val="0"/>
          <w:numId w:val="0"/>
        </w:numPr>
        <w:ind w:left="450"/>
        <w:rPr>
          <w:b/>
        </w:rPr>
      </w:pPr>
    </w:p>
    <w:p w:rsidR="004C74C2" w:rsidRPr="00B53423" w:rsidRDefault="000934A1" w:rsidP="0015232B">
      <w:pPr>
        <w:pStyle w:val="Heading3"/>
        <w:keepNext w:val="0"/>
        <w:numPr>
          <w:ilvl w:val="0"/>
          <w:numId w:val="0"/>
        </w:numPr>
        <w:ind w:left="450"/>
        <w:jc w:val="center"/>
        <w:rPr>
          <w:b/>
        </w:rPr>
      </w:pPr>
      <w:bookmarkStart w:id="510" w:name="_Toc399626372"/>
      <w:r w:rsidRPr="00B53423">
        <w:rPr>
          <w:b/>
        </w:rPr>
        <w:t xml:space="preserve">TABLE </w:t>
      </w:r>
      <w:r w:rsidR="005D68E7" w:rsidRPr="00B53423">
        <w:rPr>
          <w:b/>
        </w:rPr>
        <w:fldChar w:fldCharType="begin"/>
      </w:r>
      <w:r w:rsidR="004C74C2" w:rsidRPr="00B53423">
        <w:rPr>
          <w:b/>
        </w:rPr>
        <w:instrText xml:space="preserve"> STYLEREF 1 \s </w:instrText>
      </w:r>
      <w:r w:rsidR="005D68E7" w:rsidRPr="00B53423">
        <w:rPr>
          <w:b/>
        </w:rPr>
        <w:fldChar w:fldCharType="separate"/>
      </w:r>
      <w:r w:rsidR="00847C1B">
        <w:rPr>
          <w:b/>
          <w:noProof/>
        </w:rPr>
        <w:t>6</w:t>
      </w:r>
      <w:r w:rsidR="005D68E7" w:rsidRPr="00B53423">
        <w:rPr>
          <w:b/>
        </w:rPr>
        <w:fldChar w:fldCharType="end"/>
      </w:r>
      <w:r w:rsidRPr="00B53423">
        <w:rPr>
          <w:b/>
        </w:rPr>
        <w:noBreakHyphen/>
      </w:r>
      <w:r w:rsidR="005D68E7" w:rsidRPr="00B53423">
        <w:rPr>
          <w:b/>
        </w:rPr>
        <w:fldChar w:fldCharType="begin"/>
      </w:r>
      <w:r w:rsidR="004C74C2" w:rsidRPr="00B53423">
        <w:rPr>
          <w:b/>
        </w:rPr>
        <w:instrText xml:space="preserve"> SEQ Table \* ARABIC \s 1 </w:instrText>
      </w:r>
      <w:r w:rsidR="005D68E7" w:rsidRPr="00B53423">
        <w:rPr>
          <w:b/>
        </w:rPr>
        <w:fldChar w:fldCharType="separate"/>
      </w:r>
      <w:r w:rsidR="00847C1B">
        <w:rPr>
          <w:b/>
          <w:noProof/>
        </w:rPr>
        <w:t>14</w:t>
      </w:r>
      <w:r w:rsidR="005D68E7" w:rsidRPr="00B53423">
        <w:rPr>
          <w:b/>
        </w:rPr>
        <w:fldChar w:fldCharType="end"/>
      </w:r>
      <w:r w:rsidRPr="00B53423">
        <w:rPr>
          <w:b/>
        </w:rPr>
        <w:t xml:space="preserve">: ALLOWABLE DEPRECIATION SUBMITTED BY THE PETITIONER </w:t>
      </w:r>
      <w:r w:rsidR="004C74C2" w:rsidRPr="00B53423">
        <w:rPr>
          <w:b/>
        </w:rPr>
        <w:t>(Rs. Crore)</w:t>
      </w:r>
      <w:bookmarkEnd w:id="510"/>
    </w:p>
    <w:tbl>
      <w:tblPr>
        <w:tblW w:w="5314"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088"/>
        <w:gridCol w:w="1169"/>
        <w:gridCol w:w="1171"/>
        <w:gridCol w:w="1260"/>
        <w:gridCol w:w="967"/>
        <w:gridCol w:w="1394"/>
        <w:gridCol w:w="1394"/>
      </w:tblGrid>
      <w:tr w:rsidR="004C74C2" w:rsidRPr="00B53423" w:rsidTr="009268E4">
        <w:trPr>
          <w:trHeight w:val="730"/>
          <w:tblHeader/>
        </w:trPr>
        <w:tc>
          <w:tcPr>
            <w:tcW w:w="1106" w:type="pct"/>
            <w:shd w:val="clear" w:color="auto" w:fill="DBE5F1" w:themeFill="accent1" w:themeFillTint="33"/>
            <w:vAlign w:val="center"/>
            <w:hideMark/>
          </w:tcPr>
          <w:p w:rsidR="004C74C2" w:rsidRPr="00B53423" w:rsidRDefault="003A6B3B"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Particulars</w:t>
            </w:r>
          </w:p>
        </w:tc>
        <w:tc>
          <w:tcPr>
            <w:tcW w:w="619" w:type="pct"/>
            <w:shd w:val="clear" w:color="auto" w:fill="DBE5F1" w:themeFill="accent1" w:themeFillTint="33"/>
            <w:vAlign w:val="center"/>
            <w:hideMark/>
          </w:tcPr>
          <w:p w:rsidR="004C74C2" w:rsidRPr="00B53423" w:rsidRDefault="003A6B3B"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Opening GFA</w:t>
            </w:r>
          </w:p>
        </w:tc>
        <w:tc>
          <w:tcPr>
            <w:tcW w:w="620" w:type="pct"/>
            <w:shd w:val="clear" w:color="auto" w:fill="DBE5F1" w:themeFill="accent1" w:themeFillTint="33"/>
            <w:vAlign w:val="center"/>
            <w:hideMark/>
          </w:tcPr>
          <w:p w:rsidR="004C74C2" w:rsidRPr="00B53423" w:rsidRDefault="003A6B3B"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Additions to GFA</w:t>
            </w:r>
          </w:p>
        </w:tc>
        <w:tc>
          <w:tcPr>
            <w:tcW w:w="667" w:type="pct"/>
            <w:shd w:val="clear" w:color="auto" w:fill="DBE5F1" w:themeFill="accent1" w:themeFillTint="33"/>
            <w:vAlign w:val="center"/>
            <w:hideMark/>
          </w:tcPr>
          <w:p w:rsidR="004C74C2" w:rsidRPr="00B53423" w:rsidRDefault="003A6B3B"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Deductions to GFA</w:t>
            </w:r>
          </w:p>
        </w:tc>
        <w:tc>
          <w:tcPr>
            <w:tcW w:w="512" w:type="pct"/>
            <w:shd w:val="clear" w:color="auto" w:fill="DBE5F1" w:themeFill="accent1" w:themeFillTint="33"/>
            <w:vAlign w:val="center"/>
            <w:hideMark/>
          </w:tcPr>
          <w:p w:rsidR="004C74C2" w:rsidRPr="00B53423" w:rsidRDefault="003A6B3B"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 xml:space="preserve">Closing </w:t>
            </w:r>
            <w:r w:rsidRPr="00B53423">
              <w:rPr>
                <w:rFonts w:asciiTheme="minorHAnsi" w:hAnsiTheme="minorHAnsi" w:cstheme="minorHAnsi"/>
                <w:b/>
                <w:bCs/>
                <w:color w:val="000000"/>
                <w:sz w:val="20"/>
                <w:szCs w:val="20"/>
                <w:lang w:val="en-IN" w:eastAsia="en-IN"/>
              </w:rPr>
              <w:br/>
              <w:t>GFA</w:t>
            </w:r>
          </w:p>
        </w:tc>
        <w:tc>
          <w:tcPr>
            <w:tcW w:w="738" w:type="pct"/>
            <w:shd w:val="clear" w:color="auto" w:fill="DBE5F1" w:themeFill="accent1" w:themeFillTint="33"/>
            <w:vAlign w:val="center"/>
            <w:hideMark/>
          </w:tcPr>
          <w:p w:rsidR="004C74C2" w:rsidRPr="00B53423" w:rsidRDefault="003A6B3B"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Depreciation Rates considered</w:t>
            </w:r>
          </w:p>
        </w:tc>
        <w:tc>
          <w:tcPr>
            <w:tcW w:w="738" w:type="pct"/>
            <w:shd w:val="clear" w:color="auto" w:fill="DBE5F1" w:themeFill="accent1" w:themeFillTint="33"/>
            <w:vAlign w:val="center"/>
            <w:hideMark/>
          </w:tcPr>
          <w:p w:rsidR="004C74C2" w:rsidRPr="00B53423" w:rsidRDefault="003A6B3B" w:rsidP="0015232B">
            <w:pPr>
              <w:spacing w:before="0" w:line="240" w:lineRule="auto"/>
              <w:jc w:val="center"/>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Allowable Depreciation</w:t>
            </w:r>
          </w:p>
        </w:tc>
      </w:tr>
      <w:tr w:rsidR="004C74C2" w:rsidRPr="00B53423" w:rsidTr="009268E4">
        <w:trPr>
          <w:trHeight w:val="300"/>
        </w:trPr>
        <w:tc>
          <w:tcPr>
            <w:tcW w:w="1106" w:type="pct"/>
            <w:shd w:val="clear" w:color="000000" w:fill="FFFFFF"/>
            <w:vAlign w:val="center"/>
            <w:hideMark/>
          </w:tcPr>
          <w:p w:rsidR="004C74C2" w:rsidRPr="00B53423" w:rsidRDefault="003A6B3B" w:rsidP="0015232B">
            <w:pPr>
              <w:spacing w:before="0" w:line="240" w:lineRule="auto"/>
              <w:jc w:val="left"/>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Buildings</w:t>
            </w:r>
          </w:p>
        </w:tc>
        <w:tc>
          <w:tcPr>
            <w:tcW w:w="619" w:type="pct"/>
            <w:shd w:val="clear" w:color="000000" w:fill="FFFFFF"/>
            <w:noWrap/>
            <w:vAlign w:val="center"/>
            <w:hideMark/>
          </w:tcPr>
          <w:p w:rsidR="004C74C2" w:rsidRPr="00B53423" w:rsidRDefault="004C74C2" w:rsidP="0015232B">
            <w:pPr>
              <w:spacing w:before="0" w:line="240" w:lineRule="auto"/>
              <w:jc w:val="right"/>
              <w:rPr>
                <w:rFonts w:asciiTheme="minorHAnsi" w:hAnsiTheme="minorHAnsi" w:cstheme="minorHAnsi"/>
                <w:color w:val="000000"/>
                <w:sz w:val="20"/>
                <w:szCs w:val="20"/>
                <w:lang w:val="en-IN" w:eastAsia="en-IN"/>
              </w:rPr>
            </w:pPr>
          </w:p>
        </w:tc>
        <w:tc>
          <w:tcPr>
            <w:tcW w:w="620" w:type="pct"/>
            <w:shd w:val="clear" w:color="000000" w:fill="FFFFFF"/>
            <w:noWrap/>
            <w:vAlign w:val="center"/>
            <w:hideMark/>
          </w:tcPr>
          <w:p w:rsidR="004C74C2" w:rsidRPr="00B53423" w:rsidRDefault="004C74C2" w:rsidP="0015232B">
            <w:pPr>
              <w:spacing w:before="0" w:line="240" w:lineRule="auto"/>
              <w:jc w:val="right"/>
              <w:rPr>
                <w:rFonts w:asciiTheme="minorHAnsi" w:hAnsiTheme="minorHAnsi" w:cstheme="minorHAnsi"/>
                <w:color w:val="000000"/>
                <w:sz w:val="20"/>
                <w:szCs w:val="20"/>
                <w:lang w:val="en-IN" w:eastAsia="en-IN"/>
              </w:rPr>
            </w:pPr>
          </w:p>
        </w:tc>
        <w:tc>
          <w:tcPr>
            <w:tcW w:w="667" w:type="pct"/>
            <w:shd w:val="clear" w:color="000000" w:fill="FFFFFF"/>
            <w:noWrap/>
            <w:vAlign w:val="center"/>
            <w:hideMark/>
          </w:tcPr>
          <w:p w:rsidR="004C74C2" w:rsidRPr="00B53423" w:rsidRDefault="004C74C2" w:rsidP="0015232B">
            <w:pPr>
              <w:spacing w:before="0" w:line="240" w:lineRule="auto"/>
              <w:jc w:val="right"/>
              <w:rPr>
                <w:rFonts w:asciiTheme="minorHAnsi" w:hAnsiTheme="minorHAnsi" w:cstheme="minorHAnsi"/>
                <w:color w:val="000000"/>
                <w:sz w:val="20"/>
                <w:szCs w:val="20"/>
                <w:lang w:val="en-IN" w:eastAsia="en-IN"/>
              </w:rPr>
            </w:pPr>
          </w:p>
        </w:tc>
        <w:tc>
          <w:tcPr>
            <w:tcW w:w="512" w:type="pct"/>
            <w:shd w:val="clear" w:color="000000" w:fill="FFFFFF"/>
            <w:noWrap/>
            <w:vAlign w:val="center"/>
            <w:hideMark/>
          </w:tcPr>
          <w:p w:rsidR="004C74C2" w:rsidRPr="00B53423" w:rsidRDefault="004C74C2" w:rsidP="0015232B">
            <w:pPr>
              <w:spacing w:before="0" w:line="240" w:lineRule="auto"/>
              <w:jc w:val="right"/>
              <w:rPr>
                <w:rFonts w:asciiTheme="minorHAnsi" w:hAnsiTheme="minorHAnsi" w:cstheme="minorHAnsi"/>
                <w:color w:val="000000"/>
                <w:sz w:val="20"/>
                <w:szCs w:val="20"/>
                <w:lang w:val="en-IN" w:eastAsia="en-IN"/>
              </w:rPr>
            </w:pPr>
          </w:p>
        </w:tc>
        <w:tc>
          <w:tcPr>
            <w:tcW w:w="738" w:type="pct"/>
            <w:shd w:val="clear" w:color="000000" w:fill="FFFFFF"/>
            <w:noWrap/>
            <w:vAlign w:val="center"/>
            <w:hideMark/>
          </w:tcPr>
          <w:p w:rsidR="004C74C2" w:rsidRPr="00B53423" w:rsidRDefault="004C74C2" w:rsidP="0015232B">
            <w:pPr>
              <w:spacing w:before="0" w:line="240" w:lineRule="auto"/>
              <w:jc w:val="right"/>
              <w:rPr>
                <w:rFonts w:asciiTheme="minorHAnsi" w:hAnsiTheme="minorHAnsi" w:cstheme="minorHAnsi"/>
                <w:color w:val="000000"/>
                <w:sz w:val="20"/>
                <w:szCs w:val="20"/>
                <w:lang w:val="en-IN" w:eastAsia="en-IN"/>
              </w:rPr>
            </w:pPr>
          </w:p>
        </w:tc>
        <w:tc>
          <w:tcPr>
            <w:tcW w:w="738" w:type="pct"/>
            <w:shd w:val="clear" w:color="000000" w:fill="FFFFFF"/>
            <w:noWrap/>
            <w:vAlign w:val="center"/>
            <w:hideMark/>
          </w:tcPr>
          <w:p w:rsidR="004C74C2" w:rsidRPr="00B53423" w:rsidRDefault="004C74C2" w:rsidP="0015232B">
            <w:pPr>
              <w:spacing w:before="0" w:line="240" w:lineRule="auto"/>
              <w:jc w:val="right"/>
              <w:rPr>
                <w:rFonts w:asciiTheme="minorHAnsi" w:hAnsiTheme="minorHAnsi" w:cstheme="minorHAnsi"/>
                <w:color w:val="000000"/>
                <w:sz w:val="20"/>
                <w:szCs w:val="20"/>
                <w:lang w:val="en-IN" w:eastAsia="en-IN"/>
              </w:rPr>
            </w:pPr>
          </w:p>
        </w:tc>
      </w:tr>
      <w:tr w:rsidR="004C74C2" w:rsidRPr="00B53423" w:rsidTr="009268E4">
        <w:trPr>
          <w:trHeight w:val="257"/>
        </w:trPr>
        <w:tc>
          <w:tcPr>
            <w:tcW w:w="1106" w:type="pct"/>
            <w:shd w:val="clear" w:color="000000" w:fill="FFFFFF"/>
            <w:vAlign w:val="center"/>
            <w:hideMark/>
          </w:tcPr>
          <w:p w:rsidR="004C74C2" w:rsidRPr="00B53423" w:rsidRDefault="003A6B3B"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a. Residential Colonies</w:t>
            </w:r>
          </w:p>
        </w:tc>
        <w:tc>
          <w:tcPr>
            <w:tcW w:w="619"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10.18</w:t>
            </w:r>
          </w:p>
        </w:tc>
        <w:tc>
          <w:tcPr>
            <w:tcW w:w="620"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0.01</w:t>
            </w:r>
          </w:p>
        </w:tc>
        <w:tc>
          <w:tcPr>
            <w:tcW w:w="667"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w:t>
            </w:r>
          </w:p>
        </w:tc>
        <w:tc>
          <w:tcPr>
            <w:tcW w:w="512"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10.19</w:t>
            </w:r>
          </w:p>
        </w:tc>
        <w:tc>
          <w:tcPr>
            <w:tcW w:w="738"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4.73%</w:t>
            </w:r>
          </w:p>
        </w:tc>
        <w:tc>
          <w:tcPr>
            <w:tcW w:w="738"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0.48</w:t>
            </w:r>
          </w:p>
        </w:tc>
      </w:tr>
      <w:tr w:rsidR="004C74C2" w:rsidRPr="00B53423" w:rsidTr="009268E4">
        <w:trPr>
          <w:trHeight w:val="300"/>
        </w:trPr>
        <w:tc>
          <w:tcPr>
            <w:tcW w:w="1106" w:type="pct"/>
            <w:shd w:val="clear" w:color="000000" w:fill="FFFFFF"/>
            <w:vAlign w:val="center"/>
            <w:hideMark/>
          </w:tcPr>
          <w:p w:rsidR="004C74C2" w:rsidRPr="00B53423" w:rsidRDefault="003A6B3B"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b. Office Building</w:t>
            </w:r>
          </w:p>
        </w:tc>
        <w:tc>
          <w:tcPr>
            <w:tcW w:w="619"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1.20</w:t>
            </w:r>
          </w:p>
        </w:tc>
        <w:tc>
          <w:tcPr>
            <w:tcW w:w="620"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0.29</w:t>
            </w:r>
          </w:p>
        </w:tc>
        <w:tc>
          <w:tcPr>
            <w:tcW w:w="667"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w:t>
            </w:r>
          </w:p>
        </w:tc>
        <w:tc>
          <w:tcPr>
            <w:tcW w:w="512"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1.50</w:t>
            </w:r>
          </w:p>
        </w:tc>
        <w:tc>
          <w:tcPr>
            <w:tcW w:w="738" w:type="pct"/>
            <w:shd w:val="clear" w:color="000000" w:fill="FFFFFF"/>
            <w:noWrap/>
            <w:vAlign w:val="center"/>
            <w:hideMark/>
          </w:tcPr>
          <w:p w:rsidR="004C74C2" w:rsidRPr="00B53423" w:rsidRDefault="003A6B3B" w:rsidP="0015232B">
            <w:pPr>
              <w:jc w:val="right"/>
              <w:rPr>
                <w:rFonts w:asciiTheme="minorHAnsi" w:hAnsiTheme="minorHAnsi" w:cstheme="minorHAnsi"/>
                <w:sz w:val="20"/>
                <w:szCs w:val="20"/>
              </w:rPr>
            </w:pPr>
            <w:r w:rsidRPr="00B53423">
              <w:rPr>
                <w:rFonts w:asciiTheme="minorHAnsi" w:hAnsiTheme="minorHAnsi" w:cstheme="minorHAnsi"/>
                <w:sz w:val="20"/>
                <w:szCs w:val="20"/>
              </w:rPr>
              <w:t>4.73%</w:t>
            </w:r>
          </w:p>
        </w:tc>
        <w:tc>
          <w:tcPr>
            <w:tcW w:w="738"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0.06</w:t>
            </w:r>
          </w:p>
        </w:tc>
      </w:tr>
      <w:tr w:rsidR="004C74C2" w:rsidRPr="00B53423" w:rsidTr="009268E4">
        <w:trPr>
          <w:trHeight w:val="237"/>
        </w:trPr>
        <w:tc>
          <w:tcPr>
            <w:tcW w:w="1106" w:type="pct"/>
            <w:shd w:val="clear" w:color="000000" w:fill="FFFFFF"/>
            <w:vAlign w:val="center"/>
            <w:hideMark/>
          </w:tcPr>
          <w:p w:rsidR="004C74C2" w:rsidRPr="00B53423" w:rsidRDefault="003A6B3B"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c. Building containing Sub-stations</w:t>
            </w:r>
          </w:p>
        </w:tc>
        <w:tc>
          <w:tcPr>
            <w:tcW w:w="619"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15.66</w:t>
            </w:r>
          </w:p>
        </w:tc>
        <w:tc>
          <w:tcPr>
            <w:tcW w:w="620"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0.63</w:t>
            </w:r>
          </w:p>
        </w:tc>
        <w:tc>
          <w:tcPr>
            <w:tcW w:w="667"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w:t>
            </w:r>
          </w:p>
        </w:tc>
        <w:tc>
          <w:tcPr>
            <w:tcW w:w="512"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16.28</w:t>
            </w:r>
          </w:p>
        </w:tc>
        <w:tc>
          <w:tcPr>
            <w:tcW w:w="738" w:type="pct"/>
            <w:shd w:val="clear" w:color="000000" w:fill="FFFFFF"/>
            <w:noWrap/>
            <w:vAlign w:val="center"/>
            <w:hideMark/>
          </w:tcPr>
          <w:p w:rsidR="004C74C2" w:rsidRPr="00B53423" w:rsidRDefault="003A6B3B" w:rsidP="0015232B">
            <w:pPr>
              <w:jc w:val="right"/>
              <w:rPr>
                <w:rFonts w:asciiTheme="minorHAnsi" w:hAnsiTheme="minorHAnsi" w:cstheme="minorHAnsi"/>
                <w:sz w:val="20"/>
                <w:szCs w:val="20"/>
              </w:rPr>
            </w:pPr>
            <w:r w:rsidRPr="00B53423">
              <w:rPr>
                <w:rFonts w:asciiTheme="minorHAnsi" w:hAnsiTheme="minorHAnsi" w:cstheme="minorHAnsi"/>
                <w:sz w:val="20"/>
                <w:szCs w:val="20"/>
              </w:rPr>
              <w:t>4.73%</w:t>
            </w:r>
          </w:p>
        </w:tc>
        <w:tc>
          <w:tcPr>
            <w:tcW w:w="738"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0.76</w:t>
            </w:r>
          </w:p>
        </w:tc>
      </w:tr>
      <w:tr w:rsidR="004C74C2" w:rsidRPr="00B53423" w:rsidTr="009268E4">
        <w:trPr>
          <w:trHeight w:val="300"/>
        </w:trPr>
        <w:tc>
          <w:tcPr>
            <w:tcW w:w="1106" w:type="pct"/>
            <w:shd w:val="clear" w:color="000000" w:fill="FFFFFF"/>
            <w:vAlign w:val="center"/>
            <w:hideMark/>
          </w:tcPr>
          <w:p w:rsidR="004C74C2" w:rsidRPr="00B53423" w:rsidRDefault="003A6B3B" w:rsidP="0015232B">
            <w:pPr>
              <w:spacing w:before="0" w:line="240" w:lineRule="auto"/>
              <w:jc w:val="left"/>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Plants &amp; Machinery</w:t>
            </w:r>
          </w:p>
        </w:tc>
        <w:tc>
          <w:tcPr>
            <w:tcW w:w="619"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620"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667"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512"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c>
          <w:tcPr>
            <w:tcW w:w="738" w:type="pct"/>
            <w:shd w:val="clear" w:color="000000" w:fill="FFFFFF"/>
            <w:noWrap/>
            <w:hideMark/>
          </w:tcPr>
          <w:p w:rsidR="004C74C2" w:rsidRPr="00B53423" w:rsidRDefault="004C74C2" w:rsidP="0015232B">
            <w:pPr>
              <w:jc w:val="right"/>
              <w:rPr>
                <w:rFonts w:asciiTheme="minorHAnsi" w:hAnsiTheme="minorHAnsi" w:cstheme="minorHAnsi"/>
                <w:sz w:val="20"/>
                <w:szCs w:val="20"/>
              </w:rPr>
            </w:pPr>
          </w:p>
        </w:tc>
        <w:tc>
          <w:tcPr>
            <w:tcW w:w="738" w:type="pct"/>
            <w:shd w:val="clear" w:color="000000" w:fill="FFFFFF"/>
            <w:noWrap/>
            <w:vAlign w:val="center"/>
            <w:hideMark/>
          </w:tcPr>
          <w:p w:rsidR="004C74C2" w:rsidRPr="00B53423" w:rsidRDefault="004C74C2" w:rsidP="0015232B">
            <w:pPr>
              <w:spacing w:before="0" w:line="240" w:lineRule="auto"/>
              <w:contextualSpacing/>
              <w:jc w:val="right"/>
              <w:rPr>
                <w:rFonts w:asciiTheme="minorHAnsi" w:hAnsiTheme="minorHAnsi" w:cstheme="minorHAnsi"/>
                <w:color w:val="000000"/>
                <w:sz w:val="20"/>
                <w:szCs w:val="20"/>
                <w:lang w:val="en-IN" w:eastAsia="en-IN"/>
              </w:rPr>
            </w:pPr>
          </w:p>
        </w:tc>
      </w:tr>
      <w:tr w:rsidR="004C74C2" w:rsidRPr="00B53423" w:rsidTr="009268E4">
        <w:trPr>
          <w:trHeight w:val="300"/>
        </w:trPr>
        <w:tc>
          <w:tcPr>
            <w:tcW w:w="1106" w:type="pct"/>
            <w:shd w:val="clear" w:color="000000" w:fill="FFFFFF"/>
            <w:vAlign w:val="center"/>
            <w:hideMark/>
          </w:tcPr>
          <w:p w:rsidR="004C74C2" w:rsidRPr="00B53423" w:rsidRDefault="003A6B3B"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a. Plant &amp; Machinery</w:t>
            </w:r>
          </w:p>
        </w:tc>
        <w:tc>
          <w:tcPr>
            <w:tcW w:w="619"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134.80</w:t>
            </w:r>
          </w:p>
        </w:tc>
        <w:tc>
          <w:tcPr>
            <w:tcW w:w="620"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9.64</w:t>
            </w:r>
          </w:p>
        </w:tc>
        <w:tc>
          <w:tcPr>
            <w:tcW w:w="667"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w:t>
            </w:r>
          </w:p>
        </w:tc>
        <w:tc>
          <w:tcPr>
            <w:tcW w:w="512"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144.44</w:t>
            </w:r>
          </w:p>
        </w:tc>
        <w:tc>
          <w:tcPr>
            <w:tcW w:w="738" w:type="pct"/>
            <w:shd w:val="clear" w:color="000000" w:fill="FFFFFF"/>
            <w:noWrap/>
            <w:vAlign w:val="center"/>
            <w:hideMark/>
          </w:tcPr>
          <w:p w:rsidR="004C74C2" w:rsidRPr="00B53423" w:rsidRDefault="003A6B3B" w:rsidP="0015232B">
            <w:pPr>
              <w:jc w:val="right"/>
              <w:rPr>
                <w:rFonts w:asciiTheme="minorHAnsi" w:hAnsiTheme="minorHAnsi" w:cstheme="minorHAnsi"/>
                <w:sz w:val="20"/>
                <w:szCs w:val="20"/>
              </w:rPr>
            </w:pPr>
            <w:r w:rsidRPr="00B53423">
              <w:rPr>
                <w:rFonts w:asciiTheme="minorHAnsi" w:hAnsiTheme="minorHAnsi" w:cstheme="minorHAnsi"/>
                <w:sz w:val="20"/>
                <w:szCs w:val="20"/>
              </w:rPr>
              <w:t>4.73%</w:t>
            </w:r>
          </w:p>
        </w:tc>
        <w:tc>
          <w:tcPr>
            <w:tcW w:w="738"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6.60</w:t>
            </w:r>
          </w:p>
        </w:tc>
      </w:tr>
      <w:tr w:rsidR="004C74C2" w:rsidRPr="00B53423" w:rsidTr="009268E4">
        <w:trPr>
          <w:trHeight w:val="600"/>
        </w:trPr>
        <w:tc>
          <w:tcPr>
            <w:tcW w:w="1106" w:type="pct"/>
            <w:shd w:val="clear" w:color="000000" w:fill="FFFFFF"/>
            <w:vAlign w:val="center"/>
            <w:hideMark/>
          </w:tcPr>
          <w:p w:rsidR="004C74C2" w:rsidRPr="00B53423" w:rsidRDefault="003A6B3B"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b. Lines, Cables, Networks etc.</w:t>
            </w:r>
          </w:p>
        </w:tc>
        <w:tc>
          <w:tcPr>
            <w:tcW w:w="619"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329.30</w:t>
            </w:r>
          </w:p>
        </w:tc>
        <w:tc>
          <w:tcPr>
            <w:tcW w:w="620"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32.03</w:t>
            </w:r>
          </w:p>
        </w:tc>
        <w:tc>
          <w:tcPr>
            <w:tcW w:w="667"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w:t>
            </w:r>
          </w:p>
        </w:tc>
        <w:tc>
          <w:tcPr>
            <w:tcW w:w="512"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361.34</w:t>
            </w:r>
          </w:p>
        </w:tc>
        <w:tc>
          <w:tcPr>
            <w:tcW w:w="738" w:type="pct"/>
            <w:shd w:val="clear" w:color="000000" w:fill="FFFFFF"/>
            <w:noWrap/>
            <w:vAlign w:val="center"/>
            <w:hideMark/>
          </w:tcPr>
          <w:p w:rsidR="004C74C2" w:rsidRPr="00B53423" w:rsidRDefault="003A6B3B" w:rsidP="0015232B">
            <w:pPr>
              <w:jc w:val="right"/>
              <w:rPr>
                <w:rFonts w:asciiTheme="minorHAnsi" w:hAnsiTheme="minorHAnsi" w:cstheme="minorHAnsi"/>
                <w:sz w:val="20"/>
                <w:szCs w:val="20"/>
              </w:rPr>
            </w:pPr>
            <w:r w:rsidRPr="00B53423">
              <w:rPr>
                <w:rFonts w:asciiTheme="minorHAnsi" w:hAnsiTheme="minorHAnsi" w:cstheme="minorHAnsi"/>
                <w:sz w:val="20"/>
                <w:szCs w:val="20"/>
              </w:rPr>
              <w:t>4.73%</w:t>
            </w:r>
          </w:p>
        </w:tc>
        <w:tc>
          <w:tcPr>
            <w:tcW w:w="738"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16.33</w:t>
            </w:r>
          </w:p>
        </w:tc>
      </w:tr>
      <w:tr w:rsidR="004C74C2" w:rsidRPr="00B53423" w:rsidTr="009268E4">
        <w:trPr>
          <w:trHeight w:val="300"/>
        </w:trPr>
        <w:tc>
          <w:tcPr>
            <w:tcW w:w="1106" w:type="pct"/>
            <w:shd w:val="clear" w:color="000000" w:fill="FFFFFF"/>
            <w:vAlign w:val="center"/>
            <w:hideMark/>
          </w:tcPr>
          <w:p w:rsidR="004C74C2" w:rsidRPr="00B53423" w:rsidRDefault="003A6B3B"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c. Office Equipments</w:t>
            </w:r>
          </w:p>
        </w:tc>
        <w:tc>
          <w:tcPr>
            <w:tcW w:w="619"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5.69</w:t>
            </w:r>
          </w:p>
        </w:tc>
        <w:tc>
          <w:tcPr>
            <w:tcW w:w="620"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0.26</w:t>
            </w:r>
          </w:p>
        </w:tc>
        <w:tc>
          <w:tcPr>
            <w:tcW w:w="667"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w:t>
            </w:r>
          </w:p>
        </w:tc>
        <w:tc>
          <w:tcPr>
            <w:tcW w:w="512"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5.95</w:t>
            </w:r>
          </w:p>
        </w:tc>
        <w:tc>
          <w:tcPr>
            <w:tcW w:w="738" w:type="pct"/>
            <w:shd w:val="clear" w:color="000000" w:fill="FFFFFF"/>
            <w:noWrap/>
            <w:vAlign w:val="center"/>
            <w:hideMark/>
          </w:tcPr>
          <w:p w:rsidR="004C74C2" w:rsidRPr="00B53423" w:rsidRDefault="003A6B3B" w:rsidP="0015232B">
            <w:pPr>
              <w:jc w:val="right"/>
              <w:rPr>
                <w:rFonts w:asciiTheme="minorHAnsi" w:hAnsiTheme="minorHAnsi" w:cstheme="minorHAnsi"/>
                <w:sz w:val="20"/>
                <w:szCs w:val="20"/>
              </w:rPr>
            </w:pPr>
            <w:r w:rsidRPr="00B53423">
              <w:rPr>
                <w:rFonts w:asciiTheme="minorHAnsi" w:hAnsiTheme="minorHAnsi" w:cstheme="minorHAnsi"/>
                <w:sz w:val="20"/>
                <w:szCs w:val="20"/>
              </w:rPr>
              <w:t>4.73%</w:t>
            </w:r>
          </w:p>
        </w:tc>
        <w:tc>
          <w:tcPr>
            <w:tcW w:w="738"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0.28</w:t>
            </w:r>
          </w:p>
        </w:tc>
      </w:tr>
      <w:tr w:rsidR="004C74C2" w:rsidRPr="00B53423" w:rsidTr="009268E4">
        <w:trPr>
          <w:trHeight w:val="300"/>
        </w:trPr>
        <w:tc>
          <w:tcPr>
            <w:tcW w:w="1106" w:type="pct"/>
            <w:shd w:val="clear" w:color="000000" w:fill="FFFFFF"/>
            <w:vAlign w:val="center"/>
            <w:hideMark/>
          </w:tcPr>
          <w:p w:rsidR="004C74C2" w:rsidRPr="00B53423" w:rsidRDefault="003A6B3B"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 xml:space="preserve">  d. Computers</w:t>
            </w:r>
          </w:p>
        </w:tc>
        <w:tc>
          <w:tcPr>
            <w:tcW w:w="619"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2.51</w:t>
            </w:r>
          </w:p>
        </w:tc>
        <w:tc>
          <w:tcPr>
            <w:tcW w:w="620"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0.36</w:t>
            </w:r>
          </w:p>
        </w:tc>
        <w:tc>
          <w:tcPr>
            <w:tcW w:w="667"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w:t>
            </w:r>
          </w:p>
        </w:tc>
        <w:tc>
          <w:tcPr>
            <w:tcW w:w="512"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2.87</w:t>
            </w:r>
          </w:p>
        </w:tc>
        <w:tc>
          <w:tcPr>
            <w:tcW w:w="738" w:type="pct"/>
            <w:shd w:val="clear" w:color="000000" w:fill="FFFFFF"/>
            <w:noWrap/>
            <w:vAlign w:val="center"/>
            <w:hideMark/>
          </w:tcPr>
          <w:p w:rsidR="004C74C2" w:rsidRPr="00B53423" w:rsidRDefault="003A6B3B" w:rsidP="0015232B">
            <w:pPr>
              <w:jc w:val="right"/>
              <w:rPr>
                <w:rFonts w:asciiTheme="minorHAnsi" w:hAnsiTheme="minorHAnsi" w:cstheme="minorHAnsi"/>
                <w:sz w:val="20"/>
                <w:szCs w:val="20"/>
              </w:rPr>
            </w:pPr>
            <w:r w:rsidRPr="00B53423">
              <w:rPr>
                <w:rFonts w:asciiTheme="minorHAnsi" w:hAnsiTheme="minorHAnsi" w:cstheme="minorHAnsi"/>
                <w:sz w:val="20"/>
                <w:szCs w:val="20"/>
              </w:rPr>
              <w:t>4.73%</w:t>
            </w:r>
          </w:p>
        </w:tc>
        <w:tc>
          <w:tcPr>
            <w:tcW w:w="738"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0.13</w:t>
            </w:r>
          </w:p>
        </w:tc>
      </w:tr>
      <w:tr w:rsidR="004C74C2" w:rsidRPr="00B53423" w:rsidTr="009268E4">
        <w:trPr>
          <w:trHeight w:val="300"/>
        </w:trPr>
        <w:tc>
          <w:tcPr>
            <w:tcW w:w="1106" w:type="pct"/>
            <w:shd w:val="clear" w:color="000000" w:fill="FFFFFF"/>
            <w:vAlign w:val="center"/>
            <w:hideMark/>
          </w:tcPr>
          <w:p w:rsidR="004C74C2" w:rsidRPr="00B53423" w:rsidRDefault="003A6B3B"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Furniture &amp; Fixtures</w:t>
            </w:r>
          </w:p>
        </w:tc>
        <w:tc>
          <w:tcPr>
            <w:tcW w:w="619"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1.05</w:t>
            </w:r>
          </w:p>
        </w:tc>
        <w:tc>
          <w:tcPr>
            <w:tcW w:w="620"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0.07</w:t>
            </w:r>
          </w:p>
        </w:tc>
        <w:tc>
          <w:tcPr>
            <w:tcW w:w="667"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w:t>
            </w:r>
          </w:p>
        </w:tc>
        <w:tc>
          <w:tcPr>
            <w:tcW w:w="512"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1.12</w:t>
            </w:r>
          </w:p>
        </w:tc>
        <w:tc>
          <w:tcPr>
            <w:tcW w:w="738" w:type="pct"/>
            <w:shd w:val="clear" w:color="000000" w:fill="FFFFFF"/>
            <w:noWrap/>
            <w:vAlign w:val="center"/>
            <w:hideMark/>
          </w:tcPr>
          <w:p w:rsidR="004C74C2" w:rsidRPr="00B53423" w:rsidRDefault="003A6B3B" w:rsidP="0015232B">
            <w:pPr>
              <w:jc w:val="right"/>
              <w:rPr>
                <w:rFonts w:asciiTheme="minorHAnsi" w:hAnsiTheme="minorHAnsi" w:cstheme="minorHAnsi"/>
                <w:sz w:val="20"/>
                <w:szCs w:val="20"/>
              </w:rPr>
            </w:pPr>
            <w:r w:rsidRPr="00B53423">
              <w:rPr>
                <w:rFonts w:asciiTheme="minorHAnsi" w:hAnsiTheme="minorHAnsi" w:cstheme="minorHAnsi"/>
                <w:sz w:val="20"/>
                <w:szCs w:val="20"/>
              </w:rPr>
              <w:t>4.73%</w:t>
            </w:r>
          </w:p>
        </w:tc>
        <w:tc>
          <w:tcPr>
            <w:tcW w:w="738"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0.05</w:t>
            </w:r>
          </w:p>
        </w:tc>
      </w:tr>
      <w:tr w:rsidR="004C74C2" w:rsidRPr="00B53423" w:rsidTr="009268E4">
        <w:trPr>
          <w:trHeight w:val="300"/>
        </w:trPr>
        <w:tc>
          <w:tcPr>
            <w:tcW w:w="1106" w:type="pct"/>
            <w:shd w:val="clear" w:color="000000" w:fill="FFFFFF"/>
            <w:vAlign w:val="center"/>
            <w:hideMark/>
          </w:tcPr>
          <w:p w:rsidR="004C74C2" w:rsidRPr="00B53423" w:rsidRDefault="003A6B3B" w:rsidP="0015232B">
            <w:pPr>
              <w:spacing w:before="0" w:line="240" w:lineRule="auto"/>
              <w:jc w:val="left"/>
              <w:rPr>
                <w:rFonts w:asciiTheme="minorHAnsi" w:hAnsiTheme="minorHAnsi" w:cstheme="minorHAnsi"/>
                <w:color w:val="000000"/>
                <w:sz w:val="20"/>
                <w:szCs w:val="20"/>
                <w:lang w:val="en-IN" w:eastAsia="en-IN"/>
              </w:rPr>
            </w:pPr>
            <w:r w:rsidRPr="00B53423">
              <w:rPr>
                <w:rFonts w:asciiTheme="minorHAnsi" w:hAnsiTheme="minorHAnsi" w:cstheme="minorHAnsi"/>
                <w:color w:val="000000"/>
                <w:sz w:val="20"/>
                <w:szCs w:val="20"/>
                <w:lang w:val="en-IN" w:eastAsia="en-IN"/>
              </w:rPr>
              <w:t>Vehicles</w:t>
            </w:r>
          </w:p>
        </w:tc>
        <w:tc>
          <w:tcPr>
            <w:tcW w:w="619"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3.28</w:t>
            </w:r>
          </w:p>
        </w:tc>
        <w:tc>
          <w:tcPr>
            <w:tcW w:w="620"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0.06</w:t>
            </w:r>
          </w:p>
        </w:tc>
        <w:tc>
          <w:tcPr>
            <w:tcW w:w="667"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w:t>
            </w:r>
          </w:p>
        </w:tc>
        <w:tc>
          <w:tcPr>
            <w:tcW w:w="512"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3.34</w:t>
            </w:r>
          </w:p>
        </w:tc>
        <w:tc>
          <w:tcPr>
            <w:tcW w:w="738" w:type="pct"/>
            <w:shd w:val="clear" w:color="000000" w:fill="FFFFFF"/>
            <w:noWrap/>
            <w:vAlign w:val="center"/>
            <w:hideMark/>
          </w:tcPr>
          <w:p w:rsidR="004C74C2" w:rsidRPr="00B53423" w:rsidRDefault="003A6B3B" w:rsidP="0015232B">
            <w:pPr>
              <w:jc w:val="right"/>
              <w:rPr>
                <w:rFonts w:asciiTheme="minorHAnsi" w:hAnsiTheme="minorHAnsi" w:cstheme="minorHAnsi"/>
                <w:sz w:val="20"/>
                <w:szCs w:val="20"/>
              </w:rPr>
            </w:pPr>
            <w:r w:rsidRPr="00B53423">
              <w:rPr>
                <w:rFonts w:asciiTheme="minorHAnsi" w:hAnsiTheme="minorHAnsi" w:cstheme="minorHAnsi"/>
                <w:sz w:val="20"/>
                <w:szCs w:val="20"/>
              </w:rPr>
              <w:t>4.73%</w:t>
            </w:r>
          </w:p>
        </w:tc>
        <w:tc>
          <w:tcPr>
            <w:tcW w:w="738"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color w:val="000000"/>
                <w:sz w:val="20"/>
                <w:szCs w:val="20"/>
                <w:lang w:val="en-IN" w:eastAsia="en-IN"/>
              </w:rPr>
            </w:pPr>
            <w:r w:rsidRPr="00B53423">
              <w:rPr>
                <w:rFonts w:asciiTheme="minorHAnsi" w:hAnsiTheme="minorHAnsi" w:cstheme="minorHAnsi"/>
                <w:sz w:val="20"/>
                <w:szCs w:val="20"/>
              </w:rPr>
              <w:t>0.16</w:t>
            </w:r>
          </w:p>
        </w:tc>
      </w:tr>
      <w:tr w:rsidR="004C74C2" w:rsidRPr="00B53423" w:rsidTr="009268E4">
        <w:trPr>
          <w:trHeight w:val="300"/>
        </w:trPr>
        <w:tc>
          <w:tcPr>
            <w:tcW w:w="1106" w:type="pct"/>
            <w:shd w:val="clear" w:color="000000" w:fill="FFFFFF"/>
            <w:vAlign w:val="center"/>
            <w:hideMark/>
          </w:tcPr>
          <w:p w:rsidR="004C74C2" w:rsidRPr="00B53423" w:rsidRDefault="003A6B3B" w:rsidP="0015232B">
            <w:pPr>
              <w:spacing w:before="0" w:line="240" w:lineRule="auto"/>
              <w:jc w:val="left"/>
              <w:rPr>
                <w:rFonts w:asciiTheme="minorHAnsi" w:hAnsiTheme="minorHAnsi" w:cstheme="minorHAnsi"/>
                <w:b/>
                <w:bCs/>
                <w:color w:val="000000"/>
                <w:sz w:val="20"/>
                <w:szCs w:val="20"/>
                <w:lang w:val="en-IN" w:eastAsia="en-IN"/>
              </w:rPr>
            </w:pPr>
            <w:r w:rsidRPr="00B53423">
              <w:rPr>
                <w:rFonts w:asciiTheme="minorHAnsi" w:hAnsiTheme="minorHAnsi" w:cstheme="minorHAnsi"/>
                <w:b/>
                <w:bCs/>
                <w:color w:val="000000"/>
                <w:sz w:val="20"/>
                <w:szCs w:val="20"/>
                <w:lang w:val="en-IN" w:eastAsia="en-IN"/>
              </w:rPr>
              <w:t>Grand Total</w:t>
            </w:r>
          </w:p>
        </w:tc>
        <w:tc>
          <w:tcPr>
            <w:tcW w:w="619"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b/>
                <w:bCs/>
                <w:color w:val="000000"/>
                <w:sz w:val="20"/>
                <w:szCs w:val="20"/>
                <w:lang w:val="en-IN" w:eastAsia="en-IN"/>
              </w:rPr>
            </w:pPr>
            <w:r w:rsidRPr="00B53423">
              <w:rPr>
                <w:rFonts w:asciiTheme="minorHAnsi" w:hAnsiTheme="minorHAnsi" w:cstheme="minorHAnsi"/>
                <w:b/>
                <w:bCs/>
                <w:sz w:val="20"/>
                <w:szCs w:val="20"/>
              </w:rPr>
              <w:t>503.68</w:t>
            </w:r>
          </w:p>
        </w:tc>
        <w:tc>
          <w:tcPr>
            <w:tcW w:w="620"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b/>
                <w:bCs/>
                <w:color w:val="000000"/>
                <w:sz w:val="20"/>
                <w:szCs w:val="20"/>
                <w:lang w:val="en-IN" w:eastAsia="en-IN"/>
              </w:rPr>
            </w:pPr>
            <w:r w:rsidRPr="00B53423">
              <w:rPr>
                <w:rFonts w:asciiTheme="minorHAnsi" w:hAnsiTheme="minorHAnsi" w:cstheme="minorHAnsi"/>
                <w:b/>
                <w:bCs/>
                <w:sz w:val="20"/>
                <w:szCs w:val="20"/>
              </w:rPr>
              <w:t>43.35</w:t>
            </w:r>
          </w:p>
        </w:tc>
        <w:tc>
          <w:tcPr>
            <w:tcW w:w="667"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b/>
                <w:bCs/>
                <w:color w:val="000000"/>
                <w:sz w:val="20"/>
                <w:szCs w:val="20"/>
                <w:lang w:val="en-IN" w:eastAsia="en-IN"/>
              </w:rPr>
            </w:pPr>
            <w:r w:rsidRPr="00B53423">
              <w:rPr>
                <w:rFonts w:asciiTheme="minorHAnsi" w:hAnsiTheme="minorHAnsi" w:cstheme="minorHAnsi"/>
                <w:sz w:val="20"/>
                <w:szCs w:val="20"/>
              </w:rPr>
              <w:t>-</w:t>
            </w:r>
          </w:p>
        </w:tc>
        <w:tc>
          <w:tcPr>
            <w:tcW w:w="512"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b/>
                <w:bCs/>
                <w:color w:val="000000"/>
                <w:sz w:val="20"/>
                <w:szCs w:val="20"/>
                <w:lang w:val="en-IN" w:eastAsia="en-IN"/>
              </w:rPr>
            </w:pPr>
            <w:r w:rsidRPr="00B53423">
              <w:rPr>
                <w:rFonts w:asciiTheme="minorHAnsi" w:hAnsiTheme="minorHAnsi" w:cstheme="minorHAnsi"/>
                <w:b/>
                <w:bCs/>
                <w:sz w:val="20"/>
                <w:szCs w:val="20"/>
              </w:rPr>
              <w:t>547.03</w:t>
            </w:r>
          </w:p>
        </w:tc>
        <w:tc>
          <w:tcPr>
            <w:tcW w:w="738" w:type="pct"/>
            <w:shd w:val="clear" w:color="000000" w:fill="FFFFFF"/>
            <w:noWrap/>
            <w:vAlign w:val="center"/>
            <w:hideMark/>
          </w:tcPr>
          <w:p w:rsidR="00564993" w:rsidRPr="00B53423" w:rsidRDefault="00564993" w:rsidP="0015232B">
            <w:pPr>
              <w:spacing w:before="0" w:line="240" w:lineRule="auto"/>
              <w:ind w:left="576"/>
              <w:contextualSpacing/>
              <w:outlineLvl w:val="1"/>
              <w:rPr>
                <w:rFonts w:asciiTheme="minorHAnsi" w:hAnsiTheme="minorHAnsi" w:cstheme="minorHAnsi"/>
                <w:sz w:val="20"/>
                <w:szCs w:val="20"/>
              </w:rPr>
            </w:pPr>
          </w:p>
        </w:tc>
        <w:tc>
          <w:tcPr>
            <w:tcW w:w="738" w:type="pct"/>
            <w:shd w:val="clear" w:color="000000" w:fill="FFFFFF"/>
            <w:noWrap/>
            <w:vAlign w:val="center"/>
            <w:hideMark/>
          </w:tcPr>
          <w:p w:rsidR="004C74C2" w:rsidRPr="00B53423" w:rsidRDefault="003A6B3B" w:rsidP="0015232B">
            <w:pPr>
              <w:spacing w:before="0" w:line="240" w:lineRule="auto"/>
              <w:contextualSpacing/>
              <w:jc w:val="right"/>
              <w:rPr>
                <w:rFonts w:asciiTheme="minorHAnsi" w:hAnsiTheme="minorHAnsi" w:cstheme="minorHAnsi"/>
                <w:b/>
                <w:bCs/>
                <w:color w:val="000000"/>
                <w:sz w:val="20"/>
                <w:szCs w:val="20"/>
                <w:lang w:val="en-IN" w:eastAsia="en-IN"/>
              </w:rPr>
            </w:pPr>
            <w:r w:rsidRPr="00B53423">
              <w:rPr>
                <w:rFonts w:asciiTheme="minorHAnsi" w:hAnsiTheme="minorHAnsi" w:cstheme="minorHAnsi"/>
                <w:b/>
                <w:bCs/>
                <w:sz w:val="20"/>
                <w:szCs w:val="20"/>
              </w:rPr>
              <w:t>24.85</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regards the Commission’s query regarding source-wise of funding of capitalization, the Petitioner submitted that the Commission in the True up Order dated 21</w:t>
      </w:r>
      <w:r w:rsidRPr="00B53423">
        <w:rPr>
          <w:vertAlign w:val="superscript"/>
        </w:rPr>
        <w:t>st</w:t>
      </w:r>
      <w:r w:rsidRPr="00B53423">
        <w:t xml:space="preserve"> May, 2013 for FY 2000-01 to 2007-08 and in the suo-motu Tariff Order dated 31</w:t>
      </w:r>
      <w:r w:rsidRPr="00B53423">
        <w:rPr>
          <w:vertAlign w:val="superscript"/>
        </w:rPr>
        <w:t>st</w:t>
      </w:r>
      <w:r w:rsidRPr="00B53423">
        <w:t xml:space="preserve"> May, 2013  for FY 2013-14 had considered a normative tariff approach wherein it had considered a normative gearing of 70:30 wherein 70% of the capital expenditure undertaken in any year was considered to be financed through loan and balance 30% has been considered to be financed through equity contributions. The Petitioner further submitted that in its aforesaid Orders the portion of capital expenditure financed through consumer contributions, capital subsidies and grants was separated by the Commission as the depreciation and interest thereon would not be charged to the consumers.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 added that since it is agreeable to this normative approach approved by the Commission hence no deviation in this approach has been sought by it.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It was further observed that the Petitioner had not reduced the depreciation charged on assets created out of consumer contributions, capital grants and subsidies. In this regards the Commission vide its deficiency note sought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2011-12 were filed by it. The Petitioner further submitted that subsequent to the principle being established by the Commission, it is agreeable to this methodology and has submitted the revised Table depicting the allowable depreciation as shown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ind w:left="720"/>
        <w:jc w:val="center"/>
        <w:rPr>
          <w:rFonts w:asciiTheme="minorHAnsi" w:hAnsiTheme="minorHAnsi" w:cstheme="minorHAnsi"/>
          <w:b/>
        </w:rPr>
      </w:pPr>
      <w:bookmarkStart w:id="511" w:name="_Toc399626373"/>
      <w:r w:rsidRPr="00B53423">
        <w:rPr>
          <w:rFonts w:asciiTheme="minorHAnsi" w:hAnsiTheme="minorHAnsi" w:cstheme="minorHAnsi"/>
          <w:b/>
          <w:caps/>
        </w:rPr>
        <w:t xml:space="preserve">Table </w:t>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STYLEREF 1 \s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6</w:t>
      </w:r>
      <w:r w:rsidR="005D68E7" w:rsidRPr="00B53423">
        <w:rPr>
          <w:rFonts w:asciiTheme="minorHAnsi" w:hAnsiTheme="minorHAnsi" w:cstheme="minorHAnsi"/>
          <w:b/>
          <w:caps/>
        </w:rPr>
        <w:fldChar w:fldCharType="end"/>
      </w:r>
      <w:r w:rsidRPr="00B53423">
        <w:rPr>
          <w:rFonts w:asciiTheme="minorHAnsi" w:hAnsiTheme="minorHAnsi" w:cstheme="minorHAnsi"/>
          <w:b/>
          <w:caps/>
        </w:rPr>
        <w:noBreakHyphen/>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SEQ Table \* ARABIC \s 1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15</w:t>
      </w:r>
      <w:r w:rsidR="005D68E7" w:rsidRPr="00B53423">
        <w:rPr>
          <w:rFonts w:asciiTheme="minorHAnsi" w:hAnsiTheme="minorHAnsi" w:cstheme="minorHAnsi"/>
          <w:b/>
          <w:caps/>
        </w:rPr>
        <w:fldChar w:fldCharType="end"/>
      </w:r>
      <w:r w:rsidRPr="00B53423">
        <w:rPr>
          <w:rFonts w:asciiTheme="minorHAnsi" w:hAnsiTheme="minorHAnsi" w:cstheme="minorHAnsi"/>
          <w:b/>
          <w:caps/>
        </w:rPr>
        <w:t>: Revised allowable Depreciation submitted by the Petitioner</w:t>
      </w:r>
      <w:r w:rsidRPr="00B53423">
        <w:rPr>
          <w:rFonts w:asciiTheme="minorHAnsi" w:hAnsiTheme="minorHAnsi" w:cstheme="minorHAnsi"/>
          <w:b/>
        </w:rPr>
        <w:t xml:space="preserve"> (Rs. Crore)</w:t>
      </w:r>
      <w:bookmarkEnd w:id="511"/>
    </w:p>
    <w:tbl>
      <w:tblPr>
        <w:tblW w:w="7199" w:type="dxa"/>
        <w:jc w:val="center"/>
        <w:tblInd w:w="-25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850"/>
        <w:gridCol w:w="1349"/>
      </w:tblGrid>
      <w:tr w:rsidR="004C74C2" w:rsidRPr="00B53423" w:rsidTr="009268E4">
        <w:trPr>
          <w:trHeight w:val="300"/>
          <w:jc w:val="center"/>
        </w:trPr>
        <w:tc>
          <w:tcPr>
            <w:tcW w:w="5850" w:type="dxa"/>
            <w:shd w:val="clear" w:color="auto" w:fill="DBE5F1" w:themeFill="accent1" w:themeFillTint="33"/>
            <w:noWrap/>
            <w:vAlign w:val="center"/>
            <w:hideMark/>
          </w:tcPr>
          <w:p w:rsidR="004C74C2" w:rsidRPr="00B53423" w:rsidRDefault="004C74C2" w:rsidP="0015232B">
            <w:pPr>
              <w:spacing w:line="240" w:lineRule="auto"/>
              <w:jc w:val="center"/>
              <w:rPr>
                <w:b/>
                <w:bCs/>
              </w:rPr>
            </w:pPr>
            <w:r w:rsidRPr="00B53423">
              <w:rPr>
                <w:b/>
                <w:bCs/>
              </w:rPr>
              <w:t>Particulars</w:t>
            </w:r>
          </w:p>
        </w:tc>
        <w:tc>
          <w:tcPr>
            <w:tcW w:w="1349" w:type="dxa"/>
            <w:shd w:val="clear" w:color="auto" w:fill="DBE5F1" w:themeFill="accent1" w:themeFillTint="33"/>
            <w:noWrap/>
            <w:vAlign w:val="center"/>
            <w:hideMark/>
          </w:tcPr>
          <w:p w:rsidR="004C74C2" w:rsidRPr="00B53423" w:rsidRDefault="004C74C2" w:rsidP="0015232B">
            <w:pPr>
              <w:spacing w:line="240" w:lineRule="auto"/>
              <w:jc w:val="center"/>
              <w:rPr>
                <w:b/>
                <w:bCs/>
              </w:rPr>
            </w:pPr>
            <w:r w:rsidRPr="00B53423">
              <w:rPr>
                <w:b/>
                <w:bCs/>
              </w:rPr>
              <w:t>FY 2010-11</w:t>
            </w:r>
          </w:p>
        </w:tc>
      </w:tr>
      <w:tr w:rsidR="004C74C2" w:rsidRPr="00B53423" w:rsidTr="009268E4">
        <w:trPr>
          <w:trHeight w:val="300"/>
          <w:jc w:val="center"/>
        </w:trPr>
        <w:tc>
          <w:tcPr>
            <w:tcW w:w="5850" w:type="dxa"/>
            <w:shd w:val="clear" w:color="auto" w:fill="auto"/>
            <w:noWrap/>
            <w:vAlign w:val="center"/>
            <w:hideMark/>
          </w:tcPr>
          <w:p w:rsidR="004C74C2" w:rsidRPr="00B53423" w:rsidRDefault="004C74C2" w:rsidP="0015232B">
            <w:pPr>
              <w:spacing w:before="0" w:line="240" w:lineRule="auto"/>
              <w:rPr>
                <w:color w:val="000000"/>
              </w:rPr>
            </w:pPr>
            <w:r w:rsidRPr="00B53423">
              <w:rPr>
                <w:color w:val="000000"/>
              </w:rPr>
              <w:t>Gross Allowable Depreciation</w:t>
            </w:r>
          </w:p>
        </w:tc>
        <w:tc>
          <w:tcPr>
            <w:tcW w:w="1349" w:type="dxa"/>
            <w:shd w:val="clear" w:color="auto" w:fill="auto"/>
            <w:noWrap/>
            <w:hideMark/>
          </w:tcPr>
          <w:p w:rsidR="004C74C2" w:rsidRPr="00B53423" w:rsidRDefault="004C74C2" w:rsidP="0015232B">
            <w:pPr>
              <w:spacing w:before="0" w:line="240" w:lineRule="auto"/>
              <w:ind w:right="266"/>
              <w:jc w:val="right"/>
              <w:rPr>
                <w:color w:val="000000"/>
              </w:rPr>
            </w:pPr>
            <w:r w:rsidRPr="00B53423">
              <w:rPr>
                <w:rFonts w:cs="Calibri"/>
                <w:color w:val="000000"/>
              </w:rPr>
              <w:t>24.85</w:t>
            </w:r>
          </w:p>
        </w:tc>
      </w:tr>
      <w:tr w:rsidR="004C74C2" w:rsidRPr="00B53423" w:rsidTr="009268E4">
        <w:trPr>
          <w:trHeight w:val="300"/>
          <w:jc w:val="center"/>
        </w:trPr>
        <w:tc>
          <w:tcPr>
            <w:tcW w:w="5850" w:type="dxa"/>
            <w:shd w:val="clear" w:color="auto" w:fill="auto"/>
            <w:noWrap/>
            <w:vAlign w:val="center"/>
            <w:hideMark/>
          </w:tcPr>
          <w:p w:rsidR="004C74C2" w:rsidRPr="00B53423" w:rsidRDefault="004C74C2" w:rsidP="0015232B">
            <w:pPr>
              <w:spacing w:before="0" w:line="240" w:lineRule="auto"/>
              <w:rPr>
                <w:color w:val="000000"/>
              </w:rPr>
            </w:pPr>
            <w:r w:rsidRPr="00B53423">
              <w:rPr>
                <w:color w:val="000000"/>
              </w:rPr>
              <w:t>Less: Depreciation on account of Consumer Contribution, Subsidies and Grants</w:t>
            </w:r>
          </w:p>
        </w:tc>
        <w:tc>
          <w:tcPr>
            <w:tcW w:w="1349" w:type="dxa"/>
            <w:shd w:val="clear" w:color="auto" w:fill="auto"/>
            <w:noWrap/>
            <w:hideMark/>
          </w:tcPr>
          <w:p w:rsidR="004C74C2" w:rsidRPr="00B53423" w:rsidRDefault="004C74C2" w:rsidP="0015232B">
            <w:pPr>
              <w:spacing w:before="0" w:line="240" w:lineRule="auto"/>
              <w:ind w:right="266"/>
              <w:jc w:val="right"/>
              <w:rPr>
                <w:color w:val="000000"/>
              </w:rPr>
            </w:pPr>
            <w:r w:rsidRPr="00B53423">
              <w:rPr>
                <w:rFonts w:cs="Calibri"/>
                <w:color w:val="000000"/>
              </w:rPr>
              <w:t>6.86</w:t>
            </w:r>
          </w:p>
        </w:tc>
      </w:tr>
      <w:tr w:rsidR="004C74C2" w:rsidRPr="00B53423" w:rsidTr="009268E4">
        <w:trPr>
          <w:trHeight w:val="300"/>
          <w:jc w:val="center"/>
        </w:trPr>
        <w:tc>
          <w:tcPr>
            <w:tcW w:w="5850" w:type="dxa"/>
            <w:shd w:val="clear" w:color="auto" w:fill="auto"/>
            <w:noWrap/>
            <w:vAlign w:val="center"/>
            <w:hideMark/>
          </w:tcPr>
          <w:p w:rsidR="004C74C2" w:rsidRPr="00B53423" w:rsidRDefault="004C74C2" w:rsidP="0015232B">
            <w:pPr>
              <w:spacing w:before="0" w:line="240" w:lineRule="auto"/>
              <w:rPr>
                <w:color w:val="000000"/>
              </w:rPr>
            </w:pPr>
            <w:r w:rsidRPr="00B53423">
              <w:rPr>
                <w:color w:val="000000"/>
              </w:rPr>
              <w:t>Net Allowable Depreciation</w:t>
            </w:r>
          </w:p>
        </w:tc>
        <w:tc>
          <w:tcPr>
            <w:tcW w:w="1349" w:type="dxa"/>
            <w:shd w:val="clear" w:color="auto" w:fill="auto"/>
            <w:noWrap/>
            <w:hideMark/>
          </w:tcPr>
          <w:p w:rsidR="004C74C2" w:rsidRPr="00B53423" w:rsidRDefault="004C74C2" w:rsidP="0015232B">
            <w:pPr>
              <w:spacing w:before="0" w:line="240" w:lineRule="auto"/>
              <w:ind w:right="266"/>
              <w:jc w:val="right"/>
            </w:pPr>
            <w:r w:rsidRPr="00B53423">
              <w:rPr>
                <w:rFonts w:cs="Calibri"/>
                <w:color w:val="000000"/>
              </w:rPr>
              <w:t>17.99</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asked the Petitioner to confirm that the cumulative depreciation in FY 2010-11 is less than 90% of GFA for all assets, since assets cannot be depreciated beyond 90% of GFA in accordance with the Distribution Tariff Regulations, 2006 which the Petitioner confirmed in the reply to deficiency note.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As detailed in para </w:t>
      </w:r>
      <w:fldSimple w:instr=" REF _Ref396854043 \r \h  \* MERGEFORMAT ">
        <w:r w:rsidR="00847C1B">
          <w:t>4.6.10</w:t>
        </w:r>
      </w:fldSimple>
      <w:r w:rsidRPr="00B53423">
        <w:t xml:space="preserve"> the Commission has considered the same philosophy as adopted by the Petitioner. After scrutinising the Audited Accounts for FY 2010-11 as submitted by the Petitioner, the net entitlement towards depreciation expenses claimed by the Petitioner and that approved by the Commission for Truing-up of FY 2010-11 is shown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jc w:val="center"/>
        <w:rPr>
          <w:rFonts w:asciiTheme="minorHAnsi" w:hAnsiTheme="minorHAnsi" w:cstheme="minorHAnsi"/>
          <w:b/>
        </w:rPr>
      </w:pPr>
      <w:bookmarkStart w:id="512" w:name="_Toc399626374"/>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16</w:t>
      </w:r>
      <w:r w:rsidR="005D68E7" w:rsidRPr="00B53423">
        <w:rPr>
          <w:rFonts w:asciiTheme="minorHAnsi" w:hAnsiTheme="minorHAnsi" w:cstheme="minorHAnsi"/>
          <w:b/>
        </w:rPr>
        <w:fldChar w:fldCharType="end"/>
      </w:r>
      <w:r w:rsidRPr="00B53423">
        <w:rPr>
          <w:rFonts w:asciiTheme="minorHAnsi" w:hAnsiTheme="minorHAnsi" w:cstheme="minorHAnsi"/>
          <w:b/>
        </w:rPr>
        <w:t>: DEPRECIATION EXPENSES FOR FY 2010-11 (Rs. Crore)</w:t>
      </w:r>
      <w:bookmarkEnd w:id="512"/>
    </w:p>
    <w:tbl>
      <w:tblPr>
        <w:tblW w:w="8782" w:type="dxa"/>
        <w:tblInd w:w="103" w:type="dxa"/>
        <w:tblLook w:val="04A0"/>
      </w:tblPr>
      <w:tblGrid>
        <w:gridCol w:w="3498"/>
        <w:gridCol w:w="1177"/>
        <w:gridCol w:w="1719"/>
        <w:gridCol w:w="1177"/>
        <w:gridCol w:w="1211"/>
      </w:tblGrid>
      <w:tr w:rsidR="004C74C2" w:rsidRPr="00B53423" w:rsidTr="009268E4">
        <w:trPr>
          <w:trHeight w:val="900"/>
          <w:tblHeader/>
        </w:trPr>
        <w:tc>
          <w:tcPr>
            <w:tcW w:w="3513" w:type="dxa"/>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181"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726"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81"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181"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513" w:type="dxa"/>
            <w:tcBorders>
              <w:top w:val="nil"/>
              <w:left w:val="dotted" w:sz="4" w:space="0" w:color="auto"/>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Gross Allowable Depreciation</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24.00</w:t>
            </w:r>
          </w:p>
        </w:tc>
        <w:tc>
          <w:tcPr>
            <w:tcW w:w="1726"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367"/>
              <w:jc w:val="right"/>
              <w:rPr>
                <w:rFonts w:cs="Calibri"/>
                <w:color w:val="000000"/>
              </w:rPr>
            </w:pPr>
            <w:r w:rsidRPr="00B53423">
              <w:rPr>
                <w:rFonts w:cs="Calibri"/>
                <w:color w:val="000000"/>
              </w:rPr>
              <w:t>17.28</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45"/>
              <w:jc w:val="right"/>
              <w:rPr>
                <w:rFonts w:cs="Calibri"/>
                <w:b/>
                <w:color w:val="000000"/>
              </w:rPr>
            </w:pPr>
            <w:r w:rsidRPr="00B53423">
              <w:rPr>
                <w:rFonts w:cs="Calibri"/>
                <w:color w:val="000000"/>
              </w:rPr>
              <w:t>24.85</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45"/>
              <w:jc w:val="right"/>
              <w:rPr>
                <w:rFonts w:cs="Calibri"/>
                <w:b/>
                <w:color w:val="000000"/>
              </w:rPr>
            </w:pPr>
            <w:r w:rsidRPr="00B53423">
              <w:rPr>
                <w:rFonts w:cs="Calibri"/>
                <w:color w:val="000000"/>
              </w:rPr>
              <w:t>24.85</w:t>
            </w:r>
          </w:p>
        </w:tc>
      </w:tr>
      <w:tr w:rsidR="004C74C2" w:rsidRPr="00B53423" w:rsidTr="009268E4">
        <w:trPr>
          <w:trHeight w:val="1200"/>
        </w:trPr>
        <w:tc>
          <w:tcPr>
            <w:tcW w:w="3513" w:type="dxa"/>
            <w:tcBorders>
              <w:top w:val="nil"/>
              <w:left w:val="dotted" w:sz="4" w:space="0" w:color="auto"/>
              <w:bottom w:val="dotted" w:sz="4" w:space="0" w:color="auto"/>
              <w:right w:val="dotted" w:sz="4" w:space="0" w:color="auto"/>
            </w:tcBorders>
            <w:shd w:val="clear" w:color="auto" w:fill="auto"/>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Equivalent amount of depreciation on assets acquired out of the consumer contribution and GoUP Subsidy</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7.00</w:t>
            </w:r>
          </w:p>
        </w:tc>
        <w:tc>
          <w:tcPr>
            <w:tcW w:w="1726"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367"/>
              <w:jc w:val="right"/>
              <w:rPr>
                <w:rFonts w:cs="Calibri"/>
                <w:color w:val="000000"/>
              </w:rPr>
            </w:pPr>
            <w:r w:rsidRPr="00B53423">
              <w:rPr>
                <w:rFonts w:cs="Calibri"/>
                <w:color w:val="000000"/>
              </w:rPr>
              <w:t>0.00</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6.86</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6.86</w:t>
            </w:r>
          </w:p>
        </w:tc>
      </w:tr>
      <w:tr w:rsidR="004C74C2" w:rsidRPr="00B53423" w:rsidTr="009268E4">
        <w:trPr>
          <w:trHeight w:val="300"/>
        </w:trPr>
        <w:tc>
          <w:tcPr>
            <w:tcW w:w="3513" w:type="dxa"/>
            <w:tcBorders>
              <w:top w:val="nil"/>
              <w:left w:val="dotted" w:sz="4" w:space="0" w:color="auto"/>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Allowable Depreciation</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45"/>
              <w:jc w:val="right"/>
              <w:rPr>
                <w:rFonts w:cs="Calibri"/>
                <w:b/>
                <w:color w:val="000000"/>
              </w:rPr>
            </w:pPr>
            <w:r w:rsidRPr="00B53423">
              <w:rPr>
                <w:rFonts w:cs="Calibri"/>
                <w:b/>
                <w:color w:val="000000"/>
              </w:rPr>
              <w:t>17.00</w:t>
            </w:r>
          </w:p>
        </w:tc>
        <w:tc>
          <w:tcPr>
            <w:tcW w:w="1726"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367"/>
              <w:jc w:val="right"/>
              <w:rPr>
                <w:rFonts w:cs="Calibri"/>
                <w:b/>
                <w:color w:val="000000"/>
              </w:rPr>
            </w:pPr>
            <w:r w:rsidRPr="00B53423">
              <w:rPr>
                <w:rFonts w:cs="Calibri"/>
                <w:b/>
                <w:color w:val="000000"/>
              </w:rPr>
              <w:t>17.28</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45"/>
              <w:jc w:val="right"/>
              <w:rPr>
                <w:rFonts w:cs="Calibri"/>
                <w:b/>
                <w:color w:val="000000"/>
              </w:rPr>
            </w:pPr>
            <w:r w:rsidRPr="00B53423">
              <w:rPr>
                <w:rFonts w:cs="Calibri"/>
                <w:color w:val="000000"/>
              </w:rPr>
              <w:t>17.99</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45"/>
              <w:jc w:val="right"/>
              <w:rPr>
                <w:rFonts w:cs="Calibri"/>
                <w:b/>
                <w:color w:val="000000"/>
              </w:rPr>
            </w:pPr>
            <w:r w:rsidRPr="00B53423">
              <w:rPr>
                <w:rFonts w:cs="Calibri"/>
                <w:color w:val="000000"/>
              </w:rPr>
              <w:t>17.99</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513" w:name="_Toc399626196"/>
      <w:r w:rsidRPr="00B53423">
        <w:t>PRIOR PERIOD EXPENSES</w:t>
      </w:r>
      <w:bookmarkEnd w:id="513"/>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there are certain expenses and incomes which are omitted to be accounted for in one or more financial years.  The Petitioner further submitted that its financial statements are prepared in compliance with Generally Accepted Accounting Principles (GAAP) and Accounting Standards issued by Accounting Standards Board of Institute of Chartered Accountants of India. The Petitioner added that the Accounting Standards (AS 5) (Revised) on ‘Net Profit or Loss for the Period, Prior Period Items and Changes in Accounting Policies’ provides that when such omissions or errors are detected they should be accounted for in the relevant year in which they are detected as stated below:</w:t>
      </w:r>
    </w:p>
    <w:p w:rsidR="004C74C2" w:rsidRPr="00B53423" w:rsidRDefault="004C74C2" w:rsidP="0015232B">
      <w:pPr>
        <w:pStyle w:val="Heading3"/>
        <w:keepNext w:val="0"/>
        <w:numPr>
          <w:ilvl w:val="0"/>
          <w:numId w:val="0"/>
        </w:numPr>
        <w:ind w:left="720"/>
        <w:rPr>
          <w:i/>
        </w:rPr>
      </w:pPr>
    </w:p>
    <w:p w:rsidR="004C74C2" w:rsidRPr="00B53423" w:rsidRDefault="004C74C2" w:rsidP="0015232B">
      <w:pPr>
        <w:pStyle w:val="Heading3"/>
        <w:keepNext w:val="0"/>
        <w:numPr>
          <w:ilvl w:val="0"/>
          <w:numId w:val="0"/>
        </w:numPr>
        <w:ind w:left="1440"/>
        <w:rPr>
          <w:i/>
        </w:rPr>
      </w:pPr>
      <w:r w:rsidRPr="00B53423">
        <w:rPr>
          <w:i/>
        </w:rPr>
        <w:t>“Prior period items are income or expenses which arise in the current period as a result of errors or omissions in the preparation of the financial statements of one or more prior periods.”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accordingly it has accounted for such transactions in the True-up computations strictly as per its Audited Accounts.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 submitted that in the audited financial statements for FY 2010-11, there has been recognition of Rs. 0.26 Crore of prior period incomes and prior period expenses of Rs. 0.06 Crore, thereby </w:t>
      </w:r>
      <w:r w:rsidR="00081232" w:rsidRPr="00B53423">
        <w:t>de</w:t>
      </w:r>
      <w:r w:rsidRPr="00B53423">
        <w:t>creasing the eligible True-up by 0.19 Crore. The Petitioner further submitted the detailed break-up of the prior period items for FY 2010-11 as per Audited Accounts as shown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ind w:left="450"/>
        <w:jc w:val="center"/>
        <w:rPr>
          <w:rFonts w:asciiTheme="minorHAnsi" w:hAnsiTheme="minorHAnsi" w:cstheme="minorHAnsi"/>
          <w:b/>
        </w:rPr>
      </w:pPr>
      <w:bookmarkStart w:id="514" w:name="_Toc399626375"/>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17</w:t>
      </w:r>
      <w:r w:rsidR="005D68E7" w:rsidRPr="00B53423">
        <w:rPr>
          <w:rFonts w:asciiTheme="minorHAnsi" w:hAnsiTheme="minorHAnsi" w:cstheme="minorHAnsi"/>
          <w:b/>
        </w:rPr>
        <w:fldChar w:fldCharType="end"/>
      </w:r>
      <w:r w:rsidRPr="00B53423">
        <w:rPr>
          <w:rFonts w:asciiTheme="minorHAnsi" w:hAnsiTheme="minorHAnsi" w:cstheme="minorHAnsi"/>
          <w:b/>
        </w:rPr>
        <w:t>: BREAK UP OF PRIOR PERIOD EXPENSES</w:t>
      </w:r>
      <w:r w:rsidR="00856959" w:rsidRPr="00B53423">
        <w:rPr>
          <w:rFonts w:asciiTheme="minorHAnsi" w:hAnsiTheme="minorHAnsi" w:cstheme="minorHAnsi"/>
          <w:b/>
        </w:rPr>
        <w:t xml:space="preserve"> / INCOMES</w:t>
      </w:r>
      <w:r w:rsidRPr="00B53423">
        <w:rPr>
          <w:rFonts w:asciiTheme="minorHAnsi" w:hAnsiTheme="minorHAnsi" w:cstheme="minorHAnsi"/>
          <w:b/>
        </w:rPr>
        <w:t xml:space="preserve"> (Rs. Crore)</w:t>
      </w:r>
      <w:bookmarkEnd w:id="514"/>
    </w:p>
    <w:tbl>
      <w:tblPr>
        <w:tblW w:w="7580" w:type="dxa"/>
        <w:jc w:val="center"/>
        <w:tblInd w:w="-22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40"/>
        <w:gridCol w:w="2340"/>
      </w:tblGrid>
      <w:tr w:rsidR="004C74C2" w:rsidRPr="00B53423" w:rsidTr="009268E4">
        <w:trPr>
          <w:trHeight w:val="300"/>
          <w:tblHeader/>
          <w:jc w:val="center"/>
        </w:trPr>
        <w:tc>
          <w:tcPr>
            <w:tcW w:w="5240" w:type="dxa"/>
            <w:shd w:val="clear" w:color="auto" w:fill="DBE5F1" w:themeFill="accent1" w:themeFillTint="33"/>
            <w:vAlign w:val="center"/>
            <w:hideMark/>
          </w:tcPr>
          <w:p w:rsidR="004C74C2" w:rsidRPr="00B53423" w:rsidRDefault="004C74C2" w:rsidP="0015232B">
            <w:pPr>
              <w:spacing w:before="0"/>
              <w:jc w:val="center"/>
              <w:rPr>
                <w:rFonts w:cs="Calibri"/>
                <w:b/>
                <w:color w:val="000000"/>
                <w:lang w:val="en-IN" w:eastAsia="en-IN"/>
              </w:rPr>
            </w:pPr>
            <w:r w:rsidRPr="00B53423">
              <w:rPr>
                <w:rFonts w:cs="Calibri"/>
                <w:b/>
                <w:color w:val="000000"/>
                <w:lang w:val="en-US" w:eastAsia="en-IN"/>
              </w:rPr>
              <w:t>Particulars</w:t>
            </w:r>
          </w:p>
        </w:tc>
        <w:tc>
          <w:tcPr>
            <w:tcW w:w="2340" w:type="dxa"/>
            <w:shd w:val="clear" w:color="auto" w:fill="DBE5F1" w:themeFill="accent1" w:themeFillTint="33"/>
            <w:noWrap/>
            <w:vAlign w:val="center"/>
            <w:hideMark/>
          </w:tcPr>
          <w:p w:rsidR="004C74C2" w:rsidRPr="00B53423" w:rsidRDefault="004C74C2" w:rsidP="0015232B">
            <w:pPr>
              <w:spacing w:before="0"/>
              <w:jc w:val="center"/>
              <w:rPr>
                <w:rFonts w:cs="Calibri"/>
                <w:b/>
                <w:color w:val="000000"/>
                <w:lang w:val="en-IN" w:eastAsia="en-IN"/>
              </w:rPr>
            </w:pPr>
            <w:r w:rsidRPr="00B53423">
              <w:rPr>
                <w:rFonts w:cs="Calibri"/>
                <w:b/>
                <w:color w:val="000000"/>
                <w:lang w:val="en-IN" w:eastAsia="en-IN"/>
              </w:rPr>
              <w:t>FY 2010-11</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cs="Calibri"/>
                <w:b/>
                <w:bCs/>
                <w:color w:val="000000"/>
                <w:lang w:val="en-IN" w:eastAsia="en-IN"/>
              </w:rPr>
            </w:pPr>
            <w:r w:rsidRPr="00B53423">
              <w:rPr>
                <w:rFonts w:cs="Calibri"/>
                <w:b/>
                <w:bCs/>
                <w:color w:val="000000"/>
                <w:lang w:val="en-US" w:eastAsia="en-IN"/>
              </w:rPr>
              <w:t>Prior Period Expenses</w:t>
            </w:r>
          </w:p>
        </w:tc>
        <w:tc>
          <w:tcPr>
            <w:tcW w:w="2340" w:type="dxa"/>
            <w:shd w:val="clear" w:color="000000" w:fill="FFFFFF"/>
            <w:noWrap/>
            <w:vAlign w:val="center"/>
            <w:hideMark/>
          </w:tcPr>
          <w:p w:rsidR="004C74C2" w:rsidRPr="00B53423" w:rsidRDefault="004C74C2" w:rsidP="0015232B">
            <w:pPr>
              <w:spacing w:before="0"/>
              <w:ind w:right="726"/>
              <w:jc w:val="right"/>
              <w:rPr>
                <w:rFonts w:cs="Calibri"/>
                <w:color w:val="000000"/>
                <w:lang w:val="en-IN" w:eastAsia="en-IN"/>
              </w:rPr>
            </w:pP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cs="Calibri"/>
                <w:color w:val="000000"/>
                <w:lang w:val="en-IN" w:eastAsia="en-IN"/>
              </w:rPr>
            </w:pPr>
            <w:r w:rsidRPr="00B53423">
              <w:rPr>
                <w:rFonts w:cs="Calibri"/>
                <w:color w:val="000000"/>
                <w:lang w:val="en-US" w:eastAsia="en-IN"/>
              </w:rPr>
              <w:t xml:space="preserve">Employees Cost </w:t>
            </w:r>
          </w:p>
        </w:tc>
        <w:tc>
          <w:tcPr>
            <w:tcW w:w="2340" w:type="dxa"/>
            <w:shd w:val="clear" w:color="000000" w:fill="FFFFFF"/>
            <w:noWrap/>
            <w:vAlign w:val="center"/>
            <w:hideMark/>
          </w:tcPr>
          <w:p w:rsidR="004C74C2" w:rsidRPr="00B53423" w:rsidRDefault="004C74C2" w:rsidP="0015232B">
            <w:pPr>
              <w:spacing w:before="0"/>
              <w:ind w:right="726"/>
              <w:jc w:val="right"/>
              <w:rPr>
                <w:rFonts w:cs="Calibri"/>
                <w:color w:val="000000"/>
                <w:lang w:val="en-IN" w:eastAsia="en-IN"/>
              </w:rPr>
            </w:pPr>
            <w:r w:rsidRPr="00B53423">
              <w:rPr>
                <w:rFonts w:cs="Calibri"/>
                <w:color w:val="000000"/>
                <w:lang w:val="en-IN" w:eastAsia="en-IN"/>
              </w:rPr>
              <w:t>0.06</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cs="Calibri"/>
                <w:color w:val="000000"/>
                <w:lang w:val="en-IN" w:eastAsia="en-IN"/>
              </w:rPr>
            </w:pPr>
            <w:r w:rsidRPr="00B53423">
              <w:rPr>
                <w:rFonts w:cs="Calibri"/>
                <w:color w:val="000000"/>
                <w:lang w:val="en-US" w:eastAsia="en-IN"/>
              </w:rPr>
              <w:t>Operating Expenses</w:t>
            </w:r>
          </w:p>
        </w:tc>
        <w:tc>
          <w:tcPr>
            <w:tcW w:w="2340" w:type="dxa"/>
            <w:shd w:val="clear" w:color="000000" w:fill="FFFFFF"/>
            <w:noWrap/>
            <w:vAlign w:val="center"/>
            <w:hideMark/>
          </w:tcPr>
          <w:p w:rsidR="004C74C2" w:rsidRPr="00B53423" w:rsidRDefault="004C74C2" w:rsidP="0015232B">
            <w:pPr>
              <w:spacing w:before="0"/>
              <w:ind w:right="726"/>
              <w:jc w:val="right"/>
              <w:rPr>
                <w:rFonts w:cs="Calibri"/>
                <w:color w:val="000000"/>
                <w:lang w:val="en-IN" w:eastAsia="en-IN"/>
              </w:rPr>
            </w:pPr>
            <w:r w:rsidRPr="00B53423">
              <w:rPr>
                <w:rFonts w:cs="Calibri"/>
                <w:color w:val="000000"/>
                <w:lang w:val="en-IN" w:eastAsia="en-IN"/>
              </w:rPr>
              <w:t>-</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cs="Calibri"/>
                <w:color w:val="000000"/>
                <w:lang w:val="en-IN" w:eastAsia="en-IN"/>
              </w:rPr>
            </w:pPr>
            <w:r w:rsidRPr="00B53423">
              <w:rPr>
                <w:rFonts w:cs="Calibri"/>
                <w:color w:val="000000"/>
                <w:lang w:val="en-US" w:eastAsia="en-IN"/>
              </w:rPr>
              <w:t>Interest and Financial Charges</w:t>
            </w:r>
          </w:p>
        </w:tc>
        <w:tc>
          <w:tcPr>
            <w:tcW w:w="2340" w:type="dxa"/>
            <w:shd w:val="clear" w:color="000000" w:fill="FFFFFF"/>
            <w:noWrap/>
            <w:vAlign w:val="center"/>
            <w:hideMark/>
          </w:tcPr>
          <w:p w:rsidR="004C74C2" w:rsidRPr="00B53423" w:rsidRDefault="004C74C2" w:rsidP="0015232B">
            <w:pPr>
              <w:spacing w:before="0"/>
              <w:ind w:right="726"/>
              <w:jc w:val="right"/>
              <w:rPr>
                <w:rFonts w:cs="Calibri"/>
                <w:color w:val="000000"/>
                <w:lang w:val="en-IN" w:eastAsia="en-IN"/>
              </w:rPr>
            </w:pPr>
            <w:r w:rsidRPr="00B53423">
              <w:rPr>
                <w:rFonts w:cs="Calibri"/>
                <w:color w:val="000000"/>
                <w:lang w:val="en-IN" w:eastAsia="en-IN"/>
              </w:rPr>
              <w:t>-</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 xml:space="preserve"> Sub Total of Prior Period Expenses</w:t>
            </w:r>
          </w:p>
        </w:tc>
        <w:tc>
          <w:tcPr>
            <w:tcW w:w="2340" w:type="dxa"/>
            <w:shd w:val="clear" w:color="000000" w:fill="FFFFFF"/>
            <w:noWrap/>
            <w:vAlign w:val="center"/>
            <w:hideMark/>
          </w:tcPr>
          <w:p w:rsidR="004C74C2" w:rsidRPr="00B53423" w:rsidRDefault="004C74C2" w:rsidP="0015232B">
            <w:pPr>
              <w:spacing w:before="0"/>
              <w:ind w:right="726"/>
              <w:jc w:val="right"/>
              <w:rPr>
                <w:rFonts w:cs="Calibri"/>
                <w:b/>
                <w:bCs/>
                <w:color w:val="000000"/>
                <w:lang w:val="en-IN" w:eastAsia="en-IN"/>
              </w:rPr>
            </w:pPr>
            <w:r w:rsidRPr="00B53423">
              <w:rPr>
                <w:rFonts w:cs="Calibri"/>
                <w:b/>
                <w:bCs/>
                <w:color w:val="000000"/>
                <w:lang w:val="en-IN" w:eastAsia="en-IN"/>
              </w:rPr>
              <w:t>0.06</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Prior Period Income</w:t>
            </w:r>
          </w:p>
        </w:tc>
        <w:tc>
          <w:tcPr>
            <w:tcW w:w="2340" w:type="dxa"/>
            <w:shd w:val="clear" w:color="000000" w:fill="FFFFFF"/>
            <w:noWrap/>
            <w:vAlign w:val="center"/>
            <w:hideMark/>
          </w:tcPr>
          <w:p w:rsidR="004C74C2" w:rsidRPr="00B53423" w:rsidRDefault="004C74C2" w:rsidP="0015232B">
            <w:pPr>
              <w:spacing w:before="0"/>
              <w:ind w:right="726"/>
              <w:jc w:val="right"/>
              <w:rPr>
                <w:rFonts w:cs="Calibri"/>
                <w:color w:val="000000"/>
                <w:lang w:val="en-IN" w:eastAsia="en-IN"/>
              </w:rPr>
            </w:pP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cs="Calibri"/>
                <w:color w:val="000000"/>
                <w:lang w:val="en-US" w:eastAsia="en-IN"/>
              </w:rPr>
            </w:pPr>
            <w:r w:rsidRPr="00B53423">
              <w:rPr>
                <w:rFonts w:cs="Calibri"/>
                <w:color w:val="000000"/>
                <w:lang w:val="en-US" w:eastAsia="en-IN"/>
              </w:rPr>
              <w:t>Power Purchase</w:t>
            </w:r>
          </w:p>
        </w:tc>
        <w:tc>
          <w:tcPr>
            <w:tcW w:w="2340" w:type="dxa"/>
            <w:shd w:val="clear" w:color="auto" w:fill="auto"/>
            <w:noWrap/>
            <w:vAlign w:val="center"/>
            <w:hideMark/>
          </w:tcPr>
          <w:p w:rsidR="004C74C2" w:rsidRPr="00B53423" w:rsidRDefault="004C74C2" w:rsidP="0015232B">
            <w:pPr>
              <w:spacing w:before="0"/>
              <w:ind w:right="726"/>
              <w:jc w:val="right"/>
              <w:rPr>
                <w:rFonts w:cs="Calibri"/>
                <w:color w:val="000000"/>
                <w:lang w:val="en-IN" w:eastAsia="en-IN"/>
              </w:rPr>
            </w:pPr>
            <w:r w:rsidRPr="00B53423">
              <w:rPr>
                <w:rFonts w:cs="Calibri"/>
                <w:color w:val="000000"/>
                <w:lang w:val="en-IN" w:eastAsia="en-IN"/>
              </w:rPr>
              <w:t>-</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cs="Calibri"/>
                <w:color w:val="000000"/>
                <w:lang w:val="en-US" w:eastAsia="en-IN"/>
              </w:rPr>
            </w:pPr>
            <w:r w:rsidRPr="00B53423">
              <w:rPr>
                <w:rFonts w:cs="Calibri"/>
                <w:color w:val="000000"/>
                <w:lang w:val="en-US" w:eastAsia="en-IN"/>
              </w:rPr>
              <w:t>Sale of Energy</w:t>
            </w:r>
          </w:p>
        </w:tc>
        <w:tc>
          <w:tcPr>
            <w:tcW w:w="2340" w:type="dxa"/>
            <w:shd w:val="clear" w:color="auto" w:fill="auto"/>
            <w:noWrap/>
            <w:vAlign w:val="center"/>
            <w:hideMark/>
          </w:tcPr>
          <w:p w:rsidR="004C74C2" w:rsidRPr="00B53423" w:rsidRDefault="004C74C2" w:rsidP="0015232B">
            <w:pPr>
              <w:spacing w:before="0"/>
              <w:ind w:right="726"/>
              <w:jc w:val="right"/>
              <w:rPr>
                <w:rFonts w:cs="Calibri"/>
                <w:color w:val="000000"/>
                <w:lang w:val="en-IN" w:eastAsia="en-IN"/>
              </w:rPr>
            </w:pPr>
            <w:r w:rsidRPr="00B53423">
              <w:rPr>
                <w:rFonts w:cs="Calibri"/>
                <w:color w:val="000000"/>
                <w:lang w:val="en-IN" w:eastAsia="en-IN"/>
              </w:rPr>
              <w:t>0.00</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cs="Calibri"/>
                <w:color w:val="000000"/>
                <w:lang w:val="en-US" w:eastAsia="en-IN"/>
              </w:rPr>
            </w:pPr>
            <w:r w:rsidRPr="00B53423">
              <w:rPr>
                <w:rFonts w:cs="Calibri"/>
                <w:color w:val="000000"/>
                <w:lang w:val="en-US" w:eastAsia="en-IN"/>
              </w:rPr>
              <w:t>Interest and Financial Charges</w:t>
            </w:r>
          </w:p>
        </w:tc>
        <w:tc>
          <w:tcPr>
            <w:tcW w:w="2340" w:type="dxa"/>
            <w:shd w:val="clear" w:color="auto" w:fill="auto"/>
            <w:noWrap/>
            <w:vAlign w:val="center"/>
            <w:hideMark/>
          </w:tcPr>
          <w:p w:rsidR="004C74C2" w:rsidRPr="00B53423" w:rsidRDefault="004C74C2" w:rsidP="0015232B">
            <w:pPr>
              <w:spacing w:before="0"/>
              <w:ind w:right="726"/>
              <w:jc w:val="right"/>
              <w:rPr>
                <w:rFonts w:cs="Calibri"/>
                <w:color w:val="000000"/>
                <w:lang w:val="en-IN" w:eastAsia="en-IN"/>
              </w:rPr>
            </w:pPr>
            <w:r w:rsidRPr="00B53423">
              <w:rPr>
                <w:rFonts w:cs="Calibri"/>
                <w:color w:val="000000"/>
                <w:lang w:val="en-IN" w:eastAsia="en-IN"/>
              </w:rPr>
              <w:t>0.25</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 xml:space="preserve"> Sub Total of Prior Period Income</w:t>
            </w:r>
          </w:p>
        </w:tc>
        <w:tc>
          <w:tcPr>
            <w:tcW w:w="2340" w:type="dxa"/>
            <w:shd w:val="clear" w:color="000000" w:fill="FFFFFF"/>
            <w:noWrap/>
            <w:vAlign w:val="center"/>
            <w:hideMark/>
          </w:tcPr>
          <w:p w:rsidR="004C74C2" w:rsidRPr="00B53423" w:rsidRDefault="004C74C2" w:rsidP="0015232B">
            <w:pPr>
              <w:spacing w:before="0"/>
              <w:ind w:right="726"/>
              <w:jc w:val="right"/>
              <w:rPr>
                <w:rFonts w:cs="Calibri"/>
                <w:b/>
                <w:bCs/>
                <w:color w:val="000000"/>
                <w:lang w:val="en-IN" w:eastAsia="en-IN"/>
              </w:rPr>
            </w:pPr>
            <w:r w:rsidRPr="00B53423">
              <w:rPr>
                <w:rFonts w:cs="Calibri"/>
                <w:b/>
                <w:bCs/>
                <w:color w:val="000000"/>
                <w:lang w:val="en-IN" w:eastAsia="en-IN"/>
              </w:rPr>
              <w:t>0.26</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Net Prior Period Income</w:t>
            </w:r>
          </w:p>
        </w:tc>
        <w:tc>
          <w:tcPr>
            <w:tcW w:w="2340" w:type="dxa"/>
            <w:shd w:val="clear" w:color="000000" w:fill="FFFFFF"/>
            <w:noWrap/>
            <w:vAlign w:val="center"/>
            <w:hideMark/>
          </w:tcPr>
          <w:p w:rsidR="004C74C2" w:rsidRPr="00B53423" w:rsidRDefault="004C74C2" w:rsidP="0015232B">
            <w:pPr>
              <w:spacing w:before="0"/>
              <w:ind w:right="726"/>
              <w:jc w:val="right"/>
              <w:rPr>
                <w:rFonts w:cs="Calibri"/>
                <w:b/>
                <w:bCs/>
                <w:color w:val="000000"/>
                <w:lang w:val="en-IN" w:eastAsia="en-IN"/>
              </w:rPr>
            </w:pPr>
            <w:r w:rsidRPr="00B53423">
              <w:rPr>
                <w:rFonts w:cs="Calibri"/>
                <w:b/>
                <w:bCs/>
                <w:color w:val="000000"/>
                <w:lang w:val="en-IN" w:eastAsia="en-IN"/>
              </w:rPr>
              <w:t>0.19</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regards the prior period expenses</w:t>
      </w:r>
      <w:r w:rsidR="003E399E" w:rsidRPr="00B53423">
        <w:t xml:space="preserve"> / incomes</w:t>
      </w:r>
      <w:r w:rsidRPr="00B53423">
        <w:t xml:space="preserve"> the Commission vide its deficiency note has asked the Petitioner to submit the detailed breakup of prior period expenses</w:t>
      </w:r>
      <w:r w:rsidR="003E399E" w:rsidRPr="00B53423">
        <w:t xml:space="preserve"> / incomes</w:t>
      </w:r>
      <w:r w:rsidRPr="00B53423">
        <w:t xml:space="preserve"> along with the details of years to which they pertain and the justification for not booking such amount in the annual account of the respective years. In its reply the Petitioner has submitted the year wise breakup of prior period expenses</w:t>
      </w:r>
      <w:r w:rsidR="003E399E" w:rsidRPr="00B53423">
        <w:t xml:space="preserve"> / incomes</w:t>
      </w:r>
      <w:r w:rsidRPr="00B53423">
        <w:t xml:space="preserve"> however the submission does not provide clarification regarding the heads under which these expenses have been booked.</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As discussed in detail in Para </w:t>
      </w:r>
      <w:fldSimple w:instr=" REF _Ref396854096 \r \h  \* MERGEFORMAT ">
        <w:r w:rsidR="00847C1B">
          <w:t>4.7.6</w:t>
        </w:r>
      </w:fldSimple>
      <w:r w:rsidRPr="00B53423">
        <w:t>, the Commission has not allowed any claims towards prior period expenses. The summary of the prior period expenses approved in the Tariff Order, claimed by the Petitioner and that approved by the Petitioner in this Order for Truing up of FY 2010-11 is shown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jc w:val="center"/>
        <w:rPr>
          <w:rFonts w:asciiTheme="minorHAnsi" w:hAnsiTheme="minorHAnsi" w:cstheme="minorHAnsi"/>
          <w:b/>
        </w:rPr>
      </w:pPr>
      <w:bookmarkStart w:id="515" w:name="_Toc399626376"/>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18</w:t>
      </w:r>
      <w:r w:rsidR="005D68E7" w:rsidRPr="00B53423">
        <w:rPr>
          <w:rFonts w:asciiTheme="minorHAnsi" w:hAnsiTheme="minorHAnsi" w:cstheme="minorHAnsi"/>
          <w:b/>
        </w:rPr>
        <w:fldChar w:fldCharType="end"/>
      </w:r>
      <w:r w:rsidRPr="00B53423">
        <w:rPr>
          <w:rFonts w:asciiTheme="minorHAnsi" w:hAnsiTheme="minorHAnsi" w:cstheme="minorHAnsi"/>
          <w:b/>
        </w:rPr>
        <w:t>: PRIOR PERIOD EXPENSES</w:t>
      </w:r>
      <w:r w:rsidR="00856959" w:rsidRPr="00B53423">
        <w:rPr>
          <w:rFonts w:asciiTheme="minorHAnsi" w:hAnsiTheme="minorHAnsi" w:cstheme="minorHAnsi"/>
          <w:b/>
        </w:rPr>
        <w:t xml:space="preserve"> / INCOMES</w:t>
      </w:r>
      <w:r w:rsidRPr="00B53423">
        <w:rPr>
          <w:rFonts w:asciiTheme="minorHAnsi" w:hAnsiTheme="minorHAnsi" w:cstheme="minorHAnsi"/>
          <w:b/>
        </w:rPr>
        <w:t xml:space="preserve"> FOR FY 2010-11 (Rs. Crore)</w:t>
      </w:r>
      <w:bookmarkEnd w:id="515"/>
    </w:p>
    <w:tbl>
      <w:tblPr>
        <w:tblW w:w="8500" w:type="dxa"/>
        <w:tblInd w:w="103" w:type="dxa"/>
        <w:tblLook w:val="04A0"/>
      </w:tblPr>
      <w:tblGrid>
        <w:gridCol w:w="3620"/>
        <w:gridCol w:w="1220"/>
        <w:gridCol w:w="1220"/>
        <w:gridCol w:w="1220"/>
        <w:gridCol w:w="1220"/>
      </w:tblGrid>
      <w:tr w:rsidR="004C74C2" w:rsidRPr="00B53423" w:rsidTr="009268E4">
        <w:trPr>
          <w:trHeight w:val="900"/>
        </w:trPr>
        <w:tc>
          <w:tcPr>
            <w:tcW w:w="3620" w:type="dxa"/>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62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xml:space="preserve">Prior Period </w:t>
            </w:r>
            <w:r w:rsidR="00856959" w:rsidRPr="00B53423">
              <w:rPr>
                <w:rFonts w:cs="Calibri"/>
                <w:color w:val="000000"/>
                <w:lang w:val="en-US"/>
              </w:rPr>
              <w:t>Incomes</w:t>
            </w:r>
          </w:p>
        </w:tc>
        <w:tc>
          <w:tcPr>
            <w:tcW w:w="122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center"/>
              <w:rPr>
                <w:rFonts w:cs="Calibri"/>
                <w:color w:val="000000"/>
              </w:rPr>
            </w:pPr>
            <w:r w:rsidRPr="00B53423">
              <w:rPr>
                <w:rFonts w:cs="Calibri"/>
                <w:color w:val="000000"/>
              </w:rPr>
              <w:t>0.00</w:t>
            </w:r>
          </w:p>
        </w:tc>
        <w:tc>
          <w:tcPr>
            <w:tcW w:w="122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rPr>
            </w:pPr>
            <w:r w:rsidRPr="00B53423">
              <w:rPr>
                <w:rFonts w:cs="Calibri"/>
                <w:color w:val="000000"/>
              </w:rPr>
              <w:t>0.19</w:t>
            </w:r>
          </w:p>
        </w:tc>
        <w:tc>
          <w:tcPr>
            <w:tcW w:w="122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rPr>
            </w:pPr>
            <w:r w:rsidRPr="00B53423">
              <w:rPr>
                <w:rFonts w:cs="Calibri"/>
                <w:color w:val="000000"/>
              </w:rPr>
              <w:t>0.19</w:t>
            </w:r>
          </w:p>
        </w:tc>
        <w:tc>
          <w:tcPr>
            <w:tcW w:w="122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rPr>
            </w:pPr>
            <w:r w:rsidRPr="00B53423">
              <w:rPr>
                <w:rFonts w:cs="Calibri"/>
                <w:color w:val="000000"/>
              </w:rPr>
              <w:t>0.00</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Further, as detailed in earlier Para </w:t>
      </w:r>
      <w:fldSimple w:instr=" REF _Ref396854112 \r \h  \* MERGEFORMAT ">
        <w:r w:rsidR="00847C1B">
          <w:t>4.7.8</w:t>
        </w:r>
      </w:fldSimple>
      <w:r w:rsidRPr="00B53423">
        <w:t xml:space="preserve"> the Petitioner is directed to file a separate Petition for approval of prior period expenses / incomes for FY 2010-11 for the Commission’s consideration.</w:t>
      </w:r>
    </w:p>
    <w:p w:rsidR="004C74C2" w:rsidRPr="00B53423" w:rsidRDefault="004C74C2" w:rsidP="0015232B">
      <w:pPr>
        <w:pStyle w:val="Heading2"/>
        <w:keepNext w:val="0"/>
        <w:numPr>
          <w:ilvl w:val="0"/>
          <w:numId w:val="0"/>
        </w:numPr>
        <w:ind w:left="450"/>
      </w:pPr>
    </w:p>
    <w:p w:rsidR="004C74C2" w:rsidRPr="00B53423" w:rsidRDefault="004C74C2" w:rsidP="0015232B">
      <w:pPr>
        <w:pStyle w:val="Heading2"/>
        <w:keepNext w:val="0"/>
        <w:ind w:left="720" w:hanging="1080"/>
      </w:pPr>
      <w:bookmarkStart w:id="516" w:name="_Toc399626197"/>
      <w:r w:rsidRPr="00B53423">
        <w:t>OTHER EXPENSES</w:t>
      </w:r>
      <w:bookmarkEnd w:id="516"/>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there are certain other expenses which cannot be claimed under any specific head of the ARR. The Petitioner further submitted that such minor expenses have been bundled together under the nomenclature of ‘Other Miscellaneous Expenses’ and the impact of such expenses is only Rs. 2.39 Crore in FY 2010-11 towards On Line Billing Charges.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discussed in detail in Para</w:t>
      </w:r>
      <w:r w:rsidR="003463DF" w:rsidRPr="00B53423">
        <w:t xml:space="preserve"> </w:t>
      </w:r>
      <w:r w:rsidRPr="00B53423">
        <w:t>4.8.2 the Commission has not considered such expenses for admissibility in the True-up. The summary of other expenses approved in the Tariff Order, claimed by the Petitioner and approved by the Commission in this Order for Truing</w:t>
      </w:r>
      <w:r w:rsidR="00416E7D" w:rsidRPr="00B53423">
        <w:t>-</w:t>
      </w:r>
      <w:r w:rsidRPr="00B53423">
        <w:t>up of FY 2010-11 is shown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ind w:firstLine="810"/>
        <w:jc w:val="center"/>
        <w:rPr>
          <w:rFonts w:asciiTheme="minorHAnsi" w:hAnsiTheme="minorHAnsi" w:cstheme="minorHAnsi"/>
          <w:b/>
        </w:rPr>
      </w:pPr>
      <w:bookmarkStart w:id="517" w:name="_Toc399626377"/>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19</w:t>
      </w:r>
      <w:r w:rsidR="005D68E7" w:rsidRPr="00B53423">
        <w:rPr>
          <w:rFonts w:asciiTheme="minorHAnsi" w:hAnsiTheme="minorHAnsi" w:cstheme="minorHAnsi"/>
          <w:b/>
        </w:rPr>
        <w:fldChar w:fldCharType="end"/>
      </w:r>
      <w:r w:rsidRPr="00B53423">
        <w:rPr>
          <w:rFonts w:asciiTheme="minorHAnsi" w:hAnsiTheme="minorHAnsi" w:cstheme="minorHAnsi"/>
          <w:b/>
        </w:rPr>
        <w:t>: OTHER EXPENSES FOR FY 2010-11 (Rs. Crore)</w:t>
      </w:r>
      <w:bookmarkEnd w:id="517"/>
    </w:p>
    <w:tbl>
      <w:tblPr>
        <w:tblW w:w="8140" w:type="dxa"/>
        <w:tblInd w:w="7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25"/>
        <w:gridCol w:w="1055"/>
        <w:gridCol w:w="1220"/>
        <w:gridCol w:w="1220"/>
        <w:gridCol w:w="1220"/>
      </w:tblGrid>
      <w:tr w:rsidR="004C74C2" w:rsidRPr="00B53423" w:rsidTr="009268E4">
        <w:trPr>
          <w:trHeight w:val="900"/>
        </w:trPr>
        <w:tc>
          <w:tcPr>
            <w:tcW w:w="3425" w:type="dxa"/>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055"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20"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20"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20"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4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Online Billing Charges</w:t>
            </w:r>
          </w:p>
        </w:tc>
        <w:tc>
          <w:tcPr>
            <w:tcW w:w="1055"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 </w:t>
            </w:r>
          </w:p>
        </w:tc>
        <w:tc>
          <w:tcPr>
            <w:tcW w:w="1220" w:type="dxa"/>
            <w:shd w:val="clear" w:color="auto" w:fill="auto"/>
            <w:noWrap/>
            <w:vAlign w:val="center"/>
            <w:hideMark/>
          </w:tcPr>
          <w:p w:rsidR="004C74C2" w:rsidRPr="00B53423" w:rsidRDefault="004C74C2" w:rsidP="0015232B">
            <w:pPr>
              <w:spacing w:before="0" w:line="240" w:lineRule="auto"/>
              <w:ind w:right="174"/>
              <w:jc w:val="right"/>
              <w:rPr>
                <w:rFonts w:cs="Calibri"/>
                <w:color w:val="000000"/>
                <w:lang w:val="en-US"/>
              </w:rPr>
            </w:pPr>
            <w:r w:rsidRPr="00B53423">
              <w:rPr>
                <w:rFonts w:cs="Calibri"/>
                <w:color w:val="000000"/>
                <w:lang w:val="en-US"/>
              </w:rPr>
              <w:t>2.39</w:t>
            </w:r>
          </w:p>
        </w:tc>
        <w:tc>
          <w:tcPr>
            <w:tcW w:w="1220" w:type="dxa"/>
            <w:shd w:val="clear" w:color="auto" w:fill="auto"/>
            <w:noWrap/>
            <w:vAlign w:val="center"/>
            <w:hideMark/>
          </w:tcPr>
          <w:p w:rsidR="004C74C2" w:rsidRPr="00B53423" w:rsidRDefault="004C74C2" w:rsidP="0015232B">
            <w:pPr>
              <w:spacing w:before="0" w:line="240" w:lineRule="auto"/>
              <w:ind w:right="174"/>
              <w:jc w:val="right"/>
              <w:rPr>
                <w:rFonts w:cs="Calibri"/>
                <w:color w:val="000000"/>
                <w:lang w:val="en-US"/>
              </w:rPr>
            </w:pPr>
            <w:r w:rsidRPr="00B53423">
              <w:rPr>
                <w:rFonts w:cs="Calibri"/>
                <w:color w:val="000000"/>
                <w:lang w:val="en-US"/>
              </w:rPr>
              <w:t>2.39</w:t>
            </w:r>
          </w:p>
        </w:tc>
        <w:tc>
          <w:tcPr>
            <w:tcW w:w="1220" w:type="dxa"/>
            <w:shd w:val="clear" w:color="auto" w:fill="auto"/>
            <w:noWrap/>
            <w:vAlign w:val="center"/>
            <w:hideMark/>
          </w:tcPr>
          <w:p w:rsidR="004C74C2" w:rsidRPr="00B53423" w:rsidRDefault="004C74C2" w:rsidP="0015232B">
            <w:pPr>
              <w:spacing w:before="0" w:line="240" w:lineRule="auto"/>
              <w:ind w:right="174"/>
              <w:jc w:val="right"/>
              <w:rPr>
                <w:rFonts w:cs="Calibri"/>
                <w:color w:val="000000"/>
                <w:lang w:val="en-US"/>
              </w:rPr>
            </w:pPr>
            <w:r w:rsidRPr="00B53423">
              <w:rPr>
                <w:rFonts w:cs="Calibri"/>
                <w:color w:val="000000"/>
                <w:lang w:val="en-US"/>
              </w:rPr>
              <w:t>0.00</w:t>
            </w:r>
          </w:p>
        </w:tc>
      </w:tr>
      <w:tr w:rsidR="004C74C2" w:rsidRPr="00B53423" w:rsidTr="009268E4">
        <w:trPr>
          <w:trHeight w:val="300"/>
        </w:trPr>
        <w:tc>
          <w:tcPr>
            <w:tcW w:w="3425"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w:t>
            </w:r>
          </w:p>
        </w:tc>
        <w:tc>
          <w:tcPr>
            <w:tcW w:w="1055" w:type="dxa"/>
            <w:shd w:val="clear" w:color="auto" w:fill="auto"/>
            <w:noWrap/>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0.00</w:t>
            </w:r>
          </w:p>
        </w:tc>
        <w:tc>
          <w:tcPr>
            <w:tcW w:w="1220" w:type="dxa"/>
            <w:shd w:val="clear" w:color="auto" w:fill="auto"/>
            <w:noWrap/>
            <w:vAlign w:val="center"/>
            <w:hideMark/>
          </w:tcPr>
          <w:p w:rsidR="004C74C2" w:rsidRPr="00B53423" w:rsidRDefault="004C74C2" w:rsidP="0015232B">
            <w:pPr>
              <w:spacing w:before="0" w:line="240" w:lineRule="auto"/>
              <w:ind w:right="174"/>
              <w:jc w:val="right"/>
              <w:rPr>
                <w:rFonts w:cs="Calibri"/>
                <w:b/>
                <w:bCs/>
                <w:color w:val="000000"/>
                <w:lang w:val="en-US"/>
              </w:rPr>
            </w:pPr>
            <w:r w:rsidRPr="00B53423">
              <w:rPr>
                <w:rFonts w:cs="Calibri"/>
                <w:b/>
                <w:bCs/>
                <w:color w:val="000000"/>
                <w:lang w:val="en-US"/>
              </w:rPr>
              <w:t>2.39</w:t>
            </w:r>
          </w:p>
        </w:tc>
        <w:tc>
          <w:tcPr>
            <w:tcW w:w="1220" w:type="dxa"/>
            <w:shd w:val="clear" w:color="auto" w:fill="auto"/>
            <w:noWrap/>
            <w:vAlign w:val="center"/>
            <w:hideMark/>
          </w:tcPr>
          <w:p w:rsidR="004C74C2" w:rsidRPr="00B53423" w:rsidRDefault="004C74C2" w:rsidP="0015232B">
            <w:pPr>
              <w:spacing w:before="0" w:line="240" w:lineRule="auto"/>
              <w:ind w:right="174"/>
              <w:jc w:val="right"/>
              <w:rPr>
                <w:rFonts w:cs="Calibri"/>
                <w:b/>
                <w:bCs/>
                <w:color w:val="000000"/>
                <w:lang w:val="en-US"/>
              </w:rPr>
            </w:pPr>
            <w:r w:rsidRPr="00B53423">
              <w:rPr>
                <w:rFonts w:cs="Calibri"/>
                <w:b/>
                <w:bCs/>
                <w:color w:val="000000"/>
                <w:lang w:val="en-US"/>
              </w:rPr>
              <w:t>2.39</w:t>
            </w:r>
          </w:p>
        </w:tc>
        <w:tc>
          <w:tcPr>
            <w:tcW w:w="1220" w:type="dxa"/>
            <w:shd w:val="clear" w:color="auto" w:fill="auto"/>
            <w:noWrap/>
            <w:vAlign w:val="center"/>
            <w:hideMark/>
          </w:tcPr>
          <w:p w:rsidR="004C74C2" w:rsidRPr="00B53423" w:rsidRDefault="004C74C2" w:rsidP="0015232B">
            <w:pPr>
              <w:spacing w:before="0" w:line="240" w:lineRule="auto"/>
              <w:ind w:right="174"/>
              <w:jc w:val="right"/>
              <w:rPr>
                <w:rFonts w:cs="Calibri"/>
                <w:b/>
                <w:bCs/>
                <w:color w:val="000000"/>
                <w:lang w:val="en-US"/>
              </w:rPr>
            </w:pPr>
            <w:r w:rsidRPr="00B53423">
              <w:rPr>
                <w:rFonts w:cs="Calibri"/>
                <w:b/>
                <w:bCs/>
                <w:color w:val="000000"/>
                <w:lang w:val="en-US"/>
              </w:rPr>
              <w:t>0.00</w:t>
            </w:r>
          </w:p>
        </w:tc>
      </w:tr>
    </w:tbl>
    <w:p w:rsidR="004C74C2" w:rsidRPr="00B53423" w:rsidRDefault="004C74C2" w:rsidP="0015232B">
      <w:pPr>
        <w:pStyle w:val="Heading2"/>
        <w:keepNext w:val="0"/>
        <w:numPr>
          <w:ilvl w:val="0"/>
          <w:numId w:val="0"/>
        </w:numPr>
        <w:ind w:left="450"/>
      </w:pPr>
    </w:p>
    <w:p w:rsidR="004C74C2" w:rsidRPr="00B53423" w:rsidRDefault="004C74C2" w:rsidP="0015232B">
      <w:pPr>
        <w:pStyle w:val="Heading2"/>
        <w:keepNext w:val="0"/>
        <w:ind w:left="720" w:hanging="1080"/>
      </w:pPr>
      <w:bookmarkStart w:id="518" w:name="_Toc399626198"/>
      <w:r w:rsidRPr="00B53423">
        <w:t>PROVISION FOR BAD AND DOUBTFUL DEBT</w:t>
      </w:r>
      <w:bookmarkEnd w:id="518"/>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Commission has not allowed any amounts towards Provision for Bad and Doubtful Debts in the Tariff Order dated 19</w:t>
      </w:r>
      <w:r w:rsidRPr="00B53423">
        <w:rPr>
          <w:vertAlign w:val="superscript"/>
        </w:rPr>
        <w:t>th</w:t>
      </w:r>
      <w:r w:rsidRPr="00B53423">
        <w:t xml:space="preserve"> October, 2012 in Petition No. 751 / 2011 and 798 / 2012 for FY 2010-11 even though the Distribution Tariff Regulations, 2006 provide for allowing 2% provision in respect of revenue receivables.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such expenses are legitimate business expenses and are accepted accounting principle even in sectors like Banking where the provisioning of un-collectable dues is considered as a normal commercial practice.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 submitted that it has computed the entitlement towards provision for bad and doubtful debts as 2% of the closing revenue receivables as per Audited Accounts of the relevant financial year for distribution business.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has claimed Rs. 46.62 Crore towards provision for bad and doubtful debts for FY 2010-11.</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As discussed in detail in Para </w:t>
      </w:r>
      <w:fldSimple w:instr=" REF _Ref396852059 \r \h  \* MERGEFORMAT ">
        <w:r w:rsidR="00847C1B">
          <w:t>4.9.10</w:t>
        </w:r>
      </w:fldSimple>
      <w:r w:rsidRPr="00B53423">
        <w:t xml:space="preserve"> due to the absence of proper policy in place for identifying and writing off receivables, the Commission disallows the claims towards provision for bad and doubtful debts.</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jc w:val="center"/>
        <w:rPr>
          <w:rFonts w:asciiTheme="minorHAnsi" w:hAnsiTheme="minorHAnsi" w:cstheme="minorHAnsi"/>
          <w:b/>
        </w:rPr>
      </w:pPr>
      <w:bookmarkStart w:id="519" w:name="_Toc399626378"/>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20</w:t>
      </w:r>
      <w:r w:rsidR="005D68E7" w:rsidRPr="00B53423">
        <w:rPr>
          <w:rFonts w:asciiTheme="minorHAnsi" w:hAnsiTheme="minorHAnsi" w:cstheme="minorHAnsi"/>
          <w:b/>
        </w:rPr>
        <w:fldChar w:fldCharType="end"/>
      </w:r>
      <w:r w:rsidRPr="00B53423">
        <w:rPr>
          <w:rFonts w:asciiTheme="minorHAnsi" w:hAnsiTheme="minorHAnsi" w:cstheme="minorHAnsi"/>
          <w:b/>
        </w:rPr>
        <w:t>: PROVISION FOR BAD AND DOUBTFUL DEBT FOR FY 2009-10 (Rs. Crore)</w:t>
      </w:r>
      <w:bookmarkEnd w:id="519"/>
    </w:p>
    <w:tbl>
      <w:tblPr>
        <w:tblW w:w="8465" w:type="dxa"/>
        <w:tblInd w:w="103" w:type="dxa"/>
        <w:tblLook w:val="04A0"/>
      </w:tblPr>
      <w:tblGrid>
        <w:gridCol w:w="3695"/>
        <w:gridCol w:w="1080"/>
        <w:gridCol w:w="1350"/>
        <w:gridCol w:w="1170"/>
        <w:gridCol w:w="1215"/>
      </w:tblGrid>
      <w:tr w:rsidR="004C74C2" w:rsidRPr="00B53423" w:rsidTr="009268E4">
        <w:trPr>
          <w:trHeight w:val="900"/>
        </w:trPr>
        <w:tc>
          <w:tcPr>
            <w:tcW w:w="3695" w:type="dxa"/>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08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35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7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17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695"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Provision for Bad and Doubtful Debts</w:t>
            </w:r>
          </w:p>
        </w:tc>
        <w:tc>
          <w:tcPr>
            <w:tcW w:w="108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35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right"/>
              <w:rPr>
                <w:rFonts w:cs="Calibri"/>
                <w:color w:val="000000"/>
              </w:rPr>
            </w:pPr>
            <w:r w:rsidRPr="00B53423">
              <w:rPr>
                <w:rFonts w:cs="Calibri"/>
                <w:color w:val="000000"/>
              </w:rPr>
              <w:t>23.50</w:t>
            </w:r>
          </w:p>
        </w:tc>
        <w:tc>
          <w:tcPr>
            <w:tcW w:w="117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right"/>
              <w:rPr>
                <w:rFonts w:cs="Calibri"/>
                <w:color w:val="000000"/>
              </w:rPr>
            </w:pPr>
            <w:r w:rsidRPr="00B53423">
              <w:rPr>
                <w:rFonts w:cs="Calibri"/>
                <w:color w:val="000000"/>
              </w:rPr>
              <w:t>46.62</w:t>
            </w:r>
          </w:p>
        </w:tc>
        <w:tc>
          <w:tcPr>
            <w:tcW w:w="117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r>
    </w:tbl>
    <w:p w:rsidR="004C74C2" w:rsidRPr="00B53423" w:rsidRDefault="004C74C2" w:rsidP="0015232B">
      <w:pPr>
        <w:pStyle w:val="Heading2"/>
        <w:keepNext w:val="0"/>
        <w:ind w:left="720" w:hanging="1080"/>
        <w:rPr>
          <w:caps/>
        </w:rPr>
      </w:pPr>
      <w:bookmarkStart w:id="520" w:name="_Toc399626199"/>
      <w:r w:rsidRPr="00B53423">
        <w:rPr>
          <w:caps/>
        </w:rPr>
        <w:t>Return on equity</w:t>
      </w:r>
      <w:bookmarkEnd w:id="520"/>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ind w:hanging="1080"/>
        <w:rPr>
          <w:b/>
        </w:rPr>
      </w:pPr>
      <w:r w:rsidRPr="00B53423">
        <w:t>The Petitioner has not claimed any return on equity for the year under review. The Petitioner has stated that it does not want to burden the consumers by proposing return on equity as it will further increase the gap. Hence, agreeing with the Petitioner’s submission in this regards, the Commission has also not allowed any amounts towards return on equity for FY 2010-11.</w:t>
      </w:r>
    </w:p>
    <w:p w:rsidR="004C74C2" w:rsidRPr="00B53423" w:rsidRDefault="004C74C2" w:rsidP="0015232B">
      <w:pPr>
        <w:pStyle w:val="Heading2"/>
        <w:keepNext w:val="0"/>
        <w:numPr>
          <w:ilvl w:val="0"/>
          <w:numId w:val="0"/>
        </w:numPr>
        <w:ind w:left="450"/>
      </w:pPr>
    </w:p>
    <w:p w:rsidR="004C74C2" w:rsidRPr="00B53423" w:rsidRDefault="004C74C2" w:rsidP="0015232B">
      <w:pPr>
        <w:pStyle w:val="Heading2"/>
        <w:keepNext w:val="0"/>
        <w:ind w:left="720" w:hanging="1080"/>
      </w:pPr>
      <w:bookmarkStart w:id="521" w:name="_Toc399626200"/>
      <w:r w:rsidRPr="00B53423">
        <w:t>REVENUE SIDE TRUING UP</w:t>
      </w:r>
      <w:bookmarkEnd w:id="521"/>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numPr>
          <w:ilvl w:val="0"/>
          <w:numId w:val="0"/>
        </w:numPr>
        <w:ind w:left="450" w:firstLine="270"/>
        <w:rPr>
          <w:b/>
        </w:rPr>
      </w:pPr>
      <w:r w:rsidRPr="00B53423">
        <w:rPr>
          <w:b/>
        </w:rPr>
        <w:t>NON TARIFF INCOMES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actual Non</w:t>
      </w:r>
      <w:r w:rsidR="00416E7D" w:rsidRPr="00B53423">
        <w:t>-</w:t>
      </w:r>
      <w:r w:rsidRPr="00B53423">
        <w:t>Tariff income earned by it in FY 2010-11 is Rs. 5.94 Crore against the projection of Rs. 54.69 Crore approved by the Commission in the Tariff Order dated 19</w:t>
      </w:r>
      <w:r w:rsidRPr="00B53423">
        <w:rPr>
          <w:vertAlign w:val="superscript"/>
        </w:rPr>
        <w:t>th</w:t>
      </w:r>
      <w:r w:rsidRPr="00B53423">
        <w:t xml:space="preserve"> October, 2012 in Petition No. 751 / 2011 and 798 / 2012.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regards the Commission’s query regarding detailed break-up of Non</w:t>
      </w:r>
      <w:r w:rsidR="00416E7D" w:rsidRPr="00B53423">
        <w:t>-</w:t>
      </w:r>
      <w:r w:rsidRPr="00B53423">
        <w:t>Tariff Income the Petitioner has submitted as follows:</w:t>
      </w:r>
    </w:p>
    <w:p w:rsidR="004C74C2" w:rsidRPr="00B53423" w:rsidRDefault="004C74C2" w:rsidP="0015232B">
      <w:pPr>
        <w:rPr>
          <w:rFonts w:cs="Arial"/>
          <w:szCs w:val="26"/>
        </w:rPr>
      </w:pPr>
    </w:p>
    <w:p w:rsidR="004C74C2" w:rsidRPr="00B53423" w:rsidRDefault="004C74C2" w:rsidP="0015232B">
      <w:pPr>
        <w:spacing w:before="240"/>
        <w:ind w:left="450"/>
        <w:jc w:val="center"/>
        <w:rPr>
          <w:rFonts w:asciiTheme="minorHAnsi" w:hAnsiTheme="minorHAnsi" w:cstheme="minorHAnsi"/>
          <w:b/>
        </w:rPr>
      </w:pPr>
      <w:bookmarkStart w:id="522" w:name="_Toc399626379"/>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21</w:t>
      </w:r>
      <w:r w:rsidR="005D68E7" w:rsidRPr="00B53423">
        <w:rPr>
          <w:rFonts w:asciiTheme="minorHAnsi" w:hAnsiTheme="minorHAnsi" w:cstheme="minorHAnsi"/>
          <w:b/>
        </w:rPr>
        <w:fldChar w:fldCharType="end"/>
      </w:r>
      <w:r w:rsidRPr="00B53423">
        <w:rPr>
          <w:rFonts w:asciiTheme="minorHAnsi" w:hAnsiTheme="minorHAnsi" w:cstheme="minorHAnsi"/>
          <w:b/>
        </w:rPr>
        <w:t>: NON TARIFF INCOME (Rs. Crore)</w:t>
      </w:r>
      <w:bookmarkEnd w:id="522"/>
    </w:p>
    <w:tbl>
      <w:tblPr>
        <w:tblW w:w="7690" w:type="dxa"/>
        <w:jc w:val="center"/>
        <w:tblInd w:w="-15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584"/>
        <w:gridCol w:w="2106"/>
      </w:tblGrid>
      <w:tr w:rsidR="004C74C2" w:rsidRPr="00B53423" w:rsidTr="009268E4">
        <w:trPr>
          <w:trHeight w:val="300"/>
          <w:tblHeader/>
          <w:jc w:val="center"/>
        </w:trPr>
        <w:tc>
          <w:tcPr>
            <w:tcW w:w="5584" w:type="dxa"/>
            <w:shd w:val="clear" w:color="auto" w:fill="DBE5F1" w:themeFill="accent1" w:themeFillTint="33"/>
            <w:vAlign w:val="center"/>
            <w:hideMark/>
          </w:tcPr>
          <w:p w:rsidR="004C74C2" w:rsidRPr="00B53423" w:rsidRDefault="004C74C2" w:rsidP="0015232B">
            <w:pPr>
              <w:spacing w:before="0" w:line="240" w:lineRule="auto"/>
              <w:jc w:val="center"/>
              <w:rPr>
                <w:b/>
                <w:bCs/>
              </w:rPr>
            </w:pPr>
            <w:r w:rsidRPr="00B53423">
              <w:rPr>
                <w:b/>
                <w:bCs/>
              </w:rPr>
              <w:t>Particulars</w:t>
            </w:r>
          </w:p>
        </w:tc>
        <w:tc>
          <w:tcPr>
            <w:tcW w:w="2106" w:type="dxa"/>
            <w:shd w:val="clear" w:color="auto" w:fill="DBE5F1" w:themeFill="accent1" w:themeFillTint="33"/>
            <w:noWrap/>
            <w:vAlign w:val="center"/>
            <w:hideMark/>
          </w:tcPr>
          <w:p w:rsidR="004C74C2" w:rsidRPr="00B53423" w:rsidRDefault="004C74C2" w:rsidP="0015232B">
            <w:pPr>
              <w:spacing w:before="0" w:line="240" w:lineRule="auto"/>
              <w:jc w:val="center"/>
              <w:rPr>
                <w:b/>
                <w:bCs/>
              </w:rPr>
            </w:pPr>
            <w:r w:rsidRPr="00B53423">
              <w:rPr>
                <w:b/>
                <w:bCs/>
              </w:rPr>
              <w:t>FY 2011-12</w:t>
            </w:r>
          </w:p>
        </w:tc>
      </w:tr>
      <w:tr w:rsidR="004C74C2" w:rsidRPr="00B53423" w:rsidTr="009268E4">
        <w:trPr>
          <w:trHeight w:val="288"/>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Interest from FDR including TDS amount</w:t>
            </w:r>
          </w:p>
        </w:tc>
        <w:tc>
          <w:tcPr>
            <w:tcW w:w="2106" w:type="dxa"/>
            <w:shd w:val="clear" w:color="auto" w:fill="auto"/>
            <w:noWrap/>
            <w:vAlign w:val="center"/>
            <w:hideMark/>
          </w:tcPr>
          <w:p w:rsidR="004C74C2" w:rsidRPr="00B53423" w:rsidRDefault="004C74C2" w:rsidP="0015232B">
            <w:pPr>
              <w:spacing w:before="0" w:line="240" w:lineRule="auto"/>
              <w:ind w:right="691"/>
              <w:jc w:val="right"/>
              <w:rPr>
                <w:color w:val="000000"/>
              </w:rPr>
            </w:pPr>
            <w:r w:rsidRPr="00B53423">
              <w:rPr>
                <w:color w:val="000000"/>
              </w:rPr>
              <w:t>0.18</w:t>
            </w:r>
          </w:p>
        </w:tc>
      </w:tr>
      <w:tr w:rsidR="004C74C2" w:rsidRPr="00B53423" w:rsidTr="009268E4">
        <w:trPr>
          <w:trHeight w:val="144"/>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Reconnection and Disconnection Fees</w:t>
            </w:r>
          </w:p>
        </w:tc>
        <w:tc>
          <w:tcPr>
            <w:tcW w:w="2106" w:type="dxa"/>
            <w:shd w:val="clear" w:color="auto" w:fill="auto"/>
            <w:noWrap/>
            <w:vAlign w:val="center"/>
            <w:hideMark/>
          </w:tcPr>
          <w:p w:rsidR="004C74C2" w:rsidRPr="00B53423" w:rsidRDefault="004C74C2" w:rsidP="0015232B">
            <w:pPr>
              <w:spacing w:before="0" w:line="240" w:lineRule="auto"/>
              <w:ind w:right="691"/>
              <w:jc w:val="right"/>
              <w:rPr>
                <w:color w:val="000000"/>
              </w:rPr>
            </w:pPr>
            <w:r w:rsidRPr="00B53423">
              <w:rPr>
                <w:color w:val="000000"/>
              </w:rPr>
              <w:t>-</w:t>
            </w:r>
          </w:p>
        </w:tc>
      </w:tr>
      <w:tr w:rsidR="004C74C2" w:rsidRPr="00B53423" w:rsidTr="009268E4">
        <w:trPr>
          <w:trHeight w:val="26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Other Recoveries from consumers</w:t>
            </w:r>
          </w:p>
        </w:tc>
        <w:tc>
          <w:tcPr>
            <w:tcW w:w="2106" w:type="dxa"/>
            <w:shd w:val="clear" w:color="auto" w:fill="auto"/>
            <w:noWrap/>
            <w:vAlign w:val="center"/>
            <w:hideMark/>
          </w:tcPr>
          <w:p w:rsidR="004C74C2" w:rsidRPr="00B53423" w:rsidRDefault="004C74C2" w:rsidP="0015232B">
            <w:pPr>
              <w:spacing w:before="0" w:line="240" w:lineRule="auto"/>
              <w:ind w:right="691"/>
              <w:jc w:val="right"/>
              <w:rPr>
                <w:color w:val="000000"/>
              </w:rPr>
            </w:pPr>
            <w:r w:rsidRPr="00B53423">
              <w:rPr>
                <w:color w:val="000000"/>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Recoveries from Theft/Malpractices</w:t>
            </w:r>
          </w:p>
        </w:tc>
        <w:tc>
          <w:tcPr>
            <w:tcW w:w="2106" w:type="dxa"/>
            <w:shd w:val="clear" w:color="auto" w:fill="auto"/>
            <w:noWrap/>
            <w:vAlign w:val="center"/>
            <w:hideMark/>
          </w:tcPr>
          <w:p w:rsidR="004C74C2" w:rsidRPr="00B53423" w:rsidRDefault="004C74C2" w:rsidP="0015232B">
            <w:pPr>
              <w:spacing w:before="0" w:line="240" w:lineRule="auto"/>
              <w:ind w:right="691"/>
              <w:jc w:val="right"/>
              <w:rPr>
                <w:color w:val="000000"/>
              </w:rPr>
            </w:pPr>
            <w:r w:rsidRPr="00B53423">
              <w:rPr>
                <w:color w:val="000000"/>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Other Charges from Consumers</w:t>
            </w:r>
          </w:p>
        </w:tc>
        <w:tc>
          <w:tcPr>
            <w:tcW w:w="2106" w:type="dxa"/>
            <w:shd w:val="clear" w:color="auto" w:fill="auto"/>
            <w:noWrap/>
            <w:vAlign w:val="center"/>
            <w:hideMark/>
          </w:tcPr>
          <w:p w:rsidR="004C74C2" w:rsidRPr="00B53423" w:rsidRDefault="004C74C2" w:rsidP="0015232B">
            <w:pPr>
              <w:spacing w:before="0" w:line="240" w:lineRule="auto"/>
              <w:ind w:right="691"/>
              <w:jc w:val="right"/>
              <w:rPr>
                <w:color w:val="000000"/>
              </w:rPr>
            </w:pPr>
            <w:r w:rsidRPr="00B53423">
              <w:rPr>
                <w:color w:val="000000"/>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Misc Income</w:t>
            </w:r>
          </w:p>
        </w:tc>
        <w:tc>
          <w:tcPr>
            <w:tcW w:w="2106" w:type="dxa"/>
            <w:shd w:val="clear" w:color="auto" w:fill="auto"/>
            <w:noWrap/>
            <w:vAlign w:val="center"/>
            <w:hideMark/>
          </w:tcPr>
          <w:p w:rsidR="004C74C2" w:rsidRPr="00B53423" w:rsidRDefault="004C74C2" w:rsidP="0015232B">
            <w:pPr>
              <w:spacing w:before="0" w:line="240" w:lineRule="auto"/>
              <w:ind w:right="691"/>
              <w:jc w:val="right"/>
              <w:rPr>
                <w:color w:val="000000"/>
              </w:rPr>
            </w:pPr>
            <w:r w:rsidRPr="00B53423">
              <w:rPr>
                <w:color w:val="000000"/>
              </w:rPr>
              <w:t>5.76</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Other Non-Operating Income</w:t>
            </w:r>
          </w:p>
        </w:tc>
        <w:tc>
          <w:tcPr>
            <w:tcW w:w="2106" w:type="dxa"/>
            <w:shd w:val="clear" w:color="auto" w:fill="auto"/>
            <w:noWrap/>
            <w:vAlign w:val="center"/>
            <w:hideMark/>
          </w:tcPr>
          <w:p w:rsidR="004C74C2" w:rsidRPr="00B53423" w:rsidRDefault="004C74C2" w:rsidP="0015232B">
            <w:pPr>
              <w:spacing w:before="0" w:line="240" w:lineRule="auto"/>
              <w:ind w:right="691"/>
              <w:jc w:val="right"/>
              <w:rPr>
                <w:color w:val="000000"/>
              </w:rPr>
            </w:pPr>
            <w:r w:rsidRPr="00B53423">
              <w:rPr>
                <w:color w:val="000000"/>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b/>
                <w:color w:val="000000"/>
              </w:rPr>
            </w:pPr>
            <w:r w:rsidRPr="00B53423">
              <w:rPr>
                <w:color w:val="000000"/>
              </w:rPr>
              <w:t> </w:t>
            </w:r>
            <w:r w:rsidRPr="00B53423">
              <w:rPr>
                <w:b/>
                <w:color w:val="000000"/>
              </w:rPr>
              <w:t>Total NTI</w:t>
            </w:r>
          </w:p>
        </w:tc>
        <w:tc>
          <w:tcPr>
            <w:tcW w:w="2106" w:type="dxa"/>
            <w:shd w:val="clear" w:color="auto" w:fill="auto"/>
            <w:noWrap/>
            <w:vAlign w:val="center"/>
            <w:hideMark/>
          </w:tcPr>
          <w:p w:rsidR="004C74C2" w:rsidRPr="00B53423" w:rsidRDefault="004C74C2" w:rsidP="0015232B">
            <w:pPr>
              <w:spacing w:before="0" w:line="240" w:lineRule="auto"/>
              <w:ind w:right="691"/>
              <w:jc w:val="right"/>
              <w:rPr>
                <w:b/>
                <w:bCs/>
                <w:color w:val="000000"/>
              </w:rPr>
            </w:pPr>
            <w:r w:rsidRPr="00B53423">
              <w:rPr>
                <w:b/>
                <w:bCs/>
                <w:color w:val="000000"/>
              </w:rPr>
              <w:t>5.94</w:t>
            </w:r>
          </w:p>
        </w:tc>
      </w:tr>
    </w:tbl>
    <w:p w:rsidR="004C74C2" w:rsidRPr="00B53423" w:rsidRDefault="004C74C2" w:rsidP="0015232B">
      <w:pPr>
        <w:spacing w:before="0"/>
        <w:rPr>
          <w:rFonts w:cs="Arial"/>
        </w:rPr>
      </w:pPr>
    </w:p>
    <w:p w:rsidR="004C74C2" w:rsidRPr="00B53423" w:rsidRDefault="004C74C2" w:rsidP="0015232B">
      <w:pPr>
        <w:pStyle w:val="Heading3"/>
        <w:keepNext w:val="0"/>
        <w:ind w:hanging="1080"/>
      </w:pPr>
      <w:r w:rsidRPr="00B53423">
        <w:t>The Commission has accepted the submission of the Petitioner, under this head and has accordingly approved Non Tariff Income of Rs. 5.94 Crore for Truing up of FY 2010-11.</w:t>
      </w:r>
    </w:p>
    <w:p w:rsidR="004C74C2" w:rsidRPr="00B53423" w:rsidRDefault="004C74C2" w:rsidP="0015232B">
      <w:pPr>
        <w:spacing w:before="240"/>
      </w:pPr>
    </w:p>
    <w:p w:rsidR="004C74C2" w:rsidRPr="00B53423" w:rsidRDefault="004C74C2" w:rsidP="0015232B">
      <w:pPr>
        <w:pStyle w:val="Heading3"/>
        <w:keepNext w:val="0"/>
        <w:numPr>
          <w:ilvl w:val="0"/>
          <w:numId w:val="0"/>
        </w:numPr>
        <w:ind w:left="450" w:firstLine="270"/>
        <w:rPr>
          <w:b/>
        </w:rPr>
      </w:pPr>
      <w:r w:rsidRPr="00B53423">
        <w:rPr>
          <w:b/>
        </w:rPr>
        <w:t>REVENUE FROM SALE OF POWER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19</w:t>
      </w:r>
      <w:r w:rsidRPr="00B53423">
        <w:rPr>
          <w:vertAlign w:val="superscript"/>
        </w:rPr>
        <w:t>th</w:t>
      </w:r>
      <w:r w:rsidRPr="00B53423">
        <w:t xml:space="preserve"> October, 2012 in Petition No. 751 / 2011 and 798 / 2012 for FY 2010-11 the Commission had projected revenue from sale of power of Rs. 895.41 Crore for FY 2010-11. The Petitioner further submitted that as per the Audited Accounts the actual revenue from sale of power is Rs. 942.06 Crore (including Rs. 48.75 Crore towards delayed payment surcharge) towards electricity sales of 1843 MU.</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has accepted the revenue from sale of power as submitted by the Petitioner after verifying the same from the Audited Accounts of FY 2010-11 and has accordingly approved actual revenue of Rs. 942.06 Crore including delayed payment surcharge towards sales of 1843 MU. The summary of revenue approved in the Tariff Order, that claimed by the Petitioner and that approved by the Commission in this Order for Truing up of FY 2010-11 is shown in the Table below:</w:t>
      </w:r>
    </w:p>
    <w:p w:rsidR="004C74C2" w:rsidRPr="00B53423" w:rsidRDefault="004C74C2" w:rsidP="0015232B">
      <w:pPr>
        <w:rPr>
          <w:rFonts w:cs="Arial"/>
          <w:szCs w:val="26"/>
        </w:rPr>
      </w:pPr>
    </w:p>
    <w:p w:rsidR="004C74C2" w:rsidRPr="00B53423" w:rsidRDefault="004C74C2" w:rsidP="0015232B">
      <w:pPr>
        <w:spacing w:before="240"/>
        <w:ind w:firstLine="720"/>
        <w:jc w:val="center"/>
        <w:rPr>
          <w:rFonts w:asciiTheme="minorHAnsi" w:hAnsiTheme="minorHAnsi" w:cstheme="minorHAnsi"/>
          <w:b/>
        </w:rPr>
      </w:pPr>
      <w:bookmarkStart w:id="523" w:name="_Toc399626380"/>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22</w:t>
      </w:r>
      <w:r w:rsidR="005D68E7" w:rsidRPr="00B53423">
        <w:rPr>
          <w:rFonts w:asciiTheme="minorHAnsi" w:hAnsiTheme="minorHAnsi" w:cstheme="minorHAnsi"/>
          <w:b/>
        </w:rPr>
        <w:fldChar w:fldCharType="end"/>
      </w:r>
      <w:r w:rsidRPr="00B53423">
        <w:rPr>
          <w:rFonts w:asciiTheme="minorHAnsi" w:hAnsiTheme="minorHAnsi" w:cstheme="minorHAnsi"/>
          <w:b/>
        </w:rPr>
        <w:t>: REVENUE FOR FY 2010-11 (Rs. Crore)</w:t>
      </w:r>
      <w:bookmarkEnd w:id="523"/>
    </w:p>
    <w:tbl>
      <w:tblPr>
        <w:tblW w:w="7720" w:type="dxa"/>
        <w:tblInd w:w="720" w:type="dxa"/>
        <w:tblLook w:val="04A0"/>
      </w:tblPr>
      <w:tblGrid>
        <w:gridCol w:w="2760"/>
        <w:gridCol w:w="1240"/>
        <w:gridCol w:w="1240"/>
        <w:gridCol w:w="1240"/>
        <w:gridCol w:w="1240"/>
      </w:tblGrid>
      <w:tr w:rsidR="004C74C2" w:rsidRPr="00B53423" w:rsidTr="009268E4">
        <w:trPr>
          <w:trHeight w:val="900"/>
          <w:tblHeader/>
        </w:trPr>
        <w:tc>
          <w:tcPr>
            <w:tcW w:w="276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Revenue from Tariff</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ind w:right="94"/>
              <w:jc w:val="right"/>
              <w:rPr>
                <w:rFonts w:cs="Calibri"/>
                <w:color w:val="000000"/>
                <w:lang w:val="en-US"/>
              </w:rPr>
            </w:pPr>
            <w:r w:rsidRPr="00B53423">
              <w:rPr>
                <w:rFonts w:cs="Calibri"/>
                <w:color w:val="000000"/>
                <w:lang w:val="en-US"/>
              </w:rPr>
              <w:t>895.00</w:t>
            </w:r>
          </w:p>
          <w:p w:rsidR="004C74C2" w:rsidRPr="00B53423" w:rsidRDefault="004C74C2" w:rsidP="0015232B">
            <w:pPr>
              <w:spacing w:line="240" w:lineRule="auto"/>
              <w:ind w:right="94"/>
              <w:jc w:val="left"/>
              <w:rPr>
                <w:rFonts w:cs="Calibri"/>
                <w:color w:val="000000"/>
                <w:lang w:val="en-US"/>
              </w:rPr>
            </w:pPr>
            <w:r w:rsidRPr="00B53423">
              <w:rPr>
                <w:rFonts w:cs="Calibri"/>
                <w:color w:val="000000"/>
                <w:lang w:val="en-US"/>
              </w:rPr>
              <w:t> </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ind w:right="74"/>
              <w:jc w:val="right"/>
              <w:rPr>
                <w:rFonts w:cs="Calibri"/>
                <w:color w:val="000000"/>
                <w:lang w:val="en-US"/>
              </w:rPr>
            </w:pPr>
            <w:r w:rsidRPr="00B53423">
              <w:rPr>
                <w:rFonts w:cs="Calibri"/>
                <w:color w:val="000000"/>
                <w:lang w:val="en-US"/>
              </w:rPr>
              <w:t>942.06</w:t>
            </w:r>
          </w:p>
          <w:p w:rsidR="004C74C2" w:rsidRPr="00B53423" w:rsidRDefault="004C74C2" w:rsidP="0015232B">
            <w:pPr>
              <w:spacing w:line="240" w:lineRule="auto"/>
              <w:ind w:right="74"/>
              <w:jc w:val="left"/>
              <w:rPr>
                <w:rFonts w:cs="Calibri"/>
                <w:color w:val="000000"/>
                <w:lang w:val="en-US"/>
              </w:rPr>
            </w:pPr>
            <w:r w:rsidRPr="00B53423">
              <w:rPr>
                <w:rFonts w:cs="Calibri"/>
                <w:color w:val="000000"/>
                <w:lang w:val="en-US"/>
              </w:rPr>
              <w:t> </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ind w:right="74"/>
              <w:jc w:val="right"/>
              <w:rPr>
                <w:rFonts w:cs="Calibri"/>
                <w:color w:val="000000"/>
                <w:lang w:val="en-US"/>
              </w:rPr>
            </w:pPr>
            <w:r w:rsidRPr="00B53423">
              <w:rPr>
                <w:rFonts w:cs="Calibri"/>
                <w:color w:val="000000"/>
                <w:lang w:val="en-US"/>
              </w:rPr>
              <w:t>942.06</w:t>
            </w:r>
          </w:p>
          <w:p w:rsidR="004C74C2" w:rsidRPr="00B53423" w:rsidRDefault="004C74C2" w:rsidP="0015232B">
            <w:pPr>
              <w:spacing w:line="240" w:lineRule="auto"/>
              <w:ind w:right="74"/>
              <w:jc w:val="left"/>
              <w:rPr>
                <w:rFonts w:cs="Calibri"/>
                <w:color w:val="000000"/>
                <w:lang w:val="en-US"/>
              </w:rPr>
            </w:pPr>
            <w:r w:rsidRPr="00B53423">
              <w:rPr>
                <w:rFonts w:cs="Calibri"/>
                <w:color w:val="000000"/>
                <w:lang w:val="en-US"/>
              </w:rPr>
              <w:t> </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ind w:right="74"/>
              <w:jc w:val="right"/>
              <w:rPr>
                <w:rFonts w:cs="Calibri"/>
                <w:color w:val="000000"/>
                <w:lang w:val="en-US"/>
              </w:rPr>
            </w:pPr>
            <w:r w:rsidRPr="00B53423">
              <w:rPr>
                <w:rFonts w:cs="Calibri"/>
                <w:color w:val="000000"/>
                <w:lang w:val="en-US"/>
              </w:rPr>
              <w:t>942.06</w:t>
            </w:r>
          </w:p>
          <w:p w:rsidR="004C74C2" w:rsidRPr="00B53423" w:rsidRDefault="004C74C2" w:rsidP="0015232B">
            <w:pPr>
              <w:spacing w:line="240" w:lineRule="auto"/>
              <w:ind w:right="74"/>
              <w:jc w:val="left"/>
              <w:rPr>
                <w:rFonts w:cs="Calibri"/>
                <w:color w:val="000000"/>
                <w:lang w:val="en-US"/>
              </w:rPr>
            </w:pPr>
            <w:r w:rsidRPr="00B53423">
              <w:rPr>
                <w:rFonts w:cs="Calibri"/>
                <w:color w:val="000000"/>
                <w:lang w:val="en-US"/>
              </w:rPr>
              <w:t> </w:t>
            </w: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Delayed Payment Surcharge</w:t>
            </w: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94"/>
              <w:jc w:val="left"/>
              <w:rPr>
                <w:rFonts w:cs="Calibri"/>
                <w:color w:val="000000"/>
                <w:lang w:val="en-US"/>
              </w:rPr>
            </w:pP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74"/>
              <w:jc w:val="left"/>
              <w:rPr>
                <w:rFonts w:cs="Calibri"/>
                <w:color w:val="000000"/>
                <w:lang w:val="en-US"/>
              </w:rPr>
            </w:pP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74"/>
              <w:jc w:val="left"/>
              <w:rPr>
                <w:rFonts w:cs="Calibri"/>
                <w:color w:val="000000"/>
                <w:lang w:val="en-US"/>
              </w:rPr>
            </w:pP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74"/>
              <w:jc w:val="left"/>
              <w:rPr>
                <w:rFonts w:cs="Calibri"/>
                <w:color w:val="000000"/>
                <w:lang w:val="en-US"/>
              </w:rPr>
            </w:pP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Non Tariff Income</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ind w:right="94"/>
              <w:jc w:val="right"/>
              <w:rPr>
                <w:rFonts w:cs="Calibri"/>
                <w:color w:val="000000"/>
                <w:lang w:val="en-US"/>
              </w:rPr>
            </w:pPr>
            <w:r w:rsidRPr="00B53423">
              <w:rPr>
                <w:rFonts w:cs="Calibri"/>
                <w:color w:val="000000"/>
                <w:lang w:val="en-US"/>
              </w:rPr>
              <w:t>55.00</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ind w:right="74"/>
              <w:jc w:val="right"/>
              <w:rPr>
                <w:rFonts w:cs="Calibri"/>
                <w:color w:val="000000"/>
                <w:lang w:val="en-US"/>
              </w:rPr>
            </w:pPr>
            <w:r w:rsidRPr="00B53423">
              <w:rPr>
                <w:rFonts w:cs="Calibri"/>
                <w:color w:val="000000"/>
                <w:lang w:val="en-US"/>
              </w:rPr>
              <w:t>5.94</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ind w:right="74"/>
              <w:jc w:val="right"/>
              <w:rPr>
                <w:rFonts w:cs="Calibri"/>
                <w:color w:val="000000"/>
                <w:lang w:val="en-US"/>
              </w:rPr>
            </w:pPr>
            <w:r w:rsidRPr="00B53423">
              <w:rPr>
                <w:rFonts w:cs="Calibri"/>
                <w:color w:val="000000"/>
                <w:lang w:val="en-US"/>
              </w:rPr>
              <w:t>5.94</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ind w:right="74"/>
              <w:jc w:val="right"/>
              <w:rPr>
                <w:rFonts w:cs="Calibri"/>
                <w:color w:val="000000"/>
                <w:lang w:val="en-US"/>
              </w:rPr>
            </w:pPr>
            <w:r w:rsidRPr="00B53423">
              <w:rPr>
                <w:rFonts w:cs="Calibri"/>
                <w:color w:val="000000"/>
                <w:lang w:val="en-US"/>
              </w:rPr>
              <w:t>5.94</w:t>
            </w: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Revenue</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94"/>
              <w:jc w:val="right"/>
              <w:rPr>
                <w:rFonts w:cs="Calibri"/>
                <w:b/>
                <w:bCs/>
                <w:color w:val="000000"/>
                <w:lang w:val="en-US"/>
              </w:rPr>
            </w:pPr>
            <w:r w:rsidRPr="00B53423">
              <w:rPr>
                <w:rFonts w:cs="Calibri"/>
                <w:b/>
                <w:bCs/>
                <w:color w:val="000000"/>
                <w:lang w:val="en-US"/>
              </w:rPr>
              <w:t>950.00</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74"/>
              <w:jc w:val="right"/>
              <w:rPr>
                <w:rFonts w:cs="Calibri"/>
                <w:b/>
                <w:bCs/>
                <w:color w:val="000000"/>
                <w:lang w:val="en-US"/>
              </w:rPr>
            </w:pPr>
            <w:r w:rsidRPr="00B53423">
              <w:rPr>
                <w:rFonts w:cs="Calibri"/>
                <w:b/>
                <w:bCs/>
                <w:color w:val="000000"/>
                <w:lang w:val="en-US"/>
              </w:rPr>
              <w:t>948.00</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74"/>
              <w:jc w:val="right"/>
              <w:rPr>
                <w:rFonts w:cs="Calibri"/>
                <w:b/>
                <w:bCs/>
                <w:color w:val="000000"/>
                <w:lang w:val="en-US"/>
              </w:rPr>
            </w:pPr>
            <w:r w:rsidRPr="00B53423">
              <w:rPr>
                <w:rFonts w:cs="Calibri"/>
                <w:b/>
                <w:bCs/>
                <w:color w:val="000000"/>
                <w:lang w:val="en-US"/>
              </w:rPr>
              <w:t>948.00</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74"/>
              <w:jc w:val="right"/>
              <w:rPr>
                <w:rFonts w:cs="Calibri"/>
                <w:b/>
                <w:bCs/>
                <w:color w:val="000000"/>
                <w:lang w:val="en-US"/>
              </w:rPr>
            </w:pPr>
            <w:r w:rsidRPr="00B53423">
              <w:rPr>
                <w:rFonts w:cs="Calibri"/>
                <w:b/>
                <w:bCs/>
                <w:color w:val="000000"/>
                <w:lang w:val="en-US"/>
              </w:rPr>
              <w:t>948.00</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rPr>
          <w:caps/>
        </w:rPr>
      </w:pPr>
      <w:bookmarkStart w:id="524" w:name="_Toc399626201"/>
      <w:r w:rsidRPr="00B53423">
        <w:rPr>
          <w:caps/>
        </w:rPr>
        <w:t>AGGREGATE REVenue requirement and revenue gap/ (surplus) for fY 2010-11 after truing up</w:t>
      </w:r>
      <w:bookmarkEnd w:id="524"/>
    </w:p>
    <w:p w:rsidR="004C74C2" w:rsidRPr="00B53423" w:rsidRDefault="004C74C2" w:rsidP="0015232B">
      <w:pPr>
        <w:pStyle w:val="Heading2"/>
        <w:keepNext w:val="0"/>
        <w:numPr>
          <w:ilvl w:val="0"/>
          <w:numId w:val="0"/>
        </w:numPr>
        <w:ind w:left="450"/>
        <w:rPr>
          <w:caps/>
        </w:rPr>
      </w:pPr>
    </w:p>
    <w:p w:rsidR="004C74C2" w:rsidRPr="00B53423" w:rsidRDefault="004C74C2" w:rsidP="0015232B">
      <w:pPr>
        <w:pStyle w:val="Heading3"/>
        <w:keepNext w:val="0"/>
        <w:ind w:hanging="1080"/>
      </w:pPr>
      <w:r w:rsidRPr="00B53423">
        <w:t>The Aggregate Revenue Requirement for FY 2010-11 after final Truing-up is summarised in the Table below:</w:t>
      </w:r>
    </w:p>
    <w:p w:rsidR="004C74C2" w:rsidRPr="00B53423" w:rsidRDefault="004C74C2" w:rsidP="0015232B">
      <w:pPr>
        <w:spacing w:before="240"/>
        <w:jc w:val="center"/>
        <w:rPr>
          <w:rFonts w:asciiTheme="minorHAnsi" w:hAnsiTheme="minorHAnsi" w:cstheme="minorHAnsi"/>
          <w:b/>
        </w:rPr>
      </w:pPr>
      <w:bookmarkStart w:id="525" w:name="_Toc399626381"/>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6</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23</w:t>
      </w:r>
      <w:r w:rsidR="005D68E7" w:rsidRPr="00B53423">
        <w:rPr>
          <w:rFonts w:asciiTheme="minorHAnsi" w:hAnsiTheme="minorHAnsi" w:cstheme="minorHAnsi"/>
          <w:b/>
        </w:rPr>
        <w:fldChar w:fldCharType="end"/>
      </w:r>
      <w:r w:rsidRPr="00B53423">
        <w:rPr>
          <w:rFonts w:asciiTheme="minorHAnsi" w:hAnsiTheme="minorHAnsi" w:cstheme="minorHAnsi"/>
          <w:b/>
        </w:rPr>
        <w:t>: ARR, REVENUE AND GAP SUMMARY FOR FY 2010-11 (Rs. Crore)</w:t>
      </w:r>
      <w:bookmarkEnd w:id="525"/>
    </w:p>
    <w:tbl>
      <w:tblPr>
        <w:tblW w:w="8920" w:type="dxa"/>
        <w:tblInd w:w="103" w:type="dxa"/>
        <w:tblLayout w:type="fixed"/>
        <w:tblLook w:val="04A0"/>
      </w:tblPr>
      <w:tblGrid>
        <w:gridCol w:w="3875"/>
        <w:gridCol w:w="1170"/>
        <w:gridCol w:w="1440"/>
        <w:gridCol w:w="1260"/>
        <w:gridCol w:w="1175"/>
      </w:tblGrid>
      <w:tr w:rsidR="004C74C2" w:rsidRPr="00B53423" w:rsidTr="009268E4">
        <w:trPr>
          <w:trHeight w:val="900"/>
          <w:tblHeader/>
        </w:trPr>
        <w:tc>
          <w:tcPr>
            <w:tcW w:w="3875"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Particulars</w:t>
            </w:r>
          </w:p>
        </w:tc>
        <w:tc>
          <w:tcPr>
            <w:tcW w:w="117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Approved</w:t>
            </w:r>
          </w:p>
        </w:tc>
        <w:tc>
          <w:tcPr>
            <w:tcW w:w="14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Actuals as per Audited Accounts</w:t>
            </w:r>
          </w:p>
        </w:tc>
        <w:tc>
          <w:tcPr>
            <w:tcW w:w="126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True-up Petition</w:t>
            </w:r>
          </w:p>
        </w:tc>
        <w:tc>
          <w:tcPr>
            <w:tcW w:w="1175"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Allowable</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(b)</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(c)</w:t>
            </w:r>
          </w:p>
        </w:tc>
        <w:tc>
          <w:tcPr>
            <w:tcW w:w="1260" w:type="dxa"/>
            <w:tcBorders>
              <w:top w:val="nil"/>
              <w:left w:val="nil"/>
              <w:bottom w:val="dotted" w:sz="4" w:space="0" w:color="auto"/>
              <w:right w:val="dotted" w:sz="4" w:space="0" w:color="auto"/>
            </w:tcBorders>
            <w:shd w:val="clear" w:color="000000" w:fill="FFFFFF"/>
            <w:noWrap/>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(d)</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(e)</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 Expenses</w:t>
            </w:r>
          </w:p>
        </w:tc>
        <w:tc>
          <w:tcPr>
            <w:tcW w:w="117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928.00</w:t>
            </w:r>
          </w:p>
        </w:tc>
        <w:tc>
          <w:tcPr>
            <w:tcW w:w="144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921.98</w:t>
            </w:r>
          </w:p>
        </w:tc>
        <w:tc>
          <w:tcPr>
            <w:tcW w:w="126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915.01</w:t>
            </w:r>
          </w:p>
        </w:tc>
        <w:tc>
          <w:tcPr>
            <w:tcW w:w="1175"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939.70</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Employee Expenses</w:t>
            </w:r>
          </w:p>
        </w:tc>
        <w:tc>
          <w:tcPr>
            <w:tcW w:w="117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88.30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93.36</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93.36</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93.36</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Repair and Maintenance Expenses</w:t>
            </w:r>
          </w:p>
        </w:tc>
        <w:tc>
          <w:tcPr>
            <w:tcW w:w="117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21.50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26.73</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26.73</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26.73</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A&amp;G Expenses</w:t>
            </w:r>
          </w:p>
        </w:tc>
        <w:tc>
          <w:tcPr>
            <w:tcW w:w="117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15.60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8.39</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8.39</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8.39</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Gross Interest on Long Term Loans</w:t>
            </w:r>
          </w:p>
        </w:tc>
        <w:tc>
          <w:tcPr>
            <w:tcW w:w="117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12.29</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11.53</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2.68</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2.58</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Finance Charges</w:t>
            </w:r>
          </w:p>
        </w:tc>
        <w:tc>
          <w:tcPr>
            <w:tcW w:w="117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7.00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27.89</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27.89</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4.50</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Interest on Working Capital</w:t>
            </w:r>
          </w:p>
        </w:tc>
        <w:tc>
          <w:tcPr>
            <w:tcW w:w="117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10.37</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0.16</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8.77</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8.77</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Discount to Consumers</w:t>
            </w:r>
          </w:p>
        </w:tc>
        <w:tc>
          <w:tcPr>
            <w:tcW w:w="117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0.00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0.00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0.00</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0.00</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Depreciation</w:t>
            </w:r>
          </w:p>
        </w:tc>
        <w:tc>
          <w:tcPr>
            <w:tcW w:w="117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17.00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17.28</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17.99</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17.99</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Prior Period Expenses</w:t>
            </w:r>
            <w:r w:rsidR="00F03A0C" w:rsidRPr="00B53423">
              <w:rPr>
                <w:rFonts w:cs="Calibri"/>
                <w:color w:val="000000"/>
                <w:lang w:val="en-US"/>
              </w:rPr>
              <w:t xml:space="preserve"> </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0.00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08123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w:t>
            </w:r>
            <w:r w:rsidR="004C74C2" w:rsidRPr="00B53423">
              <w:rPr>
                <w:rFonts w:asciiTheme="minorHAnsi" w:hAnsiTheme="minorHAnsi" w:cstheme="minorHAnsi"/>
              </w:rPr>
              <w:t>0.</w:t>
            </w:r>
            <w:r w:rsidRPr="00B53423">
              <w:rPr>
                <w:rFonts w:asciiTheme="minorHAnsi" w:hAnsiTheme="minorHAnsi" w:cstheme="minorHAnsi"/>
              </w:rPr>
              <w:t>19)</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08123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w:t>
            </w:r>
            <w:r w:rsidR="004C74C2" w:rsidRPr="00B53423">
              <w:rPr>
                <w:rFonts w:asciiTheme="minorHAnsi" w:hAnsiTheme="minorHAnsi" w:cstheme="minorHAnsi"/>
              </w:rPr>
              <w:t>0.19</w:t>
            </w:r>
            <w:r w:rsidRPr="00B53423">
              <w:rPr>
                <w:rFonts w:asciiTheme="minorHAnsi" w:hAnsiTheme="minorHAnsi" w:cstheme="minorHAnsi"/>
              </w:rPr>
              <w:t>)</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0.00</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Other Misc Expenses</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0.00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2.39</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2.39</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0.00</w:t>
            </w:r>
          </w:p>
        </w:tc>
      </w:tr>
      <w:tr w:rsidR="004C74C2" w:rsidRPr="00B53423" w:rsidTr="009268E4">
        <w:trPr>
          <w:trHeight w:val="6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Provision for Bad and Doubtful Debts</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0.00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23.50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46.62</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0.00</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Gross Expenditure</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b/>
                <w:bCs/>
                <w:color w:val="000000"/>
                <w:lang w:val="en-US"/>
              </w:rPr>
            </w:pPr>
            <w:r w:rsidRPr="00B53423">
              <w:rPr>
                <w:rFonts w:asciiTheme="minorHAnsi" w:hAnsiTheme="minorHAnsi" w:cstheme="minorHAnsi"/>
                <w:b/>
                <w:bCs/>
                <w:color w:val="000000"/>
              </w:rPr>
              <w:t>1100.06</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b/>
                <w:bCs/>
                <w:color w:val="000000"/>
                <w:lang w:val="en-US"/>
              </w:rPr>
            </w:pPr>
            <w:r w:rsidRPr="00B53423">
              <w:rPr>
                <w:rFonts w:asciiTheme="minorHAnsi" w:hAnsiTheme="minorHAnsi" w:cstheme="minorHAnsi"/>
                <w:b/>
                <w:bCs/>
                <w:color w:val="000000"/>
              </w:rPr>
              <w:t>1133.22</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b/>
                <w:bCs/>
                <w:color w:val="000000"/>
                <w:lang w:val="en-US"/>
              </w:rPr>
            </w:pPr>
            <w:r w:rsidRPr="00B53423">
              <w:rPr>
                <w:rFonts w:asciiTheme="minorHAnsi" w:hAnsiTheme="minorHAnsi" w:cstheme="minorHAnsi"/>
                <w:b/>
                <w:bCs/>
                <w:color w:val="000000"/>
              </w:rPr>
              <w:t>1149.64</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b/>
                <w:bCs/>
                <w:color w:val="000000"/>
                <w:lang w:val="en-US"/>
              </w:rPr>
            </w:pPr>
            <w:r w:rsidRPr="00B53423">
              <w:rPr>
                <w:rFonts w:asciiTheme="minorHAnsi" w:hAnsiTheme="minorHAnsi" w:cstheme="minorHAnsi"/>
                <w:b/>
                <w:bCs/>
                <w:color w:val="000000"/>
              </w:rPr>
              <w:t>1102.03</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Employee Capitalisation</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color w:val="000000"/>
                <w:lang w:val="en-US"/>
              </w:rPr>
            </w:pPr>
            <w:r w:rsidRPr="00B53423">
              <w:rPr>
                <w:rFonts w:asciiTheme="minorHAnsi" w:hAnsiTheme="minorHAnsi" w:cstheme="minorHAnsi"/>
                <w:color w:val="000000"/>
              </w:rPr>
              <w:t>3.00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color w:val="000000"/>
                <w:lang w:val="en-US"/>
              </w:rPr>
            </w:pPr>
            <w:r w:rsidRPr="00B53423">
              <w:rPr>
                <w:rFonts w:asciiTheme="minorHAnsi" w:hAnsiTheme="minorHAnsi" w:cstheme="minorHAnsi"/>
                <w:color w:val="000000"/>
              </w:rPr>
              <w:t>3.25</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color w:val="000000"/>
                <w:lang w:val="en-US"/>
              </w:rPr>
            </w:pPr>
            <w:r w:rsidRPr="00B53423">
              <w:rPr>
                <w:rFonts w:asciiTheme="minorHAnsi" w:hAnsiTheme="minorHAnsi" w:cstheme="minorHAnsi"/>
                <w:color w:val="000000"/>
              </w:rPr>
              <w:t>3.25</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color w:val="000000"/>
                <w:lang w:val="en-US"/>
              </w:rPr>
            </w:pPr>
            <w:r w:rsidRPr="00B53423">
              <w:rPr>
                <w:rFonts w:asciiTheme="minorHAnsi" w:hAnsiTheme="minorHAnsi" w:cstheme="minorHAnsi"/>
                <w:color w:val="000000"/>
              </w:rPr>
              <w:t>3.25</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A&amp;G Capitalisation</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color w:val="000000"/>
                <w:lang w:val="en-US"/>
              </w:rPr>
            </w:pPr>
            <w:r w:rsidRPr="00B53423">
              <w:rPr>
                <w:rFonts w:asciiTheme="minorHAnsi" w:hAnsiTheme="minorHAnsi" w:cstheme="minorHAnsi"/>
                <w:color w:val="000000"/>
              </w:rPr>
              <w:t>0.01</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color w:val="000000"/>
                <w:lang w:val="en-US"/>
              </w:rPr>
            </w:pPr>
            <w:r w:rsidRPr="00B53423">
              <w:rPr>
                <w:rFonts w:asciiTheme="minorHAnsi" w:hAnsiTheme="minorHAnsi" w:cstheme="minorHAnsi"/>
                <w:color w:val="000000"/>
              </w:rPr>
              <w:t>0.00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color w:val="000000"/>
                <w:lang w:val="en-US"/>
              </w:rPr>
            </w:pPr>
            <w:r w:rsidRPr="00B53423">
              <w:rPr>
                <w:rFonts w:asciiTheme="minorHAnsi" w:hAnsiTheme="minorHAnsi" w:cstheme="minorHAnsi"/>
                <w:color w:val="000000"/>
              </w:rPr>
              <w:t>0.00</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color w:val="000000"/>
                <w:lang w:val="en-US"/>
              </w:rPr>
            </w:pPr>
            <w:r w:rsidRPr="00B53423">
              <w:rPr>
                <w:rFonts w:asciiTheme="minorHAnsi" w:hAnsiTheme="minorHAnsi" w:cstheme="minorHAnsi"/>
                <w:color w:val="000000"/>
              </w:rPr>
              <w:t>0.00</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Interest Capitalisation</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color w:val="000000"/>
                <w:lang w:val="en-US"/>
              </w:rPr>
            </w:pPr>
            <w:r w:rsidRPr="00B53423">
              <w:rPr>
                <w:rFonts w:asciiTheme="minorHAnsi" w:hAnsiTheme="minorHAnsi" w:cstheme="minorHAnsi"/>
                <w:color w:val="000000"/>
              </w:rPr>
              <w:t>0.38</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color w:val="000000"/>
                <w:lang w:val="en-US"/>
              </w:rPr>
            </w:pPr>
            <w:r w:rsidRPr="00B53423">
              <w:rPr>
                <w:rFonts w:asciiTheme="minorHAnsi" w:hAnsiTheme="minorHAnsi" w:cstheme="minorHAnsi"/>
                <w:color w:val="000000"/>
              </w:rPr>
              <w:t>0.00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color w:val="000000"/>
                <w:lang w:val="en-US"/>
              </w:rPr>
            </w:pPr>
            <w:r w:rsidRPr="00B53423">
              <w:rPr>
                <w:rFonts w:asciiTheme="minorHAnsi" w:hAnsiTheme="minorHAnsi" w:cstheme="minorHAnsi"/>
                <w:color w:val="000000"/>
              </w:rPr>
              <w:t>0.00</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color w:val="000000"/>
                <w:lang w:val="en-US"/>
              </w:rPr>
            </w:pPr>
            <w:r w:rsidRPr="00B53423">
              <w:rPr>
                <w:rFonts w:asciiTheme="minorHAnsi" w:hAnsiTheme="minorHAnsi" w:cstheme="minorHAnsi"/>
                <w:color w:val="000000"/>
              </w:rPr>
              <w:t>0.00</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Capitalisation</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b/>
                <w:bCs/>
                <w:color w:val="000000"/>
                <w:lang w:val="en-US"/>
              </w:rPr>
            </w:pPr>
            <w:r w:rsidRPr="00B53423">
              <w:rPr>
                <w:rFonts w:asciiTheme="minorHAnsi" w:hAnsiTheme="minorHAnsi" w:cstheme="minorHAnsi"/>
                <w:b/>
                <w:bCs/>
                <w:color w:val="000000"/>
              </w:rPr>
              <w:t>3.39</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b/>
                <w:bCs/>
                <w:color w:val="000000"/>
                <w:lang w:val="en-US"/>
              </w:rPr>
            </w:pPr>
            <w:r w:rsidRPr="00B53423">
              <w:rPr>
                <w:rFonts w:asciiTheme="minorHAnsi" w:hAnsiTheme="minorHAnsi" w:cstheme="minorHAnsi"/>
                <w:b/>
                <w:bCs/>
                <w:color w:val="000000"/>
              </w:rPr>
              <w:t>3.26</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b/>
                <w:bCs/>
                <w:color w:val="000000"/>
                <w:lang w:val="en-US"/>
              </w:rPr>
            </w:pPr>
            <w:r w:rsidRPr="00B53423">
              <w:rPr>
                <w:rFonts w:asciiTheme="minorHAnsi" w:hAnsiTheme="minorHAnsi" w:cstheme="minorHAnsi"/>
                <w:b/>
                <w:bCs/>
                <w:color w:val="000000"/>
              </w:rPr>
              <w:t>3.26</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b/>
                <w:bCs/>
                <w:color w:val="000000"/>
                <w:lang w:val="en-US"/>
              </w:rPr>
            </w:pPr>
            <w:r w:rsidRPr="00B53423">
              <w:rPr>
                <w:rFonts w:asciiTheme="minorHAnsi" w:hAnsiTheme="minorHAnsi" w:cstheme="minorHAnsi"/>
                <w:b/>
                <w:bCs/>
                <w:color w:val="000000"/>
              </w:rPr>
              <w:t>3.26</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Expenditure</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b/>
                <w:bCs/>
                <w:color w:val="000000"/>
                <w:lang w:val="en-US"/>
              </w:rPr>
            </w:pPr>
            <w:r w:rsidRPr="00B53423">
              <w:rPr>
                <w:rFonts w:asciiTheme="minorHAnsi" w:hAnsiTheme="minorHAnsi" w:cstheme="minorHAnsi"/>
                <w:b/>
                <w:bCs/>
                <w:color w:val="000000"/>
              </w:rPr>
              <w:t>1096.67</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b/>
                <w:bCs/>
                <w:color w:val="000000"/>
                <w:lang w:val="en-US"/>
              </w:rPr>
            </w:pPr>
            <w:r w:rsidRPr="00B53423">
              <w:rPr>
                <w:rFonts w:asciiTheme="minorHAnsi" w:hAnsiTheme="minorHAnsi" w:cstheme="minorHAnsi"/>
                <w:b/>
                <w:bCs/>
                <w:color w:val="000000"/>
              </w:rPr>
              <w:t>1129.96</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b/>
                <w:bCs/>
                <w:color w:val="000000"/>
                <w:lang w:val="en-US"/>
              </w:rPr>
            </w:pPr>
            <w:r w:rsidRPr="00B53423">
              <w:rPr>
                <w:rFonts w:asciiTheme="minorHAnsi" w:hAnsiTheme="minorHAnsi" w:cstheme="minorHAnsi"/>
                <w:b/>
                <w:bCs/>
                <w:color w:val="000000"/>
              </w:rPr>
              <w:t>1146.38</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b/>
                <w:bCs/>
                <w:color w:val="000000"/>
                <w:lang w:val="en-US"/>
              </w:rPr>
            </w:pPr>
            <w:r w:rsidRPr="00B53423">
              <w:rPr>
                <w:rFonts w:asciiTheme="minorHAnsi" w:hAnsiTheme="minorHAnsi" w:cstheme="minorHAnsi"/>
                <w:b/>
                <w:bCs/>
                <w:color w:val="000000"/>
              </w:rPr>
              <w:t>1098.77</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Add: Return on Equity</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 </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 </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 </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 </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Non-tariff Incomes</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55.00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5.94</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5.94</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5.94</w:t>
            </w:r>
          </w:p>
        </w:tc>
      </w:tr>
      <w:tr w:rsidR="004C74C2" w:rsidRPr="00B53423" w:rsidTr="009268E4">
        <w:trPr>
          <w:trHeight w:val="6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Add: Efficiency Gain</w:t>
            </w:r>
            <w:r w:rsidR="00F512B9" w:rsidRPr="00B53423">
              <w:rPr>
                <w:rFonts w:cs="Calibri"/>
                <w:color w:val="000000"/>
                <w:lang w:val="en-US"/>
              </w:rPr>
              <w:t>s</w:t>
            </w:r>
            <w:r w:rsidRPr="00B53423">
              <w:rPr>
                <w:rFonts w:cs="Calibri"/>
                <w:color w:val="000000"/>
                <w:lang w:val="en-US"/>
              </w:rPr>
              <w:t xml:space="preserve"> </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 </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 </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3.58</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9.87</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Annual Revenue Requirement</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b/>
                <w:bCs/>
                <w:color w:val="000000"/>
                <w:lang w:val="en-US"/>
              </w:rPr>
            </w:pPr>
            <w:r w:rsidRPr="00B53423">
              <w:rPr>
                <w:rFonts w:asciiTheme="minorHAnsi" w:hAnsiTheme="minorHAnsi" w:cstheme="minorHAnsi"/>
                <w:b/>
                <w:bCs/>
                <w:color w:val="000000"/>
              </w:rPr>
              <w:t>1041.67</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b/>
                <w:bCs/>
                <w:color w:val="000000"/>
                <w:lang w:val="en-US"/>
              </w:rPr>
            </w:pPr>
            <w:r w:rsidRPr="00B53423">
              <w:rPr>
                <w:rFonts w:asciiTheme="minorHAnsi" w:hAnsiTheme="minorHAnsi" w:cstheme="minorHAnsi"/>
                <w:b/>
                <w:bCs/>
                <w:color w:val="000000"/>
              </w:rPr>
              <w:t>1124.02</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b/>
                <w:bCs/>
                <w:color w:val="000000"/>
                <w:lang w:val="en-US"/>
              </w:rPr>
            </w:pPr>
            <w:r w:rsidRPr="00B53423">
              <w:rPr>
                <w:rFonts w:asciiTheme="minorHAnsi" w:hAnsiTheme="minorHAnsi" w:cstheme="minorHAnsi"/>
                <w:b/>
                <w:bCs/>
                <w:color w:val="000000"/>
              </w:rPr>
              <w:t>1140.44</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b/>
                <w:bCs/>
                <w:color w:val="000000"/>
                <w:lang w:val="en-US"/>
              </w:rPr>
            </w:pPr>
            <w:r w:rsidRPr="00B53423">
              <w:rPr>
                <w:rFonts w:asciiTheme="minorHAnsi" w:hAnsiTheme="minorHAnsi" w:cstheme="minorHAnsi"/>
                <w:b/>
                <w:bCs/>
                <w:color w:val="000000"/>
              </w:rPr>
              <w:t>1102.71</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Revenue from Tariff incl DPS</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895.00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rPr>
              <w:t>942.06</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lang w:val="en-US"/>
              </w:rPr>
            </w:pPr>
            <w:r w:rsidRPr="00B53423">
              <w:rPr>
                <w:rFonts w:asciiTheme="minorHAnsi" w:hAnsiTheme="minorHAnsi" w:cstheme="minorHAnsi"/>
              </w:rPr>
              <w:t>942.06</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lang w:val="en-US"/>
              </w:rPr>
            </w:pPr>
            <w:r w:rsidRPr="00B53423">
              <w:rPr>
                <w:rFonts w:asciiTheme="minorHAnsi" w:hAnsiTheme="minorHAnsi" w:cstheme="minorHAnsi"/>
              </w:rPr>
              <w:t>942.06</w:t>
            </w:r>
          </w:p>
        </w:tc>
      </w:tr>
      <w:tr w:rsidR="004C74C2" w:rsidRPr="00B53423" w:rsidTr="009268E4">
        <w:trPr>
          <w:trHeight w:val="300"/>
        </w:trPr>
        <w:tc>
          <w:tcPr>
            <w:tcW w:w="387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Revenue Gap</w:t>
            </w:r>
          </w:p>
        </w:tc>
        <w:tc>
          <w:tcPr>
            <w:tcW w:w="117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b/>
                <w:bCs/>
                <w:color w:val="000000"/>
                <w:lang w:val="en-US"/>
              </w:rPr>
            </w:pPr>
            <w:r w:rsidRPr="00B53423">
              <w:rPr>
                <w:rFonts w:asciiTheme="minorHAnsi" w:hAnsiTheme="minorHAnsi" w:cstheme="minorHAnsi"/>
                <w:b/>
                <w:bCs/>
                <w:color w:val="000000"/>
              </w:rPr>
              <w:t>146.67</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252"/>
              <w:jc w:val="right"/>
              <w:rPr>
                <w:rFonts w:asciiTheme="minorHAnsi" w:hAnsiTheme="minorHAnsi" w:cstheme="minorHAnsi"/>
                <w:b/>
                <w:bCs/>
                <w:color w:val="000000"/>
                <w:lang w:val="en-US"/>
              </w:rPr>
            </w:pPr>
            <w:r w:rsidRPr="00B53423">
              <w:rPr>
                <w:rFonts w:asciiTheme="minorHAnsi" w:hAnsiTheme="minorHAnsi" w:cstheme="minorHAnsi"/>
                <w:b/>
                <w:bCs/>
                <w:color w:val="000000"/>
              </w:rPr>
              <w:t>181.97</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62"/>
              <w:jc w:val="right"/>
              <w:rPr>
                <w:rFonts w:asciiTheme="minorHAnsi" w:hAnsiTheme="minorHAnsi" w:cstheme="minorHAnsi"/>
                <w:b/>
                <w:bCs/>
                <w:color w:val="000000"/>
                <w:lang w:val="en-US"/>
              </w:rPr>
            </w:pPr>
            <w:r w:rsidRPr="00B53423">
              <w:rPr>
                <w:rFonts w:asciiTheme="minorHAnsi" w:hAnsiTheme="minorHAnsi" w:cstheme="minorHAnsi"/>
                <w:b/>
                <w:bCs/>
                <w:color w:val="000000"/>
              </w:rPr>
              <w:t>198.39</w:t>
            </w:r>
          </w:p>
        </w:tc>
        <w:tc>
          <w:tcPr>
            <w:tcW w:w="1175"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9"/>
              <w:jc w:val="right"/>
              <w:rPr>
                <w:rFonts w:asciiTheme="minorHAnsi" w:hAnsiTheme="minorHAnsi" w:cstheme="minorHAnsi"/>
                <w:b/>
                <w:bCs/>
                <w:color w:val="000000"/>
                <w:lang w:val="en-US"/>
              </w:rPr>
            </w:pPr>
            <w:r w:rsidRPr="00B53423">
              <w:rPr>
                <w:rFonts w:asciiTheme="minorHAnsi" w:hAnsiTheme="minorHAnsi" w:cstheme="minorHAnsi"/>
                <w:b/>
                <w:bCs/>
                <w:color w:val="000000"/>
              </w:rPr>
              <w:t>160.65</w:t>
            </w:r>
          </w:p>
        </w:tc>
      </w:tr>
    </w:tbl>
    <w:p w:rsidR="004C74C2" w:rsidRPr="00B53423" w:rsidRDefault="004C74C2" w:rsidP="0015232B">
      <w:pPr>
        <w:spacing w:line="240" w:lineRule="auto"/>
        <w:rPr>
          <w:rFonts w:ascii="Arial" w:hAnsi="Arial" w:cs="Arial"/>
          <w:i/>
          <w:iCs/>
          <w:sz w:val="20"/>
          <w:szCs w:val="20"/>
        </w:rPr>
      </w:pPr>
      <w:r w:rsidRPr="00B53423">
        <w:rPr>
          <w:rFonts w:ascii="Arial" w:hAnsi="Arial" w:cs="Arial"/>
          <w:i/>
          <w:iCs/>
          <w:sz w:val="20"/>
          <w:szCs w:val="20"/>
        </w:rPr>
        <w:t># Apportionment of O&amp;M Expenses of UPPCL has been allowed while computing BST</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requested the Commission to consider the revenue side True-up and expense side True-up as per the aforementioned Sections wherein the net revenue gap has been computed at Rs. 194.81 Crore before considering any efficiency gains. The Petitioner further submitted that it is also entitled for efficiency gains of Rs. 3.58 Crore; thereby the net entitlement under the True-up for FY 2010-11 is Rs. 198.39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However, as observed from the above Table, against the gap of Rs. 198.39 Crore claimed by the Petitioner for Truing-up of FY 2010-11, the Commission has worked out the gap of Rs.  160.65 Crore while carrying out the Truing-up on the basis of the Audited Accounts. The Commission has discussed the treatment of above revenue gap subsequently in this Order.</w:t>
      </w:r>
    </w:p>
    <w:p w:rsidR="004C74C2" w:rsidRPr="00B53423" w:rsidRDefault="004C74C2" w:rsidP="0015232B">
      <w:pPr>
        <w:pStyle w:val="Heading3"/>
        <w:keepNext w:val="0"/>
        <w:numPr>
          <w:ilvl w:val="0"/>
          <w:numId w:val="0"/>
        </w:numPr>
        <w:ind w:left="450"/>
      </w:pPr>
    </w:p>
    <w:p w:rsidR="004C74C2" w:rsidRPr="00B53423" w:rsidRDefault="004C74C2" w:rsidP="0015232B">
      <w:pPr>
        <w:spacing w:before="0" w:after="200"/>
        <w:jc w:val="left"/>
        <w:rPr>
          <w:rFonts w:cs="Arial"/>
          <w:b/>
          <w:bCs/>
          <w:color w:val="333399"/>
          <w:kern w:val="32"/>
          <w:szCs w:val="32"/>
        </w:rPr>
      </w:pPr>
      <w:r w:rsidRPr="00B53423">
        <w:br w:type="page"/>
      </w:r>
    </w:p>
    <w:p w:rsidR="004C74C2" w:rsidRPr="00B53423" w:rsidRDefault="003A6B3B" w:rsidP="0015232B">
      <w:pPr>
        <w:pStyle w:val="Heading1"/>
        <w:keepNext w:val="0"/>
        <w:numPr>
          <w:ilvl w:val="0"/>
          <w:numId w:val="1"/>
        </w:numPr>
        <w:ind w:left="720" w:hanging="1080"/>
        <w:rPr>
          <w:color w:val="auto"/>
        </w:rPr>
      </w:pPr>
      <w:bookmarkStart w:id="526" w:name="_Toc399626202"/>
      <w:r w:rsidRPr="00B53423">
        <w:rPr>
          <w:color w:val="auto"/>
        </w:rPr>
        <w:t>TRUING UP OF AGGREGATE REVENUE REQUIREMENT FOR FY 2011-12</w:t>
      </w:r>
      <w:bookmarkEnd w:id="526"/>
      <w:r w:rsidRPr="00B53423">
        <w:rPr>
          <w:color w:val="auto"/>
        </w:rPr>
        <w:t xml:space="preserv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527" w:name="_Toc399626203"/>
      <w:r w:rsidRPr="00B53423">
        <w:t>INTRODUCTION</w:t>
      </w:r>
      <w:bookmarkEnd w:id="527"/>
    </w:p>
    <w:p w:rsidR="00955630" w:rsidRPr="00B53423" w:rsidRDefault="00955630" w:rsidP="0015232B">
      <w:pPr>
        <w:pStyle w:val="Heading2"/>
        <w:keepNext w:val="0"/>
        <w:numPr>
          <w:ilvl w:val="0"/>
          <w:numId w:val="0"/>
        </w:numPr>
        <w:ind w:left="720"/>
      </w:pPr>
    </w:p>
    <w:p w:rsidR="004C74C2" w:rsidRPr="00B53423" w:rsidRDefault="004C74C2" w:rsidP="0015232B">
      <w:pPr>
        <w:pStyle w:val="Heading3"/>
        <w:keepNext w:val="0"/>
        <w:ind w:hanging="1080"/>
      </w:pPr>
      <w:r w:rsidRPr="00B53423">
        <w:t>The Petitioner has sought the final Truing-up of expenditure and revenue for FY 2008-09 to FY 2011-12 based on actual expenditure and revenue as per Audited Accounts. In this section, the Commission has analysed all the elements of actual revenue and expenses for FY 2011-12 and has undertaken the truing up of expenses and revenue after prudence check on the data made available by the Petitioner.</w:t>
      </w:r>
    </w:p>
    <w:p w:rsidR="004C74C2" w:rsidRPr="00B53423" w:rsidRDefault="004C74C2" w:rsidP="0015232B">
      <w:pPr>
        <w:pStyle w:val="Heading2"/>
        <w:keepNext w:val="0"/>
        <w:numPr>
          <w:ilvl w:val="0"/>
          <w:numId w:val="0"/>
        </w:numPr>
        <w:ind w:left="450"/>
      </w:pPr>
    </w:p>
    <w:p w:rsidR="004C74C2" w:rsidRPr="00B53423" w:rsidRDefault="004C74C2" w:rsidP="0015232B">
      <w:pPr>
        <w:pStyle w:val="Heading2"/>
        <w:keepNext w:val="0"/>
        <w:ind w:left="720" w:hanging="1080"/>
      </w:pPr>
      <w:bookmarkStart w:id="528" w:name="_Toc399626204"/>
      <w:r w:rsidRPr="00B53423">
        <w:t>POWER PURCHASE QUANTUM AND COST FOR FY 2011-12</w:t>
      </w:r>
      <w:bookmarkEnd w:id="528"/>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19</w:t>
      </w:r>
      <w:r w:rsidRPr="00B53423">
        <w:rPr>
          <w:vertAlign w:val="superscript"/>
        </w:rPr>
        <w:t>th</w:t>
      </w:r>
      <w:r w:rsidRPr="00B53423">
        <w:t xml:space="preserve"> October, 2012 in Petition No. 751 / 2011 and 798 / 2012for FY 2011-12, the Commission had approved the power purchase cost of Rs. 1166.85 Crore towards a projected purchase of 3089.24 MU. The Petitioner submitted that the actual power purchase in FY 2011-12 was 3102.96 MU at a cost of Rs. 1167.62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it has considered the following philosophy for computing the allowable power purchase cost:</w:t>
      </w:r>
    </w:p>
    <w:p w:rsidR="004C74C2" w:rsidRPr="00B53423" w:rsidRDefault="004C74C2" w:rsidP="0015232B">
      <w:pPr>
        <w:pStyle w:val="Heading3"/>
        <w:keepNext w:val="0"/>
        <w:numPr>
          <w:ilvl w:val="0"/>
          <w:numId w:val="0"/>
        </w:numPr>
        <w:ind w:left="720"/>
      </w:pPr>
      <w:r w:rsidRPr="00B53423">
        <w:t xml:space="preserve"> </w:t>
      </w:r>
    </w:p>
    <w:p w:rsidR="004C74C2" w:rsidRPr="00B53423" w:rsidRDefault="004C74C2" w:rsidP="0015232B">
      <w:pPr>
        <w:pStyle w:val="Heading3"/>
        <w:keepNext w:val="0"/>
        <w:numPr>
          <w:ilvl w:val="0"/>
          <w:numId w:val="6"/>
        </w:numPr>
      </w:pPr>
      <w:r w:rsidRPr="00B53423">
        <w:t xml:space="preserve">The Petitioner has first calculated the allowable power purchase input which has been calculated by grossing up the actual energy sales by the approved T&amp;D loss target of FY 2011-12. </w:t>
      </w:r>
    </w:p>
    <w:p w:rsidR="004C74C2" w:rsidRPr="00B53423" w:rsidRDefault="004C74C2" w:rsidP="0015232B">
      <w:pPr>
        <w:pStyle w:val="Heading3"/>
        <w:keepNext w:val="0"/>
        <w:numPr>
          <w:ilvl w:val="0"/>
          <w:numId w:val="0"/>
        </w:numPr>
        <w:ind w:left="1170"/>
      </w:pPr>
    </w:p>
    <w:p w:rsidR="004C74C2" w:rsidRPr="00B53423" w:rsidRDefault="004C74C2" w:rsidP="0015232B">
      <w:pPr>
        <w:pStyle w:val="Heading3"/>
        <w:keepNext w:val="0"/>
        <w:numPr>
          <w:ilvl w:val="0"/>
          <w:numId w:val="6"/>
        </w:numPr>
      </w:pPr>
      <w:r w:rsidRPr="00B53423">
        <w:t>The allowable power purchase cost has been computed by multiplying the derived allowable power purchase input by the actual power purchase rate as per Audited Accounts.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Thus, considering the above philosophy the Petitioner has claimed an allowable power purchase expenses of Rs. 1131.33 Crore in FY 2011-12.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in its Order dated 21</w:t>
      </w:r>
      <w:r w:rsidRPr="00B53423">
        <w:rPr>
          <w:vertAlign w:val="superscript"/>
        </w:rPr>
        <w:t>st</w:t>
      </w:r>
      <w:r w:rsidRPr="00B53423">
        <w:t xml:space="preserve"> May, 2013 has concurred with the philosophy considered by the Petitioner, wherein the efficiency target of T&amp;D loss level, was considered as controllable parameter, and thereupon the power purchase cost consequent to under-achievement of T&amp;D loss was disallowed. The Commission in its </w:t>
      </w:r>
      <w:r w:rsidR="00F126DD" w:rsidRPr="00B53423">
        <w:t xml:space="preserve">Tariff </w:t>
      </w:r>
      <w:r w:rsidRPr="00B53423">
        <w:t xml:space="preserve">Order </w:t>
      </w:r>
      <w:r w:rsidR="00F126DD" w:rsidRPr="00B53423">
        <w:t>of DVVNL for FY 2014-</w:t>
      </w:r>
      <w:proofErr w:type="gramStart"/>
      <w:r w:rsidR="00F126DD" w:rsidRPr="00B53423">
        <w:t xml:space="preserve">15  </w:t>
      </w:r>
      <w:r w:rsidRPr="00B53423">
        <w:t>has</w:t>
      </w:r>
      <w:proofErr w:type="gramEnd"/>
      <w:r w:rsidRPr="00B53423">
        <w:t xml:space="preserve"> determined the trued-up bulk supply tariff of Rs. 3.619 per kWh for FY 2011-12.</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Considering the allowable power purchase quantum of 300</w:t>
      </w:r>
      <w:r w:rsidR="002B3D6B" w:rsidRPr="00B53423">
        <w:t>8.48</w:t>
      </w:r>
      <w:r w:rsidRPr="00B53423">
        <w:t xml:space="preserve"> MU and the </w:t>
      </w:r>
      <w:r w:rsidR="00BA3ECA" w:rsidRPr="00B53423">
        <w:t>T</w:t>
      </w:r>
      <w:r w:rsidRPr="00B53423">
        <w:t>rued</w:t>
      </w:r>
      <w:r w:rsidR="00BA3ECA" w:rsidRPr="00B53423">
        <w:t>-</w:t>
      </w:r>
      <w:r w:rsidRPr="00B53423">
        <w:t xml:space="preserve">up power purchase rate of Rs. 3.619 per kWh, the allowable power purchase cost has been assessed at Rs. 1088.86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Table below summarises the sales, distribution losses, energy balance, power purchase quantum and cost approved in the Tariff Order, as submitted by the Petitioner in the Truing up Petition and as approved by the Commission in this Order:</w:t>
      </w:r>
    </w:p>
    <w:p w:rsidR="004C74C2" w:rsidRPr="00B53423" w:rsidRDefault="004C74C2" w:rsidP="0015232B">
      <w:pPr>
        <w:spacing w:before="0"/>
        <w:jc w:val="center"/>
        <w:rPr>
          <w:rFonts w:asciiTheme="minorHAnsi" w:hAnsiTheme="minorHAnsi" w:cstheme="minorHAnsi"/>
          <w:b/>
        </w:rPr>
      </w:pPr>
    </w:p>
    <w:p w:rsidR="004C74C2" w:rsidRPr="00B53423" w:rsidRDefault="004C74C2" w:rsidP="0015232B">
      <w:pPr>
        <w:spacing w:before="0"/>
        <w:jc w:val="center"/>
        <w:rPr>
          <w:rFonts w:asciiTheme="minorHAnsi" w:hAnsiTheme="minorHAnsi" w:cstheme="minorHAnsi"/>
          <w:b/>
        </w:rPr>
      </w:pPr>
      <w:bookmarkStart w:id="529" w:name="_Toc399626382"/>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w:t>
      </w:r>
      <w:r w:rsidR="005D68E7" w:rsidRPr="00B53423">
        <w:rPr>
          <w:rFonts w:asciiTheme="minorHAnsi" w:hAnsiTheme="minorHAnsi" w:cstheme="minorHAnsi"/>
          <w:b/>
        </w:rPr>
        <w:fldChar w:fldCharType="end"/>
      </w:r>
      <w:r w:rsidRPr="00B53423">
        <w:rPr>
          <w:rFonts w:asciiTheme="minorHAnsi" w:hAnsiTheme="minorHAnsi" w:cstheme="minorHAnsi"/>
          <w:b/>
        </w:rPr>
        <w:t>: ALLOWABLE POWER PURCHASE COST FOR FY 2011-12</w:t>
      </w:r>
      <w:bookmarkEnd w:id="529"/>
    </w:p>
    <w:tbl>
      <w:tblPr>
        <w:tblW w:w="9522" w:type="dxa"/>
        <w:tblInd w:w="-522" w:type="dxa"/>
        <w:tblLook w:val="04A0"/>
      </w:tblPr>
      <w:tblGrid>
        <w:gridCol w:w="3734"/>
        <w:gridCol w:w="1179"/>
        <w:gridCol w:w="1053"/>
        <w:gridCol w:w="1260"/>
        <w:gridCol w:w="1126"/>
        <w:gridCol w:w="1170"/>
      </w:tblGrid>
      <w:tr w:rsidR="004C74C2" w:rsidRPr="00B53423" w:rsidTr="009268E4">
        <w:trPr>
          <w:trHeight w:val="288"/>
        </w:trPr>
        <w:tc>
          <w:tcPr>
            <w:tcW w:w="3780" w:type="dxa"/>
            <w:vMerge w:val="restart"/>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Particulars</w:t>
            </w:r>
          </w:p>
        </w:tc>
        <w:tc>
          <w:tcPr>
            <w:tcW w:w="1179" w:type="dxa"/>
            <w:vMerge w:val="restart"/>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Unit</w:t>
            </w:r>
          </w:p>
        </w:tc>
        <w:tc>
          <w:tcPr>
            <w:tcW w:w="1053" w:type="dxa"/>
            <w:vMerge w:val="restart"/>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Tariff Order</w:t>
            </w:r>
          </w:p>
        </w:tc>
        <w:tc>
          <w:tcPr>
            <w:tcW w:w="1260" w:type="dxa"/>
            <w:vMerge w:val="restart"/>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sz w:val="20"/>
                <w:szCs w:val="20"/>
                <w:lang w:val="en-US"/>
              </w:rPr>
            </w:pPr>
            <w:r w:rsidRPr="00B53423">
              <w:rPr>
                <w:rFonts w:cs="Calibri"/>
                <w:b/>
                <w:bCs/>
                <w:sz w:val="20"/>
                <w:szCs w:val="20"/>
                <w:lang w:val="en-US"/>
              </w:rPr>
              <w:t>Actuals as per Audited Accounts</w:t>
            </w:r>
          </w:p>
        </w:tc>
        <w:tc>
          <w:tcPr>
            <w:tcW w:w="1080" w:type="dxa"/>
            <w:vMerge w:val="restart"/>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1170" w:type="dxa"/>
            <w:vMerge w:val="restart"/>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9268E4">
        <w:trPr>
          <w:trHeight w:val="244"/>
        </w:trPr>
        <w:tc>
          <w:tcPr>
            <w:tcW w:w="3780"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179"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053"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260"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sz w:val="20"/>
                <w:szCs w:val="20"/>
                <w:lang w:val="en-US"/>
              </w:rPr>
            </w:pPr>
          </w:p>
        </w:tc>
        <w:tc>
          <w:tcPr>
            <w:tcW w:w="1080"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c>
          <w:tcPr>
            <w:tcW w:w="1170" w:type="dxa"/>
            <w:vMerge/>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0" w:line="240" w:lineRule="auto"/>
              <w:jc w:val="left"/>
              <w:rPr>
                <w:rFonts w:cs="Calibri"/>
                <w:b/>
                <w:bCs/>
                <w:color w:val="000000"/>
                <w:sz w:val="20"/>
                <w:szCs w:val="20"/>
                <w:lang w:val="en-US"/>
              </w:rPr>
            </w:pPr>
          </w:p>
        </w:tc>
      </w:tr>
      <w:tr w:rsidR="004C74C2" w:rsidRPr="00B53423" w:rsidTr="009268E4">
        <w:trPr>
          <w:trHeight w:val="20"/>
        </w:trPr>
        <w:tc>
          <w:tcPr>
            <w:tcW w:w="378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MU</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3089.24</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3088.95</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3088.95</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3088.95</w:t>
            </w:r>
          </w:p>
        </w:tc>
      </w:tr>
      <w:tr w:rsidR="004C74C2" w:rsidRPr="00B53423" w:rsidTr="009268E4">
        <w:trPr>
          <w:trHeight w:val="144"/>
        </w:trPr>
        <w:tc>
          <w:tcPr>
            <w:tcW w:w="378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Energy Sales</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MU</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2125.80</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2070.23</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2070.23</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2070.23</w:t>
            </w:r>
          </w:p>
        </w:tc>
      </w:tr>
      <w:tr w:rsidR="004C74C2" w:rsidRPr="00B53423" w:rsidTr="009268E4">
        <w:trPr>
          <w:trHeight w:val="300"/>
        </w:trPr>
        <w:tc>
          <w:tcPr>
            <w:tcW w:w="378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2B3D6B" w:rsidP="0015232B">
            <w:pPr>
              <w:spacing w:before="0" w:line="240" w:lineRule="auto"/>
              <w:jc w:val="left"/>
              <w:rPr>
                <w:rFonts w:cs="Calibri"/>
                <w:color w:val="000000"/>
                <w:lang w:val="en-US"/>
              </w:rPr>
            </w:pPr>
            <w:r w:rsidRPr="00B53423">
              <w:rPr>
                <w:rFonts w:cs="Calibri"/>
                <w:color w:val="000000"/>
                <w:lang w:val="en-US"/>
              </w:rPr>
              <w:t>Distribution Loss</w:t>
            </w:r>
            <w:r w:rsidR="004C74C2" w:rsidRPr="00B53423">
              <w:rPr>
                <w:rFonts w:cs="Calibri"/>
                <w:color w:val="000000"/>
                <w:lang w:val="en-US"/>
              </w:rPr>
              <w:t xml:space="preserve"> Loss</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31.19%</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32.98%</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31.19%</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ascii="Arial" w:hAnsi="Arial" w:cs="Arial"/>
                <w:sz w:val="20"/>
                <w:szCs w:val="20"/>
              </w:rPr>
            </w:pPr>
            <w:r w:rsidRPr="00B53423">
              <w:rPr>
                <w:rFonts w:ascii="Arial" w:hAnsi="Arial" w:cs="Arial"/>
                <w:sz w:val="20"/>
                <w:szCs w:val="20"/>
              </w:rPr>
              <w:t>31.19%</w:t>
            </w:r>
          </w:p>
        </w:tc>
      </w:tr>
      <w:tr w:rsidR="004C74C2" w:rsidRPr="00B53423" w:rsidTr="009268E4">
        <w:trPr>
          <w:trHeight w:val="300"/>
        </w:trPr>
        <w:tc>
          <w:tcPr>
            <w:tcW w:w="378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 Cost</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Rs. Crore</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1166.85</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1167.62</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1167.62</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r>
      <w:tr w:rsidR="004C74C2" w:rsidRPr="00B53423" w:rsidTr="009268E4">
        <w:trPr>
          <w:trHeight w:val="300"/>
        </w:trPr>
        <w:tc>
          <w:tcPr>
            <w:tcW w:w="378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 Cost per unit</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Rs. /kWh</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3.777</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3.780</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3.780</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3.619</w:t>
            </w:r>
          </w:p>
        </w:tc>
      </w:tr>
      <w:tr w:rsidR="004C74C2" w:rsidRPr="00B53423" w:rsidTr="009268E4">
        <w:trPr>
          <w:trHeight w:val="300"/>
        </w:trPr>
        <w:tc>
          <w:tcPr>
            <w:tcW w:w="378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Allowable Power Purchase Input</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MU</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3006.50</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3008.48</w:t>
            </w:r>
          </w:p>
        </w:tc>
      </w:tr>
      <w:tr w:rsidR="004C74C2" w:rsidRPr="00B53423" w:rsidTr="009268E4">
        <w:trPr>
          <w:trHeight w:val="377"/>
        </w:trPr>
        <w:tc>
          <w:tcPr>
            <w:tcW w:w="3780" w:type="dxa"/>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Allowable Power Purchase Cost at BST</w:t>
            </w:r>
          </w:p>
        </w:tc>
        <w:tc>
          <w:tcPr>
            <w:tcW w:w="1179"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lang w:val="en-US"/>
              </w:rPr>
              <w:t>Rs.</w:t>
            </w:r>
            <w:r w:rsidR="002B3D6B" w:rsidRPr="00B53423">
              <w:rPr>
                <w:rFonts w:cs="Calibri"/>
                <w:color w:val="000000"/>
                <w:lang w:val="en-US"/>
              </w:rPr>
              <w:t xml:space="preserve"> Crore</w:t>
            </w:r>
          </w:p>
        </w:tc>
        <w:tc>
          <w:tcPr>
            <w:tcW w:w="1053"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c>
          <w:tcPr>
            <w:tcW w:w="126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 </w:t>
            </w:r>
          </w:p>
        </w:tc>
        <w:tc>
          <w:tcPr>
            <w:tcW w:w="108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1131.33</w:t>
            </w:r>
            <w:r w:rsidR="003E399E" w:rsidRPr="00B53423">
              <w:rPr>
                <w:rFonts w:cs="Calibri"/>
                <w:color w:val="000000"/>
              </w:rPr>
              <w:t>*</w:t>
            </w:r>
          </w:p>
        </w:tc>
        <w:tc>
          <w:tcPr>
            <w:tcW w:w="1170" w:type="dxa"/>
            <w:tcBorders>
              <w:top w:val="nil"/>
              <w:left w:val="nil"/>
              <w:bottom w:val="dotted" w:sz="4" w:space="0" w:color="auto"/>
              <w:right w:val="dotted" w:sz="4" w:space="0" w:color="auto"/>
            </w:tcBorders>
            <w:shd w:val="clear" w:color="000000" w:fill="FFFFFF"/>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1088.86</w:t>
            </w:r>
          </w:p>
        </w:tc>
      </w:tr>
    </w:tbl>
    <w:p w:rsidR="004C74C2" w:rsidRPr="00B53423" w:rsidRDefault="003A6B3B" w:rsidP="0015232B">
      <w:pPr>
        <w:pStyle w:val="Heading3"/>
        <w:keepNext w:val="0"/>
        <w:numPr>
          <w:ilvl w:val="0"/>
          <w:numId w:val="0"/>
        </w:numPr>
        <w:ind w:left="450"/>
        <w:rPr>
          <w:i/>
          <w:sz w:val="20"/>
          <w:szCs w:val="20"/>
        </w:rPr>
      </w:pPr>
      <w:r w:rsidRPr="00B53423">
        <w:rPr>
          <w:i/>
          <w:sz w:val="20"/>
          <w:szCs w:val="20"/>
        </w:rPr>
        <w:t>*Power Purchase Cost at pooled cost as submitted by the Petitioner</w:t>
      </w:r>
    </w:p>
    <w:p w:rsidR="00564993" w:rsidRPr="00B53423" w:rsidRDefault="00564993" w:rsidP="0015232B">
      <w:pPr>
        <w:pStyle w:val="Heading2"/>
        <w:keepNext w:val="0"/>
        <w:numPr>
          <w:ilvl w:val="0"/>
          <w:numId w:val="0"/>
        </w:numPr>
        <w:ind w:left="720"/>
      </w:pPr>
    </w:p>
    <w:p w:rsidR="004C74C2" w:rsidRPr="00B53423" w:rsidRDefault="004C74C2" w:rsidP="0015232B">
      <w:pPr>
        <w:pStyle w:val="Heading2"/>
        <w:keepNext w:val="0"/>
        <w:ind w:left="720" w:hanging="1080"/>
      </w:pPr>
      <w:bookmarkStart w:id="530" w:name="_Toc399626205"/>
      <w:r w:rsidRPr="00B53423">
        <w:t>TRANSMISSION CHARGES</w:t>
      </w:r>
      <w:bookmarkEnd w:id="530"/>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19</w:t>
      </w:r>
      <w:r w:rsidRPr="00B53423">
        <w:rPr>
          <w:vertAlign w:val="superscript"/>
        </w:rPr>
        <w:t>th</w:t>
      </w:r>
      <w:r w:rsidRPr="00B53423">
        <w:t xml:space="preserve"> October, 2012 in Petition No. 751 / 2011 and 798 / 2012 for FY 2011-12, the Commission had approved the Transmission Charges of Rs. 50.65 Crore towards a projected power purchase of 3089.24 MU. The Petitioner submitted that the actual Power Purchase in FY 2010-11 was 3102.96 MU incurring </w:t>
      </w:r>
      <w:r w:rsidR="00BA3ECA" w:rsidRPr="00B53423">
        <w:t>T</w:t>
      </w:r>
      <w:r w:rsidRPr="00B53423">
        <w:t xml:space="preserve">ransmission </w:t>
      </w:r>
      <w:r w:rsidR="00BA3ECA" w:rsidRPr="00B53423">
        <w:t>C</w:t>
      </w:r>
      <w:r w:rsidRPr="00B53423">
        <w:t xml:space="preserve">harges to the tune of Rs. 38.92 Crore as per the Audited Accounts. The Petitioner further submitted that the allowable power purchase input for FY 2011-12 works out to 3006.50 MU and therefore for the purpose of claiming the trued of </w:t>
      </w:r>
      <w:r w:rsidR="0073266D" w:rsidRPr="00B53423">
        <w:t>T</w:t>
      </w:r>
      <w:r w:rsidRPr="00B53423">
        <w:t xml:space="preserve">ransmission </w:t>
      </w:r>
      <w:r w:rsidR="0073266D" w:rsidRPr="00B53423">
        <w:t>C</w:t>
      </w:r>
      <w:r w:rsidRPr="00B53423">
        <w:t xml:space="preserve">harges this allowable power purchase input has been taken into consideration. The Petitioner further submitted that </w:t>
      </w:r>
      <w:proofErr w:type="gramStart"/>
      <w:r w:rsidRPr="00B53423">
        <w:t>the per</w:t>
      </w:r>
      <w:proofErr w:type="gramEnd"/>
      <w:r w:rsidRPr="00B53423">
        <w:t xml:space="preserve"> unit rate of Transmission </w:t>
      </w:r>
      <w:r w:rsidR="0073266D" w:rsidRPr="00B53423">
        <w:t>C</w:t>
      </w:r>
      <w:r w:rsidRPr="00B53423">
        <w:t>harge has been traced from the Order dated 19</w:t>
      </w:r>
      <w:r w:rsidRPr="00B53423">
        <w:rPr>
          <w:vertAlign w:val="superscript"/>
        </w:rPr>
        <w:t>th</w:t>
      </w:r>
      <w:r w:rsidRPr="00B53423">
        <w:t xml:space="preserve"> October, 2012 approved by the Commission. The Petitioner further submitted that the allowable Transmission Charges for FY 2011-12 works out Rs. 47.72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Accordingly, the Petitioner has claimed allowable Transmission Charges of Rs. 47.72 Crore against the actual transmission charges of Rs. 38.92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in its Tariff Order dated 19</w:t>
      </w:r>
      <w:r w:rsidRPr="00B53423">
        <w:rPr>
          <w:vertAlign w:val="superscript"/>
        </w:rPr>
        <w:t>th</w:t>
      </w:r>
      <w:r w:rsidRPr="00B53423">
        <w:t xml:space="preserve"> October, 2012 in Petition No. 751 / 2011 and 798 / 2012had prescribed the distribution loss targets for the Petitioner. The Commission has computed the allowable power purchase by grossing up the actual energy sales by the approved distribution loss target Thus, to derive the allowable Transmission Charges the allowable power purchase input has been multiplied by the Trued- up Transmission Tariff approved in </w:t>
      </w:r>
      <w:r w:rsidR="00F126DD" w:rsidRPr="00B53423">
        <w:t xml:space="preserve">Tariff </w:t>
      </w:r>
      <w:r w:rsidRPr="00B53423">
        <w:t>Order</w:t>
      </w:r>
      <w:r w:rsidR="00F126DD" w:rsidRPr="00B53423">
        <w:t xml:space="preserve"> for FY 2014-15, and </w:t>
      </w:r>
      <w:r w:rsidRPr="00B53423">
        <w:t>Truing up of UPPTCL for FY 2011-12.</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Accordingly, the Table below provides the allowable Transmission Charges for the Petitioner for FY 2011-12:</w:t>
      </w:r>
    </w:p>
    <w:p w:rsidR="004C74C2" w:rsidRPr="00B53423" w:rsidRDefault="004C74C2" w:rsidP="0015232B">
      <w:pPr>
        <w:pStyle w:val="ListParagraph"/>
        <w:ind w:left="180"/>
      </w:pPr>
    </w:p>
    <w:p w:rsidR="004C74C2" w:rsidRPr="00B53423" w:rsidRDefault="004C74C2" w:rsidP="0015232B">
      <w:pPr>
        <w:pStyle w:val="ListParagraph"/>
        <w:spacing w:before="240"/>
        <w:ind w:left="432"/>
        <w:rPr>
          <w:rFonts w:asciiTheme="minorHAnsi" w:hAnsiTheme="minorHAnsi" w:cstheme="minorHAnsi"/>
          <w:b/>
        </w:rPr>
      </w:pPr>
      <w:bookmarkStart w:id="531" w:name="_Toc399626383"/>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w:t>
      </w:r>
      <w:r w:rsidR="005D68E7" w:rsidRPr="00B53423">
        <w:rPr>
          <w:rFonts w:asciiTheme="minorHAnsi" w:hAnsiTheme="minorHAnsi" w:cstheme="minorHAnsi"/>
          <w:b/>
        </w:rPr>
        <w:fldChar w:fldCharType="end"/>
      </w:r>
      <w:r w:rsidRPr="00B53423">
        <w:rPr>
          <w:rFonts w:asciiTheme="minorHAnsi" w:hAnsiTheme="minorHAnsi" w:cstheme="minorHAnsi"/>
          <w:b/>
        </w:rPr>
        <w:t>: ALLOWABLE TRANSMISSION CHARGES FOR FY 2011-12 (Rs. Crore)</w:t>
      </w:r>
      <w:bookmarkEnd w:id="531"/>
    </w:p>
    <w:tbl>
      <w:tblPr>
        <w:tblW w:w="8266" w:type="dxa"/>
        <w:jc w:val="center"/>
        <w:tblInd w:w="90" w:type="dxa"/>
        <w:tblLook w:val="04A0"/>
      </w:tblPr>
      <w:tblGrid>
        <w:gridCol w:w="3980"/>
        <w:gridCol w:w="1061"/>
        <w:gridCol w:w="1040"/>
        <w:gridCol w:w="1140"/>
        <w:gridCol w:w="1053"/>
      </w:tblGrid>
      <w:tr w:rsidR="004C74C2" w:rsidRPr="00B53423" w:rsidTr="00842547">
        <w:trPr>
          <w:trHeight w:val="300"/>
          <w:tblHeader/>
          <w:jc w:val="center"/>
        </w:trPr>
        <w:tc>
          <w:tcPr>
            <w:tcW w:w="3980" w:type="dxa"/>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b/>
                <w:bCs/>
                <w:color w:val="000000"/>
                <w:lang w:val="en-IN" w:eastAsia="en-IN"/>
              </w:rPr>
            </w:pPr>
            <w:r w:rsidRPr="00B53423">
              <w:rPr>
                <w:b/>
                <w:bCs/>
                <w:color w:val="000000"/>
                <w:lang w:val="en-IN" w:eastAsia="en-IN"/>
              </w:rPr>
              <w:t>Particulars</w:t>
            </w:r>
          </w:p>
        </w:tc>
        <w:tc>
          <w:tcPr>
            <w:tcW w:w="1053"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Tariff Order</w:t>
            </w:r>
          </w:p>
        </w:tc>
        <w:tc>
          <w:tcPr>
            <w:tcW w:w="104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sz w:val="20"/>
                <w:szCs w:val="20"/>
                <w:lang w:val="en-US"/>
              </w:rPr>
            </w:pPr>
            <w:r w:rsidRPr="00B53423">
              <w:rPr>
                <w:rFonts w:cs="Calibri"/>
                <w:b/>
                <w:bCs/>
                <w:sz w:val="20"/>
                <w:szCs w:val="20"/>
                <w:lang w:val="en-US"/>
              </w:rPr>
              <w:t>Actuals as per Audited Accounts</w:t>
            </w:r>
          </w:p>
        </w:tc>
        <w:tc>
          <w:tcPr>
            <w:tcW w:w="114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1053"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9268E4">
        <w:trPr>
          <w:trHeight w:val="300"/>
          <w:jc w:val="center"/>
        </w:trPr>
        <w:tc>
          <w:tcPr>
            <w:tcW w:w="398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color w:val="000000"/>
                <w:lang w:val="en-IN" w:eastAsia="en-IN"/>
              </w:rPr>
            </w:pPr>
            <w:r w:rsidRPr="00B53423">
              <w:rPr>
                <w:color w:val="000000"/>
              </w:rPr>
              <w:t>Allowable Units Wheeled (MU)</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 3089.24</w:t>
            </w:r>
          </w:p>
        </w:tc>
        <w:tc>
          <w:tcPr>
            <w:tcW w:w="10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 </w:t>
            </w:r>
          </w:p>
        </w:tc>
        <w:tc>
          <w:tcPr>
            <w:tcW w:w="11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3006.50</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3008.48</w:t>
            </w:r>
          </w:p>
        </w:tc>
      </w:tr>
      <w:tr w:rsidR="004C74C2" w:rsidRPr="00B53423" w:rsidTr="009268E4">
        <w:trPr>
          <w:trHeight w:val="300"/>
          <w:jc w:val="center"/>
        </w:trPr>
        <w:tc>
          <w:tcPr>
            <w:tcW w:w="398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color w:val="000000"/>
                <w:lang w:val="en-IN" w:eastAsia="en-IN"/>
              </w:rPr>
            </w:pPr>
            <w:r w:rsidRPr="00B53423">
              <w:rPr>
                <w:color w:val="000000"/>
              </w:rPr>
              <w:t>Trued up Transmission Charge (Rs/kWh)</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0.16</w:t>
            </w:r>
          </w:p>
        </w:tc>
        <w:tc>
          <w:tcPr>
            <w:tcW w:w="10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 </w:t>
            </w:r>
          </w:p>
        </w:tc>
        <w:tc>
          <w:tcPr>
            <w:tcW w:w="11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0.16</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0.14</w:t>
            </w:r>
          </w:p>
        </w:tc>
      </w:tr>
      <w:tr w:rsidR="004C74C2" w:rsidRPr="00B53423" w:rsidTr="009268E4">
        <w:trPr>
          <w:trHeight w:val="300"/>
          <w:jc w:val="center"/>
        </w:trPr>
        <w:tc>
          <w:tcPr>
            <w:tcW w:w="398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color w:val="000000"/>
                <w:lang w:val="en-IN" w:eastAsia="en-IN"/>
              </w:rPr>
            </w:pPr>
            <w:r w:rsidRPr="00B53423">
              <w:rPr>
                <w:b/>
                <w:bCs/>
                <w:color w:val="000000"/>
              </w:rPr>
              <w:t>Transmission Charges (Rs Crore)</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50.65</w:t>
            </w:r>
          </w:p>
        </w:tc>
        <w:tc>
          <w:tcPr>
            <w:tcW w:w="10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38.92</w:t>
            </w:r>
          </w:p>
        </w:tc>
        <w:tc>
          <w:tcPr>
            <w:tcW w:w="11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47.72</w:t>
            </w:r>
          </w:p>
        </w:tc>
        <w:tc>
          <w:tcPr>
            <w:tcW w:w="1053"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43.53</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532" w:name="_Toc399626206"/>
      <w:r w:rsidRPr="00B53423">
        <w:t>O&amp;M EXPENSES</w:t>
      </w:r>
      <w:bookmarkEnd w:id="532"/>
      <w:r w:rsidRPr="00B53423">
        <w:t xml:space="preserv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Operation and Maintenance (O&amp;M) expenses comprise of employee related costs, A&amp;G expenses and R&amp;M expenditure.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Petitioner’s submissions on each of the heads of O&amp;M expenditure for FY 2011-12, and the Commission’s analysis on Truing-up of the O&amp;M expenditure heads are detailed below: </w:t>
      </w:r>
    </w:p>
    <w:p w:rsidR="004C74C2" w:rsidRPr="00B53423" w:rsidRDefault="004C74C2" w:rsidP="0015232B">
      <w:pPr>
        <w:spacing w:before="240"/>
        <w:rPr>
          <w:rFonts w:asciiTheme="minorHAnsi" w:hAnsiTheme="minorHAnsi" w:cstheme="minorHAnsi"/>
        </w:rPr>
      </w:pPr>
    </w:p>
    <w:p w:rsidR="004C74C2" w:rsidRPr="00B53423" w:rsidRDefault="004C74C2" w:rsidP="0015232B">
      <w:pPr>
        <w:pStyle w:val="Heading3"/>
        <w:keepNext w:val="0"/>
        <w:ind w:hanging="1080"/>
      </w:pPr>
      <w:r w:rsidRPr="00B53423">
        <w:t>The Petitioner submitted that the actual net employee expenses for FY 2011-12 is Rs. 97.15 Crore as against approved expenses of Rs. 89.47 Crore. The Petitioner requested the Commission to consider the Employee expenses as per its Audited Accounts.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actual net administrative and general expense for the FY 2011-12 is Rs. 11.18 Crore against the approved expenses of Rs. 14.17 Crore. The Petitioner further submitted that the actual A&amp;G expenses are lower than the approved A&amp;G expenses thereby making it eligible for efficiency gain and has accordingly claimed Rs. 12.67 Crore towards net entitlement of A&amp;G expenses for FY 2011-12 against the approved expenses of Rs. 14.17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actual R&amp;M expense for FY 2011-12 is Rs. 25.43 Crore as against Rs. 23.32 Crore approved in the Tariff Order for FY 2009-10. The Petitioner requested the Commission to consider the R&amp;M expenses as per its Audited Accounts.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In reply to the Commission’s query regarding the basis of capitalization the Petitioner added that the capitalisation of Employee expenses and A&amp;G expenses for FY 2011-12 has been done on the basis of Audited Accounts of FY 2011-12.</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The normative gross employee expenses for FY 2011-12 have been considered by escalating the component wise normative O&amp;M expenses for FY 2010-11 by escalation index of 8.69 % approved in </w:t>
      </w:r>
      <w:fldSimple w:instr=" REF _Ref395785845 \h  \* MERGEFORMAT ">
        <w:r w:rsidR="00847C1B" w:rsidRPr="00B53423">
          <w:rPr>
            <w:b/>
          </w:rPr>
          <w:t xml:space="preserve">Table </w:t>
        </w:r>
        <w:r w:rsidR="00847C1B">
          <w:rPr>
            <w:b/>
            <w:noProof/>
          </w:rPr>
          <w:t>4</w:t>
        </w:r>
        <w:r w:rsidR="00847C1B" w:rsidRPr="00B53423">
          <w:rPr>
            <w:b/>
            <w:noProof/>
          </w:rPr>
          <w:noBreakHyphen/>
        </w:r>
        <w:r w:rsidR="00847C1B">
          <w:rPr>
            <w:b/>
            <w:noProof/>
          </w:rPr>
          <w:t>3</w:t>
        </w:r>
      </w:fldSimple>
      <w:r w:rsidRPr="00B53423">
        <w:t xml:space="preserve"> above.</w:t>
      </w:r>
    </w:p>
    <w:p w:rsidR="004C74C2" w:rsidRPr="00B53423" w:rsidRDefault="004C74C2" w:rsidP="0015232B">
      <w:pPr>
        <w:pStyle w:val="Heading3"/>
        <w:keepNext w:val="0"/>
        <w:numPr>
          <w:ilvl w:val="0"/>
          <w:numId w:val="0"/>
        </w:numPr>
        <w:ind w:left="450"/>
        <w:rPr>
          <w:i/>
        </w:rPr>
      </w:pPr>
    </w:p>
    <w:p w:rsidR="004C74C2" w:rsidRPr="00B53423" w:rsidRDefault="004C74C2" w:rsidP="0015232B">
      <w:pPr>
        <w:pStyle w:val="Heading3"/>
        <w:keepNext w:val="0"/>
        <w:ind w:hanging="1080"/>
        <w:rPr>
          <w:i/>
        </w:rPr>
      </w:pPr>
      <w:r w:rsidRPr="00B53423">
        <w:t>Further, in addition to the normative O&amp;M cost based on inflationary indices based escalation, the Distribution Tariff Regulations provide for incremental O&amp;M expenses at 2.5% on addition to assets during the previous year has also been computed.</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already discussed in Para</w:t>
      </w:r>
      <w:r w:rsidR="00463EEA" w:rsidRPr="00B53423">
        <w:t xml:space="preserve"> </w:t>
      </w:r>
      <w:fldSimple w:instr=" REF _Ref396853544 \r \h  \* MERGEFORMAT ">
        <w:r w:rsidR="00847C1B">
          <w:t>4.4.12</w:t>
        </w:r>
      </w:fldSimple>
      <w:r w:rsidRPr="00B53423">
        <w:t xml:space="preserve"> since, the actual O&amp;M expenses in FY 2011-12 are lower than the normative O&amp;M expenses computed by the Commission, hence, the actual audited O&amp;M expenses as claimed by the Petitioner for FY 2011-12 has been approved while doing the Truing</w:t>
      </w:r>
      <w:r w:rsidR="0073266D" w:rsidRPr="00B53423">
        <w:t>-</w:t>
      </w:r>
      <w:r w:rsidRPr="00B53423">
        <w:t xml:space="preserve">up of FY 2011-12.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In reply to the Commission’s query regarding whether CGRF expenses have been included in O&amp;M expenses the Petitioner submitted that the CGRF expenses are part of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CGRF framework approved by the Commission. As detailed in the para </w:t>
      </w:r>
      <w:fldSimple w:instr=" REF _Ref396853574 \r \h  \* MERGEFORMAT ">
        <w:r w:rsidR="00847C1B">
          <w:t>4.4.13</w:t>
        </w:r>
      </w:fldSimple>
      <w:r w:rsidR="0073266D" w:rsidRPr="00B53423">
        <w:t xml:space="preserve"> </w:t>
      </w:r>
      <w:r w:rsidRPr="00B53423">
        <w:t>above the Commission has not allowed any additional allowance towards the CGRF expenses.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In reply to the Commission’s query regarding the details of expenses incurred towards allocation of Interest Charges and O&amp;M Expenses of UPPCL, the Petitioner submitted the chart depicting the allocation of O&amp;M Expenses of UPPCL as shown below:</w:t>
      </w:r>
    </w:p>
    <w:p w:rsidR="004C74C2" w:rsidRPr="00B53423" w:rsidRDefault="004C74C2" w:rsidP="0015232B">
      <w:pPr>
        <w:pStyle w:val="ListParagraph"/>
        <w:ind w:left="180"/>
      </w:pPr>
    </w:p>
    <w:p w:rsidR="004C74C2" w:rsidRPr="00B53423" w:rsidRDefault="004C74C2" w:rsidP="0015232B">
      <w:pPr>
        <w:jc w:val="center"/>
        <w:rPr>
          <w:rFonts w:asciiTheme="minorHAnsi" w:hAnsiTheme="minorHAnsi" w:cstheme="minorHAnsi"/>
          <w:b/>
        </w:rPr>
      </w:pPr>
      <w:bookmarkStart w:id="533" w:name="_Toc399626384"/>
      <w:r w:rsidRPr="00B53423">
        <w:rPr>
          <w:rFonts w:asciiTheme="minorHAnsi" w:hAnsiTheme="minorHAnsi" w:cstheme="minorHAnsi"/>
          <w:b/>
          <w:caps/>
        </w:rPr>
        <w:t xml:space="preserve">Table </w:t>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STYLEREF 1 \s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7</w:t>
      </w:r>
      <w:r w:rsidR="005D68E7" w:rsidRPr="00B53423">
        <w:rPr>
          <w:rFonts w:asciiTheme="minorHAnsi" w:hAnsiTheme="minorHAnsi" w:cstheme="minorHAnsi"/>
          <w:b/>
          <w:caps/>
        </w:rPr>
        <w:fldChar w:fldCharType="end"/>
      </w:r>
      <w:r w:rsidRPr="00B53423">
        <w:rPr>
          <w:rFonts w:asciiTheme="minorHAnsi" w:hAnsiTheme="minorHAnsi" w:cstheme="minorHAnsi"/>
          <w:b/>
          <w:caps/>
        </w:rPr>
        <w:noBreakHyphen/>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SEQ Table \* ARABIC \s 1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3</w:t>
      </w:r>
      <w:r w:rsidR="005D68E7" w:rsidRPr="00B53423">
        <w:rPr>
          <w:rFonts w:asciiTheme="minorHAnsi" w:hAnsiTheme="minorHAnsi" w:cstheme="minorHAnsi"/>
          <w:b/>
          <w:caps/>
        </w:rPr>
        <w:fldChar w:fldCharType="end"/>
      </w:r>
      <w:r w:rsidRPr="00B53423">
        <w:rPr>
          <w:rFonts w:asciiTheme="minorHAnsi" w:hAnsiTheme="minorHAnsi" w:cstheme="minorHAnsi"/>
          <w:b/>
          <w:caps/>
        </w:rPr>
        <w:t>: Allocation of O&amp;M EXPENSES IN FY 2011-12</w:t>
      </w:r>
      <w:r w:rsidRPr="00B53423">
        <w:rPr>
          <w:rFonts w:asciiTheme="minorHAnsi" w:hAnsiTheme="minorHAnsi" w:cstheme="minorHAnsi"/>
          <w:b/>
        </w:rPr>
        <w:t xml:space="preserve"> (Rs. Crore)</w:t>
      </w:r>
      <w:bookmarkEnd w:id="533"/>
    </w:p>
    <w:tbl>
      <w:tblPr>
        <w:tblW w:w="7128" w:type="dxa"/>
        <w:tblInd w:w="7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34"/>
        <w:gridCol w:w="1894"/>
      </w:tblGrid>
      <w:tr w:rsidR="004C74C2" w:rsidRPr="00B53423" w:rsidTr="009268E4">
        <w:trPr>
          <w:trHeight w:val="600"/>
          <w:tblHeader/>
        </w:trPr>
        <w:tc>
          <w:tcPr>
            <w:tcW w:w="5234"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lang w:val="en-US"/>
              </w:rPr>
            </w:pPr>
            <w:r w:rsidRPr="00B53423">
              <w:rPr>
                <w:b/>
                <w:bCs/>
                <w:color w:val="000000"/>
                <w:lang w:val="en-US"/>
              </w:rPr>
              <w:t>Particulars</w:t>
            </w:r>
          </w:p>
        </w:tc>
        <w:tc>
          <w:tcPr>
            <w:tcW w:w="1894"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lang w:val="en-US"/>
              </w:rPr>
            </w:pPr>
            <w:r w:rsidRPr="00B53423">
              <w:rPr>
                <w:b/>
                <w:bCs/>
                <w:color w:val="000000"/>
                <w:lang w:val="en-US"/>
              </w:rPr>
              <w:t>Amount</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color w:val="000000"/>
                <w:lang w:val="en-US"/>
              </w:rPr>
            </w:pPr>
            <w:r w:rsidRPr="00B53423">
              <w:rPr>
                <w:color w:val="000000"/>
                <w:lang w:val="en-US"/>
              </w:rPr>
              <w:t>Employees Expenses</w:t>
            </w:r>
          </w:p>
        </w:tc>
        <w:tc>
          <w:tcPr>
            <w:tcW w:w="1894" w:type="dxa"/>
            <w:shd w:val="clear" w:color="auto" w:fill="auto"/>
            <w:vAlign w:val="center"/>
            <w:hideMark/>
          </w:tcPr>
          <w:p w:rsidR="004C74C2" w:rsidRPr="00B53423" w:rsidRDefault="004C74C2" w:rsidP="0015232B">
            <w:pPr>
              <w:spacing w:before="0" w:line="240" w:lineRule="auto"/>
              <w:ind w:right="432"/>
              <w:jc w:val="right"/>
              <w:rPr>
                <w:color w:val="000000"/>
                <w:lang w:val="en-US"/>
              </w:rPr>
            </w:pPr>
            <w:r w:rsidRPr="00B53423">
              <w:rPr>
                <w:color w:val="000000"/>
                <w:lang w:val="en-US"/>
              </w:rPr>
              <w:t>5.93</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color w:val="000000"/>
                <w:lang w:val="en-US"/>
              </w:rPr>
            </w:pPr>
            <w:r w:rsidRPr="00B53423">
              <w:rPr>
                <w:color w:val="000000"/>
                <w:lang w:val="en-US"/>
              </w:rPr>
              <w:t>Administrative, General &amp; Other Expenses</w:t>
            </w:r>
          </w:p>
        </w:tc>
        <w:tc>
          <w:tcPr>
            <w:tcW w:w="1894" w:type="dxa"/>
            <w:shd w:val="clear" w:color="auto" w:fill="auto"/>
            <w:vAlign w:val="center"/>
            <w:hideMark/>
          </w:tcPr>
          <w:p w:rsidR="004C74C2" w:rsidRPr="00B53423" w:rsidRDefault="004C74C2" w:rsidP="0015232B">
            <w:pPr>
              <w:spacing w:before="0" w:line="240" w:lineRule="auto"/>
              <w:ind w:right="432"/>
              <w:jc w:val="right"/>
              <w:rPr>
                <w:color w:val="000000"/>
                <w:lang w:val="en-US"/>
              </w:rPr>
            </w:pPr>
            <w:r w:rsidRPr="00B53423">
              <w:rPr>
                <w:color w:val="000000"/>
                <w:lang w:val="en-US"/>
              </w:rPr>
              <w:t>12.24</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color w:val="000000"/>
                <w:lang w:val="en-US"/>
              </w:rPr>
            </w:pPr>
            <w:r w:rsidRPr="00B53423">
              <w:rPr>
                <w:color w:val="000000"/>
                <w:lang w:val="en-US"/>
              </w:rPr>
              <w:t>Repairs and Maintenance Expenses</w:t>
            </w:r>
          </w:p>
        </w:tc>
        <w:tc>
          <w:tcPr>
            <w:tcW w:w="1894" w:type="dxa"/>
            <w:shd w:val="clear" w:color="auto" w:fill="auto"/>
            <w:vAlign w:val="center"/>
            <w:hideMark/>
          </w:tcPr>
          <w:p w:rsidR="004C74C2" w:rsidRPr="00B53423" w:rsidRDefault="004C74C2" w:rsidP="0015232B">
            <w:pPr>
              <w:spacing w:before="0" w:line="240" w:lineRule="auto"/>
              <w:ind w:right="432"/>
              <w:jc w:val="right"/>
              <w:rPr>
                <w:color w:val="000000"/>
                <w:lang w:val="en-US"/>
              </w:rPr>
            </w:pPr>
            <w:r w:rsidRPr="00B53423">
              <w:rPr>
                <w:color w:val="000000"/>
                <w:lang w:val="en-US"/>
              </w:rPr>
              <w:t>121.29</w:t>
            </w:r>
          </w:p>
        </w:tc>
      </w:tr>
      <w:tr w:rsidR="004C74C2" w:rsidRPr="00B53423" w:rsidTr="009268E4">
        <w:trPr>
          <w:trHeight w:val="300"/>
        </w:trPr>
        <w:tc>
          <w:tcPr>
            <w:tcW w:w="5234" w:type="dxa"/>
            <w:shd w:val="clear" w:color="auto" w:fill="auto"/>
            <w:vAlign w:val="center"/>
            <w:hideMark/>
          </w:tcPr>
          <w:p w:rsidR="004C74C2" w:rsidRPr="00B53423" w:rsidRDefault="004C74C2" w:rsidP="0015232B">
            <w:pPr>
              <w:spacing w:before="0" w:line="240" w:lineRule="auto"/>
              <w:rPr>
                <w:b/>
                <w:bCs/>
                <w:color w:val="000000"/>
                <w:lang w:val="en-US"/>
              </w:rPr>
            </w:pPr>
            <w:r w:rsidRPr="00B53423">
              <w:rPr>
                <w:b/>
                <w:bCs/>
                <w:color w:val="000000"/>
                <w:lang w:val="en-US"/>
              </w:rPr>
              <w:t>Total</w:t>
            </w:r>
          </w:p>
        </w:tc>
        <w:tc>
          <w:tcPr>
            <w:tcW w:w="1894" w:type="dxa"/>
            <w:shd w:val="clear" w:color="auto" w:fill="auto"/>
            <w:vAlign w:val="center"/>
            <w:hideMark/>
          </w:tcPr>
          <w:p w:rsidR="004C74C2" w:rsidRPr="00B53423" w:rsidRDefault="004C74C2" w:rsidP="0015232B">
            <w:pPr>
              <w:spacing w:before="0" w:line="240" w:lineRule="auto"/>
              <w:ind w:right="432"/>
              <w:jc w:val="right"/>
              <w:rPr>
                <w:b/>
                <w:bCs/>
                <w:color w:val="000000"/>
                <w:lang w:val="en-US"/>
              </w:rPr>
            </w:pPr>
            <w:r w:rsidRPr="00B53423">
              <w:rPr>
                <w:b/>
                <w:bCs/>
                <w:color w:val="000000"/>
                <w:lang w:val="en-US"/>
              </w:rPr>
              <w:t>139.46</w:t>
            </w:r>
          </w:p>
        </w:tc>
      </w:tr>
    </w:tbl>
    <w:p w:rsidR="004C74C2" w:rsidRPr="00B53423" w:rsidRDefault="004C74C2" w:rsidP="0015232B">
      <w:pPr>
        <w:spacing w:before="0" w:line="312" w:lineRule="auto"/>
        <w:rPr>
          <w:rFonts w:asciiTheme="minorHAnsi" w:hAnsiTheme="minorHAnsi"/>
          <w:sz w:val="22"/>
          <w:szCs w:val="22"/>
        </w:rPr>
      </w:pPr>
    </w:p>
    <w:p w:rsidR="004C74C2" w:rsidRPr="00B53423" w:rsidRDefault="004C74C2" w:rsidP="0015232B">
      <w:pPr>
        <w:spacing w:line="312" w:lineRule="auto"/>
        <w:jc w:val="center"/>
        <w:rPr>
          <w:rFonts w:asciiTheme="minorHAnsi" w:hAnsiTheme="minorHAnsi"/>
          <w:b/>
          <w:sz w:val="22"/>
          <w:szCs w:val="22"/>
        </w:rPr>
      </w:pPr>
      <w:bookmarkStart w:id="534" w:name="_Toc399626385"/>
      <w:r w:rsidRPr="00B53423">
        <w:rPr>
          <w:rFonts w:asciiTheme="minorHAnsi" w:hAnsiTheme="minorHAnsi" w:cstheme="minorHAnsi"/>
          <w:b/>
          <w:caps/>
        </w:rPr>
        <w:t xml:space="preserve">Table </w:t>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STYLEREF 1 \s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7</w:t>
      </w:r>
      <w:r w:rsidR="005D68E7" w:rsidRPr="00B53423">
        <w:rPr>
          <w:rFonts w:asciiTheme="minorHAnsi" w:hAnsiTheme="minorHAnsi" w:cstheme="minorHAnsi"/>
          <w:b/>
          <w:caps/>
        </w:rPr>
        <w:fldChar w:fldCharType="end"/>
      </w:r>
      <w:r w:rsidRPr="00B53423">
        <w:rPr>
          <w:rFonts w:asciiTheme="minorHAnsi" w:hAnsiTheme="minorHAnsi" w:cstheme="minorHAnsi"/>
          <w:b/>
          <w:caps/>
        </w:rPr>
        <w:noBreakHyphen/>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SEQ Table \* ARABIC \s 1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4</w:t>
      </w:r>
      <w:r w:rsidR="005D68E7" w:rsidRPr="00B53423">
        <w:rPr>
          <w:rFonts w:asciiTheme="minorHAnsi" w:hAnsiTheme="minorHAnsi" w:cstheme="minorHAnsi"/>
          <w:b/>
          <w:caps/>
        </w:rPr>
        <w:fldChar w:fldCharType="end"/>
      </w:r>
      <w:r w:rsidRPr="00B53423">
        <w:rPr>
          <w:rFonts w:asciiTheme="minorHAnsi" w:hAnsiTheme="minorHAnsi" w:cstheme="minorHAnsi"/>
          <w:b/>
          <w:caps/>
        </w:rPr>
        <w:t>: Allocation of O&amp;M expenses among DisTRIBUTION LICENSEES in FY 2011-12</w:t>
      </w:r>
      <w:bookmarkEnd w:id="534"/>
    </w:p>
    <w:tbl>
      <w:tblPr>
        <w:tblW w:w="8450" w:type="dxa"/>
        <w:jc w:val="center"/>
        <w:tblInd w:w="-24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tblPr>
      <w:tblGrid>
        <w:gridCol w:w="2411"/>
        <w:gridCol w:w="2340"/>
        <w:gridCol w:w="3699"/>
      </w:tblGrid>
      <w:tr w:rsidR="004C74C2" w:rsidRPr="00B53423" w:rsidTr="009268E4">
        <w:trPr>
          <w:trHeight w:val="558"/>
          <w:tblHeader/>
          <w:jc w:val="center"/>
        </w:trPr>
        <w:tc>
          <w:tcPr>
            <w:tcW w:w="2411"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rPr>
            </w:pPr>
            <w:r w:rsidRPr="00B53423">
              <w:rPr>
                <w:b/>
                <w:bCs/>
                <w:color w:val="000000"/>
              </w:rPr>
              <w:t>Name of Distribution Licensees</w:t>
            </w:r>
          </w:p>
        </w:tc>
        <w:tc>
          <w:tcPr>
            <w:tcW w:w="2340" w:type="dxa"/>
            <w:shd w:val="clear" w:color="auto" w:fill="DBE5F1" w:themeFill="accent1" w:themeFillTint="33"/>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Sales Input (MU)</w:t>
            </w:r>
          </w:p>
        </w:tc>
        <w:tc>
          <w:tcPr>
            <w:tcW w:w="3699" w:type="dxa"/>
            <w:shd w:val="clear" w:color="auto" w:fill="DBE5F1" w:themeFill="accent1" w:themeFillTint="33"/>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O&amp;M Expenses Allocated (Rs. Crore)</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DVVNL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16,052</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color w:val="000000"/>
              </w:rPr>
            </w:pPr>
            <w:r w:rsidRPr="00B53423">
              <w:rPr>
                <w:color w:val="000000"/>
              </w:rPr>
              <w:t>34.23</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left="343" w:hanging="343"/>
              <w:jc w:val="center"/>
              <w:rPr>
                <w:color w:val="000000"/>
              </w:rPr>
            </w:pPr>
            <w:r w:rsidRPr="00B53423">
              <w:rPr>
                <w:color w:val="000000"/>
              </w:rPr>
              <w:t>MVVNL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12,537</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color w:val="000000"/>
              </w:rPr>
            </w:pPr>
            <w:r w:rsidRPr="00B53423">
              <w:rPr>
                <w:color w:val="000000"/>
              </w:rPr>
              <w:t>26.73</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PVVNL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22,649</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color w:val="000000"/>
              </w:rPr>
            </w:pPr>
            <w:r w:rsidRPr="00B53423">
              <w:rPr>
                <w:color w:val="000000"/>
              </w:rPr>
              <w:t>48.29</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PuVVNL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rFonts w:cs="Tahoma"/>
                <w:color w:val="000000"/>
              </w:rPr>
            </w:pPr>
            <w:r w:rsidRPr="00B53423">
              <w:rPr>
                <w:color w:val="000000"/>
              </w:rPr>
              <w:t>15,704</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rFonts w:cs="Tahoma"/>
                <w:color w:val="000000"/>
              </w:rPr>
            </w:pPr>
            <w:r w:rsidRPr="00B53423">
              <w:rPr>
                <w:color w:val="000000"/>
              </w:rPr>
              <w:t>33.48</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KESCO</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3,089</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color w:val="000000"/>
              </w:rPr>
            </w:pPr>
            <w:r w:rsidRPr="00B53423">
              <w:rPr>
                <w:color w:val="000000"/>
              </w:rPr>
              <w:t>6.59</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color w:val="000000"/>
              </w:rPr>
            </w:pPr>
            <w:r w:rsidRPr="00B53423">
              <w:rPr>
                <w:color w:val="000000"/>
              </w:rPr>
              <w:t>NPCL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color w:val="000000"/>
              </w:rPr>
            </w:pPr>
            <w:r w:rsidRPr="00B53423">
              <w:rPr>
                <w:color w:val="000000"/>
              </w:rPr>
              <w:t>337</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color w:val="000000"/>
              </w:rPr>
            </w:pPr>
            <w:r w:rsidRPr="00B53423">
              <w:rPr>
                <w:color w:val="000000"/>
              </w:rPr>
              <w:t>0.72</w:t>
            </w:r>
          </w:p>
        </w:tc>
      </w:tr>
      <w:tr w:rsidR="004C74C2" w:rsidRPr="00B53423" w:rsidTr="009268E4">
        <w:trPr>
          <w:trHeight w:val="300"/>
          <w:jc w:val="center"/>
        </w:trPr>
        <w:tc>
          <w:tcPr>
            <w:tcW w:w="2411"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b/>
                <w:bCs/>
                <w:color w:val="000000"/>
              </w:rPr>
            </w:pPr>
            <w:r w:rsidRPr="00B53423">
              <w:rPr>
                <w:b/>
                <w:bCs/>
                <w:color w:val="000000"/>
              </w:rPr>
              <w:t>Total</w:t>
            </w:r>
          </w:p>
        </w:tc>
        <w:tc>
          <w:tcPr>
            <w:tcW w:w="2340"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793"/>
              <w:jc w:val="right"/>
              <w:rPr>
                <w:b/>
                <w:bCs/>
                <w:color w:val="000000"/>
              </w:rPr>
            </w:pPr>
            <w:r w:rsidRPr="00B53423">
              <w:rPr>
                <w:b/>
                <w:bCs/>
                <w:color w:val="000000"/>
              </w:rPr>
              <w:t>70,367</w:t>
            </w:r>
          </w:p>
        </w:tc>
        <w:tc>
          <w:tcPr>
            <w:tcW w:w="3699" w:type="dxa"/>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ind w:right="1522"/>
              <w:jc w:val="right"/>
              <w:rPr>
                <w:b/>
                <w:bCs/>
                <w:color w:val="000000"/>
              </w:rPr>
            </w:pPr>
            <w:r w:rsidRPr="00B53423">
              <w:rPr>
                <w:b/>
                <w:bCs/>
                <w:color w:val="000000"/>
              </w:rPr>
              <w:t>150.04</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detailed in earlier para</w:t>
      </w:r>
      <w:r w:rsidR="0073266D" w:rsidRPr="00B53423">
        <w:t xml:space="preserve"> </w:t>
      </w:r>
      <w:fldSimple w:instr=" REF _Ref396853616 \r \h  \* MERGEFORMAT ">
        <w:r w:rsidR="00847C1B">
          <w:t>4.4.15</w:t>
        </w:r>
      </w:fldSimple>
      <w:r w:rsidRPr="00B53423">
        <w:t xml:space="preserve"> no separate expense for allocation of O&amp;M expenses for UPPCL has been approved for FY 2011-12 as the same has already been considered while approving the Bulk supply rate by the Commission.</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Further, the Petitioner has also claimed efficiency gain on account of A&amp;G expenses of Rs. 1.50 Crore in addition to A&amp;G expenses of Rs. 11.18 Crore resulting into net A&amp;G expenses of Rs. 12.67 Crore. In Para</w:t>
      </w:r>
      <w:r w:rsidR="0073266D" w:rsidRPr="00B53423">
        <w:t xml:space="preserve"> </w:t>
      </w:r>
      <w:fldSimple w:instr=" REF _Ref396853647 \r \h  \* MERGEFORMAT ">
        <w:r w:rsidR="00847C1B">
          <w:t>4.4.18</w:t>
        </w:r>
      </w:fldSimple>
      <w:r w:rsidRPr="00B53423">
        <w:t xml:space="preserve"> the Commission has already explained in detail the philosophy of sharing of efficiency gains on account of O&amp;M expenses. Accordingly, the entitlement towards sharing of efficiency gain works out to Rs. 13.55 Crore on account of O&amp;M expenses as against the Petitioner’s claim of Rs. 1.50 Crore.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Thus, the summary of O&amp;M expenses approved in the Tariff Order, claimed by the Petitioner and that approved by the Commission in this Order for Truing-up of FY 2011-12 is shown in the Table below:</w:t>
      </w:r>
    </w:p>
    <w:p w:rsidR="004C74C2" w:rsidRPr="00B53423" w:rsidRDefault="004C74C2" w:rsidP="0015232B">
      <w:pPr>
        <w:jc w:val="center"/>
        <w:rPr>
          <w:rFonts w:asciiTheme="minorHAnsi" w:hAnsiTheme="minorHAnsi" w:cstheme="minorHAnsi"/>
          <w:b/>
        </w:rPr>
      </w:pPr>
    </w:p>
    <w:p w:rsidR="004C74C2" w:rsidRPr="00B53423" w:rsidRDefault="004C74C2" w:rsidP="0015232B">
      <w:pPr>
        <w:jc w:val="center"/>
        <w:rPr>
          <w:rFonts w:asciiTheme="minorHAnsi" w:hAnsiTheme="minorHAnsi" w:cstheme="minorHAnsi"/>
          <w:b/>
        </w:rPr>
      </w:pPr>
      <w:bookmarkStart w:id="535" w:name="_Toc399626386"/>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5</w:t>
      </w:r>
      <w:r w:rsidR="005D68E7" w:rsidRPr="00B53423">
        <w:rPr>
          <w:rFonts w:asciiTheme="minorHAnsi" w:hAnsiTheme="minorHAnsi" w:cstheme="minorHAnsi"/>
          <w:b/>
        </w:rPr>
        <w:fldChar w:fldCharType="end"/>
      </w:r>
      <w:r w:rsidRPr="00B53423">
        <w:rPr>
          <w:rFonts w:asciiTheme="minorHAnsi" w:hAnsiTheme="minorHAnsi" w:cstheme="minorHAnsi"/>
          <w:b/>
        </w:rPr>
        <w:t>: O&amp;M EXPENSES APPROVED BY THE COMMISSION (Rs. Crore)</w:t>
      </w:r>
      <w:bookmarkEnd w:id="535"/>
    </w:p>
    <w:tbl>
      <w:tblPr>
        <w:tblW w:w="9697" w:type="dxa"/>
        <w:tblInd w:w="-68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577"/>
        <w:gridCol w:w="1080"/>
        <w:gridCol w:w="1350"/>
        <w:gridCol w:w="1080"/>
        <w:gridCol w:w="1350"/>
        <w:gridCol w:w="1260"/>
      </w:tblGrid>
      <w:tr w:rsidR="00856959" w:rsidRPr="00B53423" w:rsidTr="00856959">
        <w:trPr>
          <w:trHeight w:val="913"/>
          <w:tblHeader/>
        </w:trPr>
        <w:tc>
          <w:tcPr>
            <w:tcW w:w="3577" w:type="dxa"/>
            <w:shd w:val="clear" w:color="000000" w:fill="DBE5F1"/>
            <w:noWrap/>
            <w:hideMark/>
          </w:tcPr>
          <w:p w:rsidR="00856959" w:rsidRPr="00B53423" w:rsidRDefault="00856959"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080" w:type="dxa"/>
            <w:shd w:val="clear" w:color="000000" w:fill="DBE5F1"/>
            <w:hideMark/>
          </w:tcPr>
          <w:p w:rsidR="00856959" w:rsidRPr="00B53423" w:rsidRDefault="00856959"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350" w:type="dxa"/>
            <w:shd w:val="clear" w:color="000000" w:fill="DBE5F1"/>
            <w:hideMark/>
          </w:tcPr>
          <w:p w:rsidR="00856959" w:rsidRPr="00B53423" w:rsidRDefault="00856959"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080" w:type="dxa"/>
            <w:shd w:val="clear" w:color="000000" w:fill="DBE5F1"/>
            <w:hideMark/>
          </w:tcPr>
          <w:p w:rsidR="00856959" w:rsidRPr="00B53423" w:rsidRDefault="00856959"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350" w:type="dxa"/>
            <w:shd w:val="clear" w:color="000000" w:fill="DBE5F1"/>
            <w:hideMark/>
          </w:tcPr>
          <w:p w:rsidR="00856959" w:rsidRPr="00B53423" w:rsidRDefault="00856959" w:rsidP="0015232B">
            <w:pPr>
              <w:spacing w:before="0" w:line="240" w:lineRule="auto"/>
              <w:jc w:val="center"/>
              <w:rPr>
                <w:rFonts w:cs="Calibri"/>
                <w:b/>
                <w:bCs/>
                <w:color w:val="000000"/>
                <w:lang w:val="en-US"/>
              </w:rPr>
            </w:pPr>
            <w:r w:rsidRPr="00B53423">
              <w:rPr>
                <w:rFonts w:cs="Calibri"/>
                <w:b/>
                <w:bCs/>
                <w:color w:val="000000"/>
                <w:lang w:val="en-US"/>
              </w:rPr>
              <w:t>Normative</w:t>
            </w:r>
          </w:p>
        </w:tc>
        <w:tc>
          <w:tcPr>
            <w:tcW w:w="1260" w:type="dxa"/>
            <w:shd w:val="clear" w:color="000000" w:fill="DBE5F1"/>
            <w:hideMark/>
          </w:tcPr>
          <w:p w:rsidR="00856959" w:rsidRPr="00B53423" w:rsidRDefault="00856959"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856959" w:rsidRPr="00B53423" w:rsidTr="00842547">
        <w:trPr>
          <w:trHeight w:val="304"/>
        </w:trPr>
        <w:tc>
          <w:tcPr>
            <w:tcW w:w="3577" w:type="dxa"/>
            <w:shd w:val="clear" w:color="auto" w:fill="auto"/>
            <w:noWrap/>
            <w:vAlign w:val="bottom"/>
            <w:hideMark/>
          </w:tcPr>
          <w:p w:rsidR="00856959" w:rsidRPr="00B53423" w:rsidRDefault="00856959" w:rsidP="0015232B">
            <w:pPr>
              <w:spacing w:before="0" w:line="240" w:lineRule="auto"/>
              <w:jc w:val="left"/>
              <w:rPr>
                <w:rFonts w:cs="Calibri"/>
                <w:color w:val="000000"/>
                <w:lang w:val="en-US"/>
              </w:rPr>
            </w:pPr>
            <w:r w:rsidRPr="00B53423">
              <w:rPr>
                <w:rFonts w:cs="Calibri"/>
                <w:color w:val="000000"/>
                <w:lang w:val="en-US"/>
              </w:rPr>
              <w:t>Employee Expenses</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rPr>
            </w:pPr>
            <w:r w:rsidRPr="00B53423">
              <w:rPr>
                <w:rFonts w:asciiTheme="minorHAnsi" w:hAnsiTheme="minorHAnsi" w:cstheme="minorHAnsi"/>
              </w:rPr>
              <w:t>105.30</w:t>
            </w:r>
          </w:p>
        </w:tc>
        <w:tc>
          <w:tcPr>
            <w:tcW w:w="1350" w:type="dxa"/>
            <w:shd w:val="clear" w:color="auto" w:fill="auto"/>
            <w:vAlign w:val="center"/>
            <w:hideMark/>
          </w:tcPr>
          <w:p w:rsidR="00564993" w:rsidRPr="00B53423" w:rsidRDefault="00856959" w:rsidP="0015232B">
            <w:pPr>
              <w:jc w:val="right"/>
            </w:pPr>
            <w:r w:rsidRPr="00B53423">
              <w:t>98.48</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rPr>
            </w:pPr>
            <w:r w:rsidRPr="00B53423">
              <w:rPr>
                <w:rFonts w:asciiTheme="minorHAnsi" w:hAnsiTheme="minorHAnsi" w:cstheme="minorHAnsi"/>
              </w:rPr>
              <w:t>98.48</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rPr>
            </w:pPr>
            <w:r w:rsidRPr="00B53423">
              <w:rPr>
                <w:rFonts w:asciiTheme="minorHAnsi" w:hAnsiTheme="minorHAnsi" w:cstheme="minorHAnsi"/>
              </w:rPr>
              <w:t>110.95</w:t>
            </w:r>
          </w:p>
        </w:tc>
        <w:tc>
          <w:tcPr>
            <w:tcW w:w="126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rPr>
            </w:pPr>
            <w:r w:rsidRPr="00B53423">
              <w:rPr>
                <w:rFonts w:asciiTheme="minorHAnsi" w:hAnsiTheme="minorHAnsi" w:cstheme="minorHAnsi"/>
                <w:sz w:val="22"/>
                <w:szCs w:val="22"/>
              </w:rPr>
              <w:t>98.48</w:t>
            </w:r>
          </w:p>
        </w:tc>
      </w:tr>
      <w:tr w:rsidR="00856959" w:rsidRPr="00B53423" w:rsidTr="00842547">
        <w:trPr>
          <w:trHeight w:val="304"/>
        </w:trPr>
        <w:tc>
          <w:tcPr>
            <w:tcW w:w="3577" w:type="dxa"/>
            <w:shd w:val="clear" w:color="auto" w:fill="auto"/>
            <w:noWrap/>
            <w:vAlign w:val="bottom"/>
            <w:hideMark/>
          </w:tcPr>
          <w:p w:rsidR="00856959" w:rsidRPr="00B53423" w:rsidRDefault="00856959" w:rsidP="0015232B">
            <w:pPr>
              <w:spacing w:before="0" w:line="240" w:lineRule="auto"/>
              <w:jc w:val="left"/>
              <w:rPr>
                <w:rFonts w:cs="Calibri"/>
                <w:color w:val="000000"/>
                <w:lang w:val="en-US"/>
              </w:rPr>
            </w:pPr>
            <w:r w:rsidRPr="00B53423">
              <w:rPr>
                <w:rFonts w:cs="Calibri"/>
                <w:color w:val="000000"/>
                <w:lang w:val="en-US"/>
              </w:rPr>
              <w:t>Repair &amp; Maintenance Expenses</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23.30</w:t>
            </w:r>
          </w:p>
        </w:tc>
        <w:tc>
          <w:tcPr>
            <w:tcW w:w="1350" w:type="dxa"/>
            <w:shd w:val="clear" w:color="auto" w:fill="auto"/>
            <w:vAlign w:val="center"/>
            <w:hideMark/>
          </w:tcPr>
          <w:p w:rsidR="00564993" w:rsidRPr="00B53423" w:rsidRDefault="00856959" w:rsidP="0015232B">
            <w:pPr>
              <w:jc w:val="right"/>
              <w:rPr>
                <w:color w:val="000000"/>
                <w:sz w:val="18"/>
                <w:szCs w:val="18"/>
              </w:rPr>
            </w:pPr>
            <w:r w:rsidRPr="00B53423">
              <w:rPr>
                <w:sz w:val="22"/>
                <w:szCs w:val="22"/>
              </w:rPr>
              <w:t>25.43</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25.43</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44.05</w:t>
            </w:r>
          </w:p>
        </w:tc>
        <w:tc>
          <w:tcPr>
            <w:tcW w:w="126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25.43</w:t>
            </w:r>
          </w:p>
        </w:tc>
      </w:tr>
      <w:tr w:rsidR="00856959" w:rsidRPr="00B53423" w:rsidTr="00856959">
        <w:trPr>
          <w:trHeight w:val="304"/>
        </w:trPr>
        <w:tc>
          <w:tcPr>
            <w:tcW w:w="3577" w:type="dxa"/>
            <w:shd w:val="clear" w:color="auto" w:fill="auto"/>
            <w:noWrap/>
            <w:vAlign w:val="bottom"/>
            <w:hideMark/>
          </w:tcPr>
          <w:p w:rsidR="00856959" w:rsidRPr="00B53423" w:rsidRDefault="00856959" w:rsidP="0015232B">
            <w:pPr>
              <w:spacing w:before="0" w:line="240" w:lineRule="auto"/>
              <w:jc w:val="left"/>
              <w:rPr>
                <w:rFonts w:cs="Calibri"/>
                <w:color w:val="000000"/>
                <w:lang w:val="en-US"/>
              </w:rPr>
            </w:pPr>
            <w:r w:rsidRPr="00B53423">
              <w:rPr>
                <w:rFonts w:cs="Calibri"/>
                <w:color w:val="000000"/>
                <w:lang w:val="en-US"/>
              </w:rPr>
              <w:t>Administrative and General Expenses</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16.70</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11.19</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11.19</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7.19</w:t>
            </w:r>
          </w:p>
        </w:tc>
        <w:tc>
          <w:tcPr>
            <w:tcW w:w="126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11.19</w:t>
            </w:r>
          </w:p>
        </w:tc>
      </w:tr>
      <w:tr w:rsidR="00856959" w:rsidRPr="00B53423" w:rsidTr="00856959">
        <w:trPr>
          <w:trHeight w:val="304"/>
        </w:trPr>
        <w:tc>
          <w:tcPr>
            <w:tcW w:w="3577" w:type="dxa"/>
            <w:shd w:val="clear" w:color="auto" w:fill="auto"/>
            <w:noWrap/>
            <w:vAlign w:val="bottom"/>
            <w:hideMark/>
          </w:tcPr>
          <w:p w:rsidR="00856959" w:rsidRPr="00B53423" w:rsidRDefault="00856959" w:rsidP="0015232B">
            <w:pPr>
              <w:spacing w:before="0" w:line="240" w:lineRule="auto"/>
              <w:jc w:val="left"/>
              <w:rPr>
                <w:rFonts w:cs="Calibri"/>
                <w:b/>
                <w:bCs/>
                <w:color w:val="000000"/>
                <w:lang w:val="en-US"/>
              </w:rPr>
            </w:pPr>
            <w:r w:rsidRPr="00B53423">
              <w:rPr>
                <w:rFonts w:cs="Calibri"/>
                <w:b/>
                <w:bCs/>
                <w:color w:val="000000"/>
                <w:lang w:val="en-US"/>
              </w:rPr>
              <w:t>Gross Operation and Maintenance Expenses</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b/>
                <w:bCs/>
                <w:color w:val="000000"/>
              </w:rPr>
            </w:pPr>
            <w:r w:rsidRPr="00B53423">
              <w:rPr>
                <w:rFonts w:asciiTheme="minorHAnsi" w:hAnsiTheme="minorHAnsi" w:cstheme="minorHAnsi"/>
                <w:b/>
                <w:sz w:val="22"/>
                <w:szCs w:val="22"/>
              </w:rPr>
              <w:t>145.30</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b/>
                <w:bCs/>
                <w:color w:val="000000"/>
              </w:rPr>
            </w:pPr>
            <w:r w:rsidRPr="00B53423">
              <w:rPr>
                <w:rFonts w:asciiTheme="minorHAnsi" w:hAnsiTheme="minorHAnsi" w:cstheme="minorHAnsi"/>
                <w:b/>
                <w:sz w:val="22"/>
                <w:szCs w:val="22"/>
              </w:rPr>
              <w:t>135.10</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b/>
                <w:bCs/>
                <w:color w:val="000000"/>
              </w:rPr>
            </w:pPr>
            <w:r w:rsidRPr="00B53423">
              <w:rPr>
                <w:rFonts w:asciiTheme="minorHAnsi" w:hAnsiTheme="minorHAnsi" w:cstheme="minorHAnsi"/>
                <w:b/>
                <w:sz w:val="22"/>
                <w:szCs w:val="22"/>
              </w:rPr>
              <w:t>135.10</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b/>
                <w:bCs/>
                <w:color w:val="000000"/>
              </w:rPr>
            </w:pPr>
            <w:r w:rsidRPr="00B53423">
              <w:rPr>
                <w:rFonts w:asciiTheme="minorHAnsi" w:hAnsiTheme="minorHAnsi" w:cstheme="minorHAnsi"/>
                <w:b/>
                <w:sz w:val="22"/>
                <w:szCs w:val="22"/>
              </w:rPr>
              <w:t>162.19</w:t>
            </w:r>
          </w:p>
        </w:tc>
        <w:tc>
          <w:tcPr>
            <w:tcW w:w="126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b/>
                <w:bCs/>
                <w:color w:val="000000"/>
              </w:rPr>
            </w:pPr>
            <w:r w:rsidRPr="00B53423">
              <w:rPr>
                <w:rFonts w:asciiTheme="minorHAnsi" w:hAnsiTheme="minorHAnsi" w:cstheme="minorHAnsi"/>
                <w:b/>
                <w:sz w:val="22"/>
                <w:szCs w:val="22"/>
              </w:rPr>
              <w:t>135.10</w:t>
            </w:r>
          </w:p>
        </w:tc>
      </w:tr>
      <w:tr w:rsidR="00856959" w:rsidRPr="00B53423" w:rsidTr="00856959">
        <w:trPr>
          <w:trHeight w:val="304"/>
        </w:trPr>
        <w:tc>
          <w:tcPr>
            <w:tcW w:w="3577" w:type="dxa"/>
            <w:shd w:val="clear" w:color="auto" w:fill="auto"/>
            <w:noWrap/>
            <w:vAlign w:val="bottom"/>
            <w:hideMark/>
          </w:tcPr>
          <w:p w:rsidR="00856959" w:rsidRPr="00B53423" w:rsidRDefault="00856959" w:rsidP="0015232B">
            <w:pPr>
              <w:spacing w:before="0" w:line="240" w:lineRule="auto"/>
              <w:jc w:val="left"/>
              <w:rPr>
                <w:rFonts w:cs="Calibri"/>
                <w:color w:val="000000"/>
                <w:lang w:val="en-US"/>
              </w:rPr>
            </w:pPr>
            <w:r w:rsidRPr="00B53423">
              <w:rPr>
                <w:rFonts w:cs="Calibri"/>
                <w:color w:val="000000"/>
                <w:lang w:val="en-US"/>
              </w:rPr>
              <w:t>Less: Capitalisation</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c>
          <w:tcPr>
            <w:tcW w:w="126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r>
      <w:tr w:rsidR="00856959" w:rsidRPr="00B53423" w:rsidTr="00856959">
        <w:trPr>
          <w:trHeight w:val="304"/>
        </w:trPr>
        <w:tc>
          <w:tcPr>
            <w:tcW w:w="3577" w:type="dxa"/>
            <w:shd w:val="clear" w:color="auto" w:fill="auto"/>
            <w:noWrap/>
            <w:vAlign w:val="bottom"/>
            <w:hideMark/>
          </w:tcPr>
          <w:p w:rsidR="00856959" w:rsidRPr="00B53423" w:rsidRDefault="00856959" w:rsidP="0015232B">
            <w:pPr>
              <w:spacing w:before="0" w:line="240" w:lineRule="auto"/>
              <w:jc w:val="left"/>
              <w:rPr>
                <w:rFonts w:cs="Calibri"/>
                <w:color w:val="000000"/>
                <w:lang w:val="en-US"/>
              </w:rPr>
            </w:pPr>
            <w:r w:rsidRPr="00B53423">
              <w:rPr>
                <w:rFonts w:cs="Calibri"/>
                <w:color w:val="000000"/>
                <w:lang w:val="en-US"/>
              </w:rPr>
              <w:t>Employee Cost Capitalized</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15.48</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1.33</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1.33</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1.33</w:t>
            </w:r>
          </w:p>
        </w:tc>
        <w:tc>
          <w:tcPr>
            <w:tcW w:w="126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1.33</w:t>
            </w:r>
          </w:p>
        </w:tc>
      </w:tr>
      <w:tr w:rsidR="00856959" w:rsidRPr="00B53423" w:rsidTr="00856959">
        <w:trPr>
          <w:trHeight w:val="304"/>
        </w:trPr>
        <w:tc>
          <w:tcPr>
            <w:tcW w:w="3577" w:type="dxa"/>
            <w:shd w:val="clear" w:color="auto" w:fill="auto"/>
            <w:noWrap/>
            <w:vAlign w:val="bottom"/>
            <w:hideMark/>
          </w:tcPr>
          <w:p w:rsidR="00856959" w:rsidRPr="00B53423" w:rsidRDefault="00856959" w:rsidP="0015232B">
            <w:pPr>
              <w:spacing w:before="0" w:line="240" w:lineRule="auto"/>
              <w:jc w:val="left"/>
              <w:rPr>
                <w:rFonts w:cs="Calibri"/>
                <w:color w:val="000000"/>
                <w:lang w:val="en-US"/>
              </w:rPr>
            </w:pPr>
            <w:r w:rsidRPr="00B53423">
              <w:rPr>
                <w:rFonts w:cs="Calibri"/>
                <w:color w:val="000000"/>
                <w:lang w:val="en-US"/>
              </w:rPr>
              <w:t>A&amp;G Expenses Capitalized</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2.50</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0.01</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0.01</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0.01</w:t>
            </w:r>
          </w:p>
        </w:tc>
        <w:tc>
          <w:tcPr>
            <w:tcW w:w="126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sz w:val="22"/>
                <w:szCs w:val="22"/>
              </w:rPr>
              <w:t>0.01</w:t>
            </w:r>
          </w:p>
        </w:tc>
      </w:tr>
      <w:tr w:rsidR="00856959" w:rsidRPr="00B53423" w:rsidTr="00856959">
        <w:trPr>
          <w:trHeight w:val="304"/>
        </w:trPr>
        <w:tc>
          <w:tcPr>
            <w:tcW w:w="3577" w:type="dxa"/>
            <w:shd w:val="clear" w:color="auto" w:fill="auto"/>
            <w:noWrap/>
            <w:vAlign w:val="bottom"/>
            <w:hideMark/>
          </w:tcPr>
          <w:p w:rsidR="00856959" w:rsidRPr="00B53423" w:rsidRDefault="00856959" w:rsidP="0015232B">
            <w:pPr>
              <w:spacing w:before="0" w:line="240" w:lineRule="auto"/>
              <w:jc w:val="left"/>
              <w:rPr>
                <w:rFonts w:cs="Calibri"/>
                <w:color w:val="000000"/>
                <w:lang w:val="en-US"/>
              </w:rPr>
            </w:pPr>
            <w:r w:rsidRPr="00B53423">
              <w:rPr>
                <w:rFonts w:cs="Calibri"/>
                <w:color w:val="000000"/>
                <w:lang w:val="en-US"/>
              </w:rPr>
              <w:t> </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c>
          <w:tcPr>
            <w:tcW w:w="126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r>
      <w:tr w:rsidR="00856959" w:rsidRPr="00B53423" w:rsidTr="00856959">
        <w:trPr>
          <w:trHeight w:val="304"/>
        </w:trPr>
        <w:tc>
          <w:tcPr>
            <w:tcW w:w="3577" w:type="dxa"/>
            <w:shd w:val="clear" w:color="auto" w:fill="auto"/>
            <w:noWrap/>
            <w:vAlign w:val="bottom"/>
            <w:hideMark/>
          </w:tcPr>
          <w:p w:rsidR="00856959" w:rsidRPr="00B53423" w:rsidRDefault="00856959" w:rsidP="0015232B">
            <w:pPr>
              <w:spacing w:before="0" w:line="240" w:lineRule="auto"/>
              <w:jc w:val="left"/>
              <w:rPr>
                <w:rFonts w:cs="Calibri"/>
                <w:b/>
                <w:bCs/>
                <w:color w:val="000000"/>
                <w:lang w:val="en-US"/>
              </w:rPr>
            </w:pPr>
            <w:r w:rsidRPr="00B53423">
              <w:rPr>
                <w:rFonts w:cs="Calibri"/>
                <w:b/>
                <w:bCs/>
                <w:color w:val="000000"/>
                <w:lang w:val="en-US"/>
              </w:rPr>
              <w:t>Total Capitalization</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b/>
                <w:bCs/>
                <w:color w:val="000000"/>
              </w:rPr>
            </w:pPr>
            <w:r w:rsidRPr="00B53423">
              <w:rPr>
                <w:rFonts w:asciiTheme="minorHAnsi" w:hAnsiTheme="minorHAnsi" w:cstheme="minorHAnsi"/>
                <w:b/>
                <w:sz w:val="22"/>
                <w:szCs w:val="22"/>
              </w:rPr>
              <w:t>17.98</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b/>
                <w:bCs/>
                <w:color w:val="000000"/>
              </w:rPr>
            </w:pPr>
            <w:r w:rsidRPr="00B53423">
              <w:rPr>
                <w:rFonts w:asciiTheme="minorHAnsi" w:hAnsiTheme="minorHAnsi" w:cstheme="minorHAnsi"/>
                <w:b/>
                <w:sz w:val="22"/>
                <w:szCs w:val="22"/>
              </w:rPr>
              <w:t>1.34</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b/>
                <w:bCs/>
                <w:color w:val="000000"/>
              </w:rPr>
            </w:pPr>
            <w:r w:rsidRPr="00B53423">
              <w:rPr>
                <w:rFonts w:asciiTheme="minorHAnsi" w:hAnsiTheme="minorHAnsi" w:cstheme="minorHAnsi"/>
                <w:b/>
                <w:sz w:val="22"/>
                <w:szCs w:val="22"/>
              </w:rPr>
              <w:t>1.34</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b/>
                <w:bCs/>
                <w:color w:val="000000"/>
              </w:rPr>
            </w:pPr>
            <w:r w:rsidRPr="00B53423">
              <w:rPr>
                <w:rFonts w:asciiTheme="minorHAnsi" w:hAnsiTheme="minorHAnsi" w:cstheme="minorHAnsi"/>
                <w:b/>
                <w:sz w:val="22"/>
                <w:szCs w:val="22"/>
              </w:rPr>
              <w:t>1.34</w:t>
            </w:r>
          </w:p>
        </w:tc>
        <w:tc>
          <w:tcPr>
            <w:tcW w:w="126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b/>
                <w:bCs/>
                <w:color w:val="000000"/>
              </w:rPr>
            </w:pPr>
            <w:r w:rsidRPr="00B53423">
              <w:rPr>
                <w:rFonts w:asciiTheme="minorHAnsi" w:hAnsiTheme="minorHAnsi" w:cstheme="minorHAnsi"/>
                <w:b/>
                <w:sz w:val="22"/>
                <w:szCs w:val="22"/>
              </w:rPr>
              <w:t>1.34</w:t>
            </w:r>
          </w:p>
        </w:tc>
      </w:tr>
      <w:tr w:rsidR="002B3D6B" w:rsidRPr="00B53423" w:rsidTr="00856959">
        <w:trPr>
          <w:trHeight w:val="304"/>
        </w:trPr>
        <w:tc>
          <w:tcPr>
            <w:tcW w:w="3577" w:type="dxa"/>
            <w:shd w:val="clear" w:color="auto" w:fill="auto"/>
            <w:noWrap/>
            <w:vAlign w:val="bottom"/>
            <w:hideMark/>
          </w:tcPr>
          <w:p w:rsidR="002B3D6B" w:rsidRPr="00B53423" w:rsidRDefault="002B3D6B" w:rsidP="0015232B">
            <w:pPr>
              <w:spacing w:before="0" w:line="240" w:lineRule="auto"/>
              <w:jc w:val="left"/>
              <w:rPr>
                <w:rFonts w:cs="Calibri"/>
                <w:b/>
                <w:bCs/>
                <w:color w:val="000000"/>
                <w:lang w:val="en-US"/>
              </w:rPr>
            </w:pPr>
            <w:r w:rsidRPr="00B53423">
              <w:rPr>
                <w:rFonts w:cs="Calibri"/>
                <w:b/>
                <w:bCs/>
                <w:color w:val="000000"/>
                <w:lang w:val="en-US"/>
              </w:rPr>
              <w:t>Net Operation and Maintenance Expenses</w:t>
            </w:r>
          </w:p>
        </w:tc>
        <w:tc>
          <w:tcPr>
            <w:tcW w:w="1080" w:type="dxa"/>
            <w:shd w:val="clear" w:color="auto" w:fill="auto"/>
            <w:vAlign w:val="center"/>
            <w:hideMark/>
          </w:tcPr>
          <w:p w:rsidR="002B3D6B" w:rsidRPr="00B53423" w:rsidRDefault="002B3D6B" w:rsidP="0015232B">
            <w:pPr>
              <w:spacing w:before="0" w:line="240" w:lineRule="auto"/>
              <w:jc w:val="right"/>
              <w:rPr>
                <w:rFonts w:asciiTheme="minorHAnsi" w:hAnsiTheme="minorHAnsi" w:cstheme="minorHAnsi"/>
                <w:b/>
                <w:color w:val="000000"/>
              </w:rPr>
            </w:pPr>
            <w:r w:rsidRPr="00B53423">
              <w:rPr>
                <w:rFonts w:asciiTheme="minorHAnsi" w:hAnsiTheme="minorHAnsi" w:cstheme="minorHAnsi"/>
                <w:sz w:val="22"/>
                <w:szCs w:val="22"/>
              </w:rPr>
              <w:t>127.32</w:t>
            </w:r>
          </w:p>
        </w:tc>
        <w:tc>
          <w:tcPr>
            <w:tcW w:w="1350" w:type="dxa"/>
            <w:shd w:val="clear" w:color="auto" w:fill="auto"/>
            <w:vAlign w:val="center"/>
            <w:hideMark/>
          </w:tcPr>
          <w:p w:rsidR="002B3D6B" w:rsidRPr="00B53423" w:rsidRDefault="002B3D6B" w:rsidP="0015232B">
            <w:pPr>
              <w:spacing w:before="0" w:line="240" w:lineRule="auto"/>
              <w:jc w:val="right"/>
              <w:rPr>
                <w:rFonts w:asciiTheme="minorHAnsi" w:hAnsiTheme="minorHAnsi" w:cstheme="minorHAnsi"/>
                <w:b/>
                <w:color w:val="000000"/>
              </w:rPr>
            </w:pPr>
            <w:r w:rsidRPr="00B53423">
              <w:rPr>
                <w:rFonts w:asciiTheme="minorHAnsi" w:hAnsiTheme="minorHAnsi" w:cstheme="minorHAnsi"/>
                <w:sz w:val="22"/>
                <w:szCs w:val="22"/>
              </w:rPr>
              <w:t>133.76</w:t>
            </w:r>
          </w:p>
        </w:tc>
        <w:tc>
          <w:tcPr>
            <w:tcW w:w="1080" w:type="dxa"/>
            <w:shd w:val="clear" w:color="auto" w:fill="auto"/>
            <w:vAlign w:val="center"/>
            <w:hideMark/>
          </w:tcPr>
          <w:p w:rsidR="002B3D6B" w:rsidRPr="00B53423" w:rsidRDefault="002B3D6B" w:rsidP="0015232B">
            <w:pPr>
              <w:spacing w:before="0" w:line="240" w:lineRule="auto"/>
              <w:jc w:val="right"/>
              <w:rPr>
                <w:rFonts w:asciiTheme="minorHAnsi" w:hAnsiTheme="minorHAnsi" w:cstheme="minorHAnsi"/>
                <w:b/>
                <w:color w:val="000000"/>
              </w:rPr>
            </w:pPr>
            <w:r w:rsidRPr="00B53423">
              <w:rPr>
                <w:rFonts w:asciiTheme="minorHAnsi" w:hAnsiTheme="minorHAnsi" w:cstheme="minorHAnsi"/>
                <w:sz w:val="22"/>
                <w:szCs w:val="22"/>
              </w:rPr>
              <w:t>133.76</w:t>
            </w:r>
          </w:p>
        </w:tc>
        <w:tc>
          <w:tcPr>
            <w:tcW w:w="1350" w:type="dxa"/>
            <w:shd w:val="clear" w:color="auto" w:fill="auto"/>
            <w:vAlign w:val="center"/>
            <w:hideMark/>
          </w:tcPr>
          <w:p w:rsidR="002B3D6B" w:rsidRPr="00B53423" w:rsidRDefault="002B3D6B" w:rsidP="0015232B">
            <w:pPr>
              <w:spacing w:before="0" w:line="240" w:lineRule="auto"/>
              <w:jc w:val="right"/>
              <w:rPr>
                <w:rFonts w:asciiTheme="minorHAnsi" w:hAnsiTheme="minorHAnsi" w:cstheme="minorHAnsi"/>
                <w:b/>
                <w:color w:val="000000"/>
              </w:rPr>
            </w:pPr>
            <w:r w:rsidRPr="00B53423">
              <w:rPr>
                <w:rFonts w:asciiTheme="minorHAnsi" w:hAnsiTheme="minorHAnsi" w:cstheme="minorHAnsi"/>
                <w:sz w:val="22"/>
                <w:szCs w:val="22"/>
              </w:rPr>
              <w:t>160.85</w:t>
            </w:r>
          </w:p>
        </w:tc>
        <w:tc>
          <w:tcPr>
            <w:tcW w:w="1260" w:type="dxa"/>
            <w:shd w:val="clear" w:color="auto" w:fill="auto"/>
            <w:vAlign w:val="center"/>
            <w:hideMark/>
          </w:tcPr>
          <w:p w:rsidR="002B3D6B" w:rsidRPr="00B53423" w:rsidRDefault="002B3D6B" w:rsidP="0015232B">
            <w:pPr>
              <w:spacing w:before="0" w:line="240" w:lineRule="auto"/>
              <w:jc w:val="right"/>
              <w:rPr>
                <w:rFonts w:asciiTheme="minorHAnsi" w:hAnsiTheme="minorHAnsi" w:cstheme="minorHAnsi"/>
                <w:b/>
                <w:color w:val="000000"/>
              </w:rPr>
            </w:pPr>
            <w:r w:rsidRPr="00B53423">
              <w:rPr>
                <w:rFonts w:asciiTheme="minorHAnsi" w:hAnsiTheme="minorHAnsi" w:cstheme="minorHAnsi"/>
                <w:sz w:val="22"/>
                <w:szCs w:val="22"/>
              </w:rPr>
              <w:t>133.76</w:t>
            </w:r>
          </w:p>
        </w:tc>
      </w:tr>
      <w:tr w:rsidR="00856959" w:rsidRPr="00B53423" w:rsidTr="00856959">
        <w:trPr>
          <w:trHeight w:val="304"/>
        </w:trPr>
        <w:tc>
          <w:tcPr>
            <w:tcW w:w="3577" w:type="dxa"/>
            <w:shd w:val="clear" w:color="auto" w:fill="auto"/>
            <w:noWrap/>
            <w:vAlign w:val="bottom"/>
            <w:hideMark/>
          </w:tcPr>
          <w:p w:rsidR="00856959" w:rsidRPr="00B53423" w:rsidRDefault="00856959" w:rsidP="0015232B">
            <w:pPr>
              <w:spacing w:before="0" w:line="240" w:lineRule="auto"/>
              <w:jc w:val="left"/>
              <w:rPr>
                <w:rFonts w:cs="Calibri"/>
                <w:b/>
                <w:bCs/>
                <w:color w:val="000000"/>
                <w:lang w:val="en-US"/>
              </w:rPr>
            </w:pPr>
            <w:r w:rsidRPr="00B53423">
              <w:rPr>
                <w:rFonts w:cs="Calibri"/>
                <w:b/>
                <w:bCs/>
                <w:color w:val="000000"/>
                <w:lang w:val="en-US"/>
              </w:rPr>
              <w:t>Efficiency Gain</w:t>
            </w: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c>
          <w:tcPr>
            <w:tcW w:w="108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1.50</w:t>
            </w:r>
          </w:p>
        </w:tc>
        <w:tc>
          <w:tcPr>
            <w:tcW w:w="135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p>
        </w:tc>
        <w:tc>
          <w:tcPr>
            <w:tcW w:w="1260" w:type="dxa"/>
            <w:shd w:val="clear" w:color="auto" w:fill="auto"/>
            <w:vAlign w:val="center"/>
            <w:hideMark/>
          </w:tcPr>
          <w:p w:rsidR="00856959" w:rsidRPr="00B53423" w:rsidRDefault="00856959"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13.55</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536" w:name="_Toc399626207"/>
      <w:r w:rsidRPr="00B53423">
        <w:t>INTEREST AND FINANCE CHARGES</w:t>
      </w:r>
      <w:bookmarkEnd w:id="536"/>
      <w:r w:rsidRPr="00B53423">
        <w:t xml:space="preserve"> </w:t>
      </w:r>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numPr>
          <w:ilvl w:val="0"/>
          <w:numId w:val="0"/>
        </w:numPr>
        <w:ind w:left="450" w:firstLine="270"/>
        <w:rPr>
          <w:b/>
        </w:rPr>
      </w:pPr>
      <w:r w:rsidRPr="00B53423">
        <w:rPr>
          <w:b/>
        </w:rPr>
        <w:t>Interest on Long Term Loans: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has claimed interest on long term loan of Rs. 11.53 Crore as against Rs. 13.48 Crore approved in the Tariff Order dated 19</w:t>
      </w:r>
      <w:r w:rsidRPr="00B53423">
        <w:rPr>
          <w:vertAlign w:val="superscript"/>
        </w:rPr>
        <w:t>th</w:t>
      </w:r>
      <w:r w:rsidRPr="00B53423">
        <w:t xml:space="preserve"> October, 2012 in Petition No. 751 / 2011 and 798 / 2011. The Petitioner submitted that the interest capitalised for FY 2011-12 was to the tune of Rs. 0.00 Crore as against Rs. 0.68 Crore approved by the Commission in the Tariff Order. Thus, the net interest on loan for FY 2011-12 as submitted by the Petitioner works to Rs. 11.53 Crore as against Rs. 12.80 Crore approved by the Commission, in the aforesaid Tariff Order for FY 2011-12.</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vide its preliminary deficiency note has asked the Petitioner to submit the details of actual loans alongwith computation of Interest on Loan as claimed by the Petitioner for FY 2009-10 in its True up Petition. In reply to the Commission’s query the Petitioner submitted that subsequent to the filing of the True- up Petitions for FY 2008-09 to 2011-12, the Commission issued the True up Order for FY 2000-01 to 2007-08 on 21</w:t>
      </w:r>
      <w:r w:rsidRPr="00B53423">
        <w:rPr>
          <w:vertAlign w:val="superscript"/>
        </w:rPr>
        <w:t>st</w:t>
      </w:r>
      <w:r w:rsidRPr="00B53423">
        <w:t xml:space="preserve"> May, 2013 in which the Commission had adopted a normative approach to tariff with a gearing of 70:30. The Petitioner submitted that the same was reaffirmed by the Commission in the suo-motu Tariff Order for FY 2013-14.</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further submitted that it is agreeable to the approach followed by the Commission in this regard. Accordingly, based on the normative approach, the Petitioner submitted the re-worked the loan balances, additions based on normative capital expenditure, normative repayment linked with allowable depreciation of the respective year and the average interest rate as per the weighted average interest rate of the licensee as per Audited Accounts. The revised interest on long term loan claimed by the Petitioner based on the normative approach works out to Rs. 1.65 Crore.</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 xml:space="preserve">Further, as discussed in Para </w:t>
      </w:r>
      <w:fldSimple w:instr=" REF _Ref396853748 \r \h  \* MERGEFORMAT ">
        <w:r w:rsidR="00847C1B">
          <w:t>4.5.4</w:t>
        </w:r>
      </w:fldSimple>
      <w:r w:rsidRPr="00B53423">
        <w:t xml:space="preserve"> above the Petitioner has reaffirmed that the loan balances and interest amount to be considered includes only the loan amount borrowed from PFC and the interest payable to PFC respectively as disclosed in the books of accounts. Accordingly the Petitioner re-submitted the revised head wise detailed computations of opening and closing loan balances and the weighted average rate of interest after reconciling the same with the Audited Accounts as shown in the Table below:</w:t>
      </w:r>
    </w:p>
    <w:p w:rsidR="004C74C2" w:rsidRPr="00B53423" w:rsidRDefault="004C74C2" w:rsidP="0015232B">
      <w:pPr>
        <w:spacing w:line="312" w:lineRule="auto"/>
        <w:jc w:val="center"/>
        <w:rPr>
          <w:rFonts w:asciiTheme="minorHAnsi" w:hAnsiTheme="minorHAnsi" w:cstheme="minorHAnsi"/>
          <w:b/>
        </w:rPr>
      </w:pPr>
    </w:p>
    <w:p w:rsidR="004C74C2" w:rsidRPr="00B53423" w:rsidRDefault="004C74C2" w:rsidP="0015232B">
      <w:pPr>
        <w:spacing w:line="312" w:lineRule="auto"/>
        <w:ind w:left="720"/>
        <w:jc w:val="center"/>
        <w:rPr>
          <w:rFonts w:asciiTheme="minorHAnsi" w:hAnsiTheme="minorHAnsi"/>
          <w:b/>
          <w:sz w:val="22"/>
          <w:szCs w:val="22"/>
        </w:rPr>
      </w:pPr>
      <w:bookmarkStart w:id="537" w:name="_Toc399626387"/>
      <w:r w:rsidRPr="00B53423">
        <w:rPr>
          <w:rFonts w:asciiTheme="minorHAnsi" w:hAnsiTheme="minorHAnsi" w:cstheme="minorHAnsi"/>
          <w:b/>
          <w:caps/>
        </w:rPr>
        <w:t xml:space="preserve">Table </w:t>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STYLEREF 1 \s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7</w:t>
      </w:r>
      <w:r w:rsidR="005D68E7" w:rsidRPr="00B53423">
        <w:rPr>
          <w:rFonts w:asciiTheme="minorHAnsi" w:hAnsiTheme="minorHAnsi" w:cstheme="minorHAnsi"/>
          <w:b/>
          <w:caps/>
        </w:rPr>
        <w:fldChar w:fldCharType="end"/>
      </w:r>
      <w:r w:rsidRPr="00B53423">
        <w:rPr>
          <w:rFonts w:asciiTheme="minorHAnsi" w:hAnsiTheme="minorHAnsi" w:cstheme="minorHAnsi"/>
          <w:b/>
          <w:caps/>
        </w:rPr>
        <w:noBreakHyphen/>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SEQ Table \* ARABIC \s 1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6</w:t>
      </w:r>
      <w:r w:rsidR="005D68E7" w:rsidRPr="00B53423">
        <w:rPr>
          <w:rFonts w:asciiTheme="minorHAnsi" w:hAnsiTheme="minorHAnsi" w:cstheme="minorHAnsi"/>
          <w:b/>
          <w:caps/>
        </w:rPr>
        <w:fldChar w:fldCharType="end"/>
      </w:r>
      <w:r w:rsidRPr="00B53423">
        <w:rPr>
          <w:rFonts w:asciiTheme="minorHAnsi" w:hAnsiTheme="minorHAnsi" w:cstheme="minorHAnsi"/>
          <w:b/>
          <w:caps/>
        </w:rPr>
        <w:t xml:space="preserve">: Revised </w:t>
      </w:r>
      <w:r w:rsidRPr="00B53423">
        <w:rPr>
          <w:rFonts w:asciiTheme="minorHAnsi" w:hAnsiTheme="minorHAnsi" w:cstheme="minorHAnsi"/>
          <w:b/>
        </w:rPr>
        <w:t>COMPUTATION OF WEIGHTED AVERAGE RATE OF INTEREST SUBMITTED BY THE PETITIONER (Rs. Crore)</w:t>
      </w:r>
      <w:bookmarkEnd w:id="537"/>
    </w:p>
    <w:tbl>
      <w:tblPr>
        <w:tblW w:w="7470" w:type="dxa"/>
        <w:tblInd w:w="82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580"/>
        <w:gridCol w:w="1890"/>
      </w:tblGrid>
      <w:tr w:rsidR="004C74C2" w:rsidRPr="00B53423" w:rsidTr="009268E4">
        <w:trPr>
          <w:trHeight w:val="300"/>
          <w:tblHeader/>
        </w:trPr>
        <w:tc>
          <w:tcPr>
            <w:tcW w:w="5580"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rPr>
            </w:pPr>
            <w:r w:rsidRPr="00B53423">
              <w:rPr>
                <w:b/>
                <w:bCs/>
                <w:color w:val="000000"/>
              </w:rPr>
              <w:t>Particulars</w:t>
            </w:r>
          </w:p>
        </w:tc>
        <w:tc>
          <w:tcPr>
            <w:tcW w:w="1890" w:type="dxa"/>
            <w:shd w:val="clear" w:color="auto" w:fill="DBE5F1" w:themeFill="accent1" w:themeFillTint="33"/>
            <w:vAlign w:val="center"/>
            <w:hideMark/>
          </w:tcPr>
          <w:p w:rsidR="004C74C2" w:rsidRPr="00B53423" w:rsidRDefault="004C74C2" w:rsidP="0015232B">
            <w:pPr>
              <w:spacing w:before="0" w:line="240" w:lineRule="auto"/>
              <w:jc w:val="center"/>
              <w:rPr>
                <w:b/>
                <w:bCs/>
                <w:color w:val="000000"/>
              </w:rPr>
            </w:pPr>
            <w:r w:rsidRPr="00B53423">
              <w:rPr>
                <w:b/>
                <w:bCs/>
                <w:color w:val="000000"/>
              </w:rPr>
              <w:t xml:space="preserve">FY 2011-12 </w:t>
            </w:r>
          </w:p>
        </w:tc>
      </w:tr>
      <w:tr w:rsidR="004C74C2" w:rsidRPr="00B53423" w:rsidTr="009268E4">
        <w:trPr>
          <w:trHeight w:val="20"/>
        </w:trPr>
        <w:tc>
          <w:tcPr>
            <w:tcW w:w="5580" w:type="dxa"/>
            <w:shd w:val="clear" w:color="auto" w:fill="auto"/>
            <w:hideMark/>
          </w:tcPr>
          <w:p w:rsidR="004C74C2" w:rsidRPr="00B53423" w:rsidRDefault="004C74C2" w:rsidP="0015232B">
            <w:pPr>
              <w:spacing w:before="0" w:line="240" w:lineRule="auto"/>
              <w:jc w:val="left"/>
              <w:rPr>
                <w:color w:val="000000"/>
              </w:rPr>
            </w:pPr>
            <w:r w:rsidRPr="00B53423">
              <w:t>Opening Loan</w:t>
            </w:r>
          </w:p>
        </w:tc>
        <w:tc>
          <w:tcPr>
            <w:tcW w:w="1890" w:type="dxa"/>
            <w:shd w:val="clear" w:color="auto" w:fill="auto"/>
            <w:vAlign w:val="center"/>
            <w:hideMark/>
          </w:tcPr>
          <w:p w:rsidR="004C74C2" w:rsidRPr="00B53423" w:rsidRDefault="004C74C2" w:rsidP="0015232B">
            <w:pPr>
              <w:spacing w:before="0" w:line="240" w:lineRule="auto"/>
              <w:ind w:right="522"/>
              <w:jc w:val="right"/>
              <w:rPr>
                <w:color w:val="000000"/>
              </w:rPr>
            </w:pPr>
            <w:r w:rsidRPr="00B53423">
              <w:rPr>
                <w:lang w:val="en-IN" w:eastAsia="en-IN"/>
              </w:rPr>
              <w:t>78.75</w:t>
            </w:r>
          </w:p>
        </w:tc>
      </w:tr>
      <w:tr w:rsidR="004C74C2" w:rsidRPr="00B53423" w:rsidTr="009268E4">
        <w:trPr>
          <w:trHeight w:val="300"/>
        </w:trPr>
        <w:tc>
          <w:tcPr>
            <w:tcW w:w="5580" w:type="dxa"/>
            <w:shd w:val="clear" w:color="auto" w:fill="auto"/>
            <w:hideMark/>
          </w:tcPr>
          <w:p w:rsidR="004C74C2" w:rsidRPr="00B53423" w:rsidRDefault="004C74C2" w:rsidP="0015232B">
            <w:pPr>
              <w:spacing w:before="0" w:line="240" w:lineRule="auto"/>
              <w:jc w:val="left"/>
              <w:rPr>
                <w:rFonts w:cs="Tahoma"/>
                <w:color w:val="000000"/>
              </w:rPr>
            </w:pPr>
            <w:r w:rsidRPr="00B53423">
              <w:t>Closing Loan Balance</w:t>
            </w:r>
          </w:p>
        </w:tc>
        <w:tc>
          <w:tcPr>
            <w:tcW w:w="1890" w:type="dxa"/>
            <w:shd w:val="clear" w:color="auto" w:fill="auto"/>
            <w:vAlign w:val="center"/>
            <w:hideMark/>
          </w:tcPr>
          <w:p w:rsidR="004C74C2" w:rsidRPr="00B53423" w:rsidRDefault="004C74C2" w:rsidP="0015232B">
            <w:pPr>
              <w:spacing w:before="0" w:line="240" w:lineRule="auto"/>
              <w:ind w:right="522"/>
              <w:jc w:val="right"/>
              <w:rPr>
                <w:rFonts w:cs="Tahoma"/>
                <w:color w:val="000000"/>
              </w:rPr>
            </w:pPr>
            <w:r w:rsidRPr="00B53423">
              <w:rPr>
                <w:lang w:val="en-IN" w:eastAsia="en-IN"/>
              </w:rPr>
              <w:t>68.58</w:t>
            </w:r>
          </w:p>
        </w:tc>
      </w:tr>
      <w:tr w:rsidR="004C74C2" w:rsidRPr="00B53423" w:rsidTr="009268E4">
        <w:trPr>
          <w:trHeight w:val="300"/>
        </w:trPr>
        <w:tc>
          <w:tcPr>
            <w:tcW w:w="5580" w:type="dxa"/>
            <w:shd w:val="clear" w:color="auto" w:fill="auto"/>
            <w:hideMark/>
          </w:tcPr>
          <w:p w:rsidR="004C74C2" w:rsidRPr="00B53423" w:rsidRDefault="004C74C2" w:rsidP="0015232B">
            <w:pPr>
              <w:spacing w:before="0" w:line="240" w:lineRule="auto"/>
              <w:jc w:val="left"/>
              <w:rPr>
                <w:color w:val="000000"/>
              </w:rPr>
            </w:pPr>
            <w:r w:rsidRPr="00B53423">
              <w:t>Interest</w:t>
            </w:r>
          </w:p>
        </w:tc>
        <w:tc>
          <w:tcPr>
            <w:tcW w:w="1890" w:type="dxa"/>
            <w:shd w:val="clear" w:color="auto" w:fill="auto"/>
            <w:vAlign w:val="center"/>
            <w:hideMark/>
          </w:tcPr>
          <w:p w:rsidR="004C74C2" w:rsidRPr="00B53423" w:rsidRDefault="004C74C2" w:rsidP="0015232B">
            <w:pPr>
              <w:spacing w:before="0" w:line="240" w:lineRule="auto"/>
              <w:ind w:right="522"/>
              <w:jc w:val="right"/>
              <w:rPr>
                <w:color w:val="000000"/>
              </w:rPr>
            </w:pPr>
            <w:r w:rsidRPr="00B53423">
              <w:rPr>
                <w:lang w:val="en-IN" w:eastAsia="en-IN"/>
              </w:rPr>
              <w:t>10.59</w:t>
            </w:r>
          </w:p>
        </w:tc>
      </w:tr>
      <w:tr w:rsidR="004C74C2" w:rsidRPr="00B53423" w:rsidTr="009268E4">
        <w:trPr>
          <w:trHeight w:val="300"/>
        </w:trPr>
        <w:tc>
          <w:tcPr>
            <w:tcW w:w="5580" w:type="dxa"/>
            <w:shd w:val="clear" w:color="auto" w:fill="auto"/>
            <w:hideMark/>
          </w:tcPr>
          <w:p w:rsidR="004C74C2" w:rsidRPr="00B53423" w:rsidRDefault="004C74C2" w:rsidP="0015232B">
            <w:pPr>
              <w:spacing w:before="0" w:line="240" w:lineRule="auto"/>
              <w:jc w:val="left"/>
              <w:rPr>
                <w:b/>
                <w:bCs/>
                <w:color w:val="000000"/>
              </w:rPr>
            </w:pPr>
            <w:r w:rsidRPr="00B53423">
              <w:t>Rate of Interest</w:t>
            </w:r>
            <w:r w:rsidRPr="00B53423" w:rsidDel="002B3EDC">
              <w:rPr>
                <w:b/>
                <w:bCs/>
                <w:color w:val="000000"/>
              </w:rPr>
              <w:t xml:space="preserve"> </w:t>
            </w:r>
          </w:p>
        </w:tc>
        <w:tc>
          <w:tcPr>
            <w:tcW w:w="1890" w:type="dxa"/>
            <w:shd w:val="clear" w:color="auto" w:fill="auto"/>
            <w:vAlign w:val="center"/>
            <w:hideMark/>
          </w:tcPr>
          <w:p w:rsidR="004C74C2" w:rsidRPr="00B53423" w:rsidRDefault="004C74C2" w:rsidP="0015232B">
            <w:pPr>
              <w:spacing w:before="0" w:line="240" w:lineRule="auto"/>
              <w:ind w:right="522"/>
              <w:jc w:val="right"/>
              <w:rPr>
                <w:b/>
                <w:bCs/>
                <w:color w:val="000000"/>
              </w:rPr>
            </w:pPr>
            <w:r w:rsidRPr="00B53423">
              <w:rPr>
                <w:lang w:val="en-IN" w:eastAsia="en-IN"/>
              </w:rPr>
              <w:t>14.38%</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Accordingly, based on the above, the revised interest on long term loan claimed by the Petitioner works out to Rs. 1.65 Crore. Further, the Petitioner has not claimed any amount towards normative interest capitalization in accordance with the Audited Accounts. Thus, net interest on long term loan, claimed by the Petitioner works out to Rs. 1.65 Crore for FY 2011-12.</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Based on the approach explained in the earlier paragraphs, the Commission has derived the actual capital investments undertaken by the Petitioner in FY 2011-12, based on the Audited Accounts. The details are provided in the Table below:</w:t>
      </w:r>
    </w:p>
    <w:p w:rsidR="004C74C2" w:rsidRPr="00B53423" w:rsidRDefault="004C74C2" w:rsidP="0015232B">
      <w:pPr>
        <w:jc w:val="center"/>
        <w:rPr>
          <w:rFonts w:asciiTheme="minorHAnsi" w:hAnsiTheme="minorHAnsi" w:cstheme="minorHAnsi"/>
          <w:b/>
        </w:rPr>
      </w:pPr>
    </w:p>
    <w:p w:rsidR="004C74C2" w:rsidRPr="00B53423" w:rsidRDefault="004C74C2" w:rsidP="0015232B">
      <w:pPr>
        <w:jc w:val="center"/>
        <w:rPr>
          <w:rFonts w:asciiTheme="minorHAnsi" w:hAnsiTheme="minorHAnsi" w:cstheme="minorHAnsi"/>
          <w:b/>
        </w:rPr>
      </w:pPr>
      <w:bookmarkStart w:id="538" w:name="_Toc399626388"/>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t>: CAPITAL INVESTMENTS IN FY 2011-12 (Rs. Crore)</w:t>
      </w:r>
      <w:bookmarkEnd w:id="538"/>
    </w:p>
    <w:tbl>
      <w:tblPr>
        <w:tblW w:w="8460" w:type="dxa"/>
        <w:tblInd w:w="-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710"/>
        <w:gridCol w:w="1332"/>
        <w:gridCol w:w="982"/>
        <w:gridCol w:w="1176"/>
        <w:gridCol w:w="1260"/>
      </w:tblGrid>
      <w:tr w:rsidR="004C74C2" w:rsidRPr="00B53423" w:rsidTr="009268E4">
        <w:trPr>
          <w:trHeight w:val="300"/>
          <w:tblHeader/>
        </w:trPr>
        <w:tc>
          <w:tcPr>
            <w:tcW w:w="371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Particulars</w:t>
            </w:r>
          </w:p>
        </w:tc>
        <w:tc>
          <w:tcPr>
            <w:tcW w:w="1332"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Tariff Order</w:t>
            </w:r>
          </w:p>
        </w:tc>
        <w:tc>
          <w:tcPr>
            <w:tcW w:w="982"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Audited</w:t>
            </w:r>
          </w:p>
        </w:tc>
        <w:tc>
          <w:tcPr>
            <w:tcW w:w="1176"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1260"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9268E4">
        <w:trPr>
          <w:trHeight w:val="300"/>
        </w:trPr>
        <w:tc>
          <w:tcPr>
            <w:tcW w:w="371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Opening WIP  as on 1st April</w:t>
            </w:r>
          </w:p>
        </w:tc>
        <w:tc>
          <w:tcPr>
            <w:tcW w:w="1332" w:type="dxa"/>
            <w:shd w:val="clear" w:color="auto" w:fill="auto"/>
            <w:vAlign w:val="bottom"/>
            <w:hideMark/>
          </w:tcPr>
          <w:p w:rsidR="004C74C2" w:rsidRPr="00B53423" w:rsidRDefault="004C74C2" w:rsidP="0015232B">
            <w:pPr>
              <w:spacing w:before="0" w:line="240" w:lineRule="auto"/>
              <w:ind w:right="314"/>
              <w:jc w:val="right"/>
              <w:rPr>
                <w:rFonts w:cs="Calibri"/>
                <w:color w:val="000000"/>
              </w:rPr>
            </w:pPr>
            <w:r w:rsidRPr="00B53423">
              <w:rPr>
                <w:rFonts w:cs="Calibri"/>
                <w:color w:val="000000"/>
              </w:rPr>
              <w:t xml:space="preserve"> 80.2 </w:t>
            </w:r>
          </w:p>
        </w:tc>
        <w:tc>
          <w:tcPr>
            <w:tcW w:w="982"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36.50</w:t>
            </w:r>
          </w:p>
        </w:tc>
        <w:tc>
          <w:tcPr>
            <w:tcW w:w="1176" w:type="dxa"/>
            <w:shd w:val="clear" w:color="auto" w:fill="auto"/>
            <w:vAlign w:val="bottom"/>
            <w:hideMark/>
          </w:tcPr>
          <w:p w:rsidR="004C74C2" w:rsidRPr="00B53423" w:rsidRDefault="004C74C2" w:rsidP="0015232B">
            <w:pPr>
              <w:spacing w:before="0" w:line="240" w:lineRule="auto"/>
              <w:ind w:right="72"/>
              <w:jc w:val="right"/>
              <w:rPr>
                <w:rFonts w:cs="Calibri"/>
                <w:color w:val="000000"/>
              </w:rPr>
            </w:pPr>
            <w:r w:rsidRPr="00B53423">
              <w:rPr>
                <w:rFonts w:cs="Calibri"/>
                <w:color w:val="000000"/>
              </w:rPr>
              <w:t>36.50</w:t>
            </w:r>
          </w:p>
        </w:tc>
        <w:tc>
          <w:tcPr>
            <w:tcW w:w="1260" w:type="dxa"/>
            <w:shd w:val="clear" w:color="auto" w:fill="auto"/>
            <w:vAlign w:val="bottom"/>
            <w:hideMark/>
          </w:tcPr>
          <w:p w:rsidR="004C74C2" w:rsidRPr="00B53423" w:rsidRDefault="004C74C2" w:rsidP="0015232B">
            <w:pPr>
              <w:spacing w:before="0" w:line="240" w:lineRule="auto"/>
              <w:ind w:right="162"/>
              <w:jc w:val="right"/>
              <w:rPr>
                <w:rFonts w:cs="Calibri"/>
                <w:color w:val="000000"/>
              </w:rPr>
            </w:pPr>
            <w:r w:rsidRPr="00B53423">
              <w:rPr>
                <w:rFonts w:cs="Calibri"/>
                <w:color w:val="000000"/>
              </w:rPr>
              <w:t>36.50</w:t>
            </w:r>
          </w:p>
        </w:tc>
      </w:tr>
      <w:tr w:rsidR="004C74C2" w:rsidRPr="00B53423" w:rsidTr="009268E4">
        <w:trPr>
          <w:trHeight w:val="330"/>
        </w:trPr>
        <w:tc>
          <w:tcPr>
            <w:tcW w:w="371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Investments</w:t>
            </w:r>
          </w:p>
        </w:tc>
        <w:tc>
          <w:tcPr>
            <w:tcW w:w="1332" w:type="dxa"/>
            <w:shd w:val="clear" w:color="auto" w:fill="auto"/>
            <w:vAlign w:val="bottom"/>
            <w:hideMark/>
          </w:tcPr>
          <w:p w:rsidR="004C74C2" w:rsidRPr="00B53423" w:rsidRDefault="004C74C2" w:rsidP="0015232B">
            <w:pPr>
              <w:spacing w:before="0" w:line="240" w:lineRule="auto"/>
              <w:ind w:right="314"/>
              <w:jc w:val="right"/>
              <w:rPr>
                <w:rFonts w:cs="Calibri"/>
                <w:color w:val="000000"/>
              </w:rPr>
            </w:pPr>
            <w:r w:rsidRPr="00B53423">
              <w:rPr>
                <w:rFonts w:cs="Calibri"/>
                <w:color w:val="000000"/>
              </w:rPr>
              <w:t xml:space="preserve"> 38.6 </w:t>
            </w:r>
          </w:p>
        </w:tc>
        <w:tc>
          <w:tcPr>
            <w:tcW w:w="982"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22.67</w:t>
            </w:r>
          </w:p>
        </w:tc>
        <w:tc>
          <w:tcPr>
            <w:tcW w:w="1176" w:type="dxa"/>
            <w:shd w:val="clear" w:color="auto" w:fill="auto"/>
            <w:vAlign w:val="bottom"/>
            <w:hideMark/>
          </w:tcPr>
          <w:p w:rsidR="004C74C2" w:rsidRPr="00B53423" w:rsidRDefault="004C74C2" w:rsidP="0015232B">
            <w:pPr>
              <w:spacing w:before="0" w:line="240" w:lineRule="auto"/>
              <w:ind w:right="72"/>
              <w:jc w:val="right"/>
              <w:rPr>
                <w:rFonts w:cs="Calibri"/>
                <w:color w:val="000000"/>
              </w:rPr>
            </w:pPr>
            <w:r w:rsidRPr="00B53423">
              <w:rPr>
                <w:rFonts w:cs="Calibri"/>
                <w:color w:val="000000"/>
              </w:rPr>
              <w:t>22.67</w:t>
            </w:r>
          </w:p>
        </w:tc>
        <w:tc>
          <w:tcPr>
            <w:tcW w:w="1260" w:type="dxa"/>
            <w:shd w:val="clear" w:color="auto" w:fill="auto"/>
            <w:vAlign w:val="bottom"/>
            <w:hideMark/>
          </w:tcPr>
          <w:p w:rsidR="004C74C2" w:rsidRPr="00B53423" w:rsidRDefault="004C74C2" w:rsidP="0015232B">
            <w:pPr>
              <w:spacing w:before="0" w:line="240" w:lineRule="auto"/>
              <w:ind w:right="162"/>
              <w:jc w:val="right"/>
              <w:rPr>
                <w:rFonts w:cs="Calibri"/>
                <w:color w:val="000000"/>
              </w:rPr>
            </w:pPr>
            <w:r w:rsidRPr="00B53423">
              <w:rPr>
                <w:rFonts w:cs="Calibri"/>
                <w:color w:val="000000"/>
              </w:rPr>
              <w:t>22.67</w:t>
            </w:r>
          </w:p>
        </w:tc>
      </w:tr>
      <w:tr w:rsidR="004C74C2" w:rsidRPr="00B53423" w:rsidTr="009268E4">
        <w:trPr>
          <w:trHeight w:val="300"/>
        </w:trPr>
        <w:tc>
          <w:tcPr>
            <w:tcW w:w="371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 xml:space="preserve">Employee Expenses Capitalisation </w:t>
            </w:r>
          </w:p>
        </w:tc>
        <w:tc>
          <w:tcPr>
            <w:tcW w:w="1332" w:type="dxa"/>
            <w:shd w:val="clear" w:color="auto" w:fill="auto"/>
            <w:vAlign w:val="bottom"/>
            <w:hideMark/>
          </w:tcPr>
          <w:p w:rsidR="004C74C2" w:rsidRPr="00B53423" w:rsidRDefault="004C74C2" w:rsidP="0015232B">
            <w:pPr>
              <w:spacing w:before="0" w:line="240" w:lineRule="auto"/>
              <w:ind w:right="314"/>
              <w:jc w:val="right"/>
              <w:rPr>
                <w:rFonts w:cs="Calibri"/>
                <w:color w:val="000000"/>
              </w:rPr>
            </w:pPr>
            <w:r w:rsidRPr="00B53423">
              <w:rPr>
                <w:rFonts w:cs="Calibri"/>
                <w:color w:val="000000"/>
              </w:rPr>
              <w:t xml:space="preserve"> 15.8 </w:t>
            </w:r>
          </w:p>
        </w:tc>
        <w:tc>
          <w:tcPr>
            <w:tcW w:w="982"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1.33</w:t>
            </w:r>
          </w:p>
        </w:tc>
        <w:tc>
          <w:tcPr>
            <w:tcW w:w="1176" w:type="dxa"/>
            <w:shd w:val="clear" w:color="auto" w:fill="auto"/>
            <w:vAlign w:val="bottom"/>
            <w:hideMark/>
          </w:tcPr>
          <w:p w:rsidR="004C74C2" w:rsidRPr="00B53423" w:rsidRDefault="004C74C2" w:rsidP="0015232B">
            <w:pPr>
              <w:spacing w:before="0" w:line="240" w:lineRule="auto"/>
              <w:ind w:right="72"/>
              <w:jc w:val="right"/>
              <w:rPr>
                <w:rFonts w:cs="Calibri"/>
                <w:color w:val="000000"/>
              </w:rPr>
            </w:pPr>
            <w:r w:rsidRPr="00B53423">
              <w:rPr>
                <w:rFonts w:cs="Calibri"/>
                <w:color w:val="000000"/>
              </w:rPr>
              <w:t>1.33</w:t>
            </w:r>
          </w:p>
        </w:tc>
        <w:tc>
          <w:tcPr>
            <w:tcW w:w="1260" w:type="dxa"/>
            <w:shd w:val="clear" w:color="auto" w:fill="auto"/>
            <w:vAlign w:val="bottom"/>
            <w:hideMark/>
          </w:tcPr>
          <w:p w:rsidR="004C74C2" w:rsidRPr="00B53423" w:rsidRDefault="004C74C2" w:rsidP="0015232B">
            <w:pPr>
              <w:spacing w:before="0" w:line="240" w:lineRule="auto"/>
              <w:ind w:right="162"/>
              <w:jc w:val="right"/>
              <w:rPr>
                <w:rFonts w:cs="Calibri"/>
                <w:color w:val="000000"/>
              </w:rPr>
            </w:pPr>
            <w:r w:rsidRPr="00B53423">
              <w:rPr>
                <w:rFonts w:cs="Calibri"/>
                <w:color w:val="000000"/>
              </w:rPr>
              <w:t>1.33</w:t>
            </w:r>
          </w:p>
        </w:tc>
      </w:tr>
      <w:tr w:rsidR="004C74C2" w:rsidRPr="00B53423" w:rsidTr="009268E4">
        <w:trPr>
          <w:trHeight w:val="300"/>
        </w:trPr>
        <w:tc>
          <w:tcPr>
            <w:tcW w:w="371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A&amp;G Expenses Capitalisation</w:t>
            </w:r>
          </w:p>
        </w:tc>
        <w:tc>
          <w:tcPr>
            <w:tcW w:w="1332" w:type="dxa"/>
            <w:shd w:val="clear" w:color="auto" w:fill="auto"/>
            <w:vAlign w:val="bottom"/>
            <w:hideMark/>
          </w:tcPr>
          <w:p w:rsidR="004C74C2" w:rsidRPr="00B53423" w:rsidRDefault="004C74C2" w:rsidP="0015232B">
            <w:pPr>
              <w:spacing w:before="0" w:line="240" w:lineRule="auto"/>
              <w:ind w:right="314"/>
              <w:jc w:val="right"/>
              <w:rPr>
                <w:rFonts w:cs="Calibri"/>
                <w:color w:val="000000"/>
              </w:rPr>
            </w:pPr>
            <w:r w:rsidRPr="00B53423">
              <w:rPr>
                <w:rFonts w:cs="Calibri"/>
                <w:color w:val="000000"/>
              </w:rPr>
              <w:t xml:space="preserve"> 2.5 </w:t>
            </w:r>
          </w:p>
        </w:tc>
        <w:tc>
          <w:tcPr>
            <w:tcW w:w="982"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0.01</w:t>
            </w:r>
          </w:p>
        </w:tc>
        <w:tc>
          <w:tcPr>
            <w:tcW w:w="1176" w:type="dxa"/>
            <w:shd w:val="clear" w:color="auto" w:fill="auto"/>
            <w:vAlign w:val="bottom"/>
            <w:hideMark/>
          </w:tcPr>
          <w:p w:rsidR="004C74C2" w:rsidRPr="00B53423" w:rsidRDefault="004C74C2" w:rsidP="0015232B">
            <w:pPr>
              <w:spacing w:before="0" w:line="240" w:lineRule="auto"/>
              <w:ind w:right="72"/>
              <w:jc w:val="right"/>
              <w:rPr>
                <w:rFonts w:cs="Calibri"/>
                <w:color w:val="000000"/>
              </w:rPr>
            </w:pPr>
            <w:r w:rsidRPr="00B53423">
              <w:rPr>
                <w:rFonts w:cs="Calibri"/>
                <w:color w:val="000000"/>
              </w:rPr>
              <w:t>0.01</w:t>
            </w:r>
          </w:p>
        </w:tc>
        <w:tc>
          <w:tcPr>
            <w:tcW w:w="1260" w:type="dxa"/>
            <w:shd w:val="clear" w:color="auto" w:fill="auto"/>
            <w:vAlign w:val="bottom"/>
            <w:hideMark/>
          </w:tcPr>
          <w:p w:rsidR="004C74C2" w:rsidRPr="00B53423" w:rsidRDefault="004C74C2" w:rsidP="0015232B">
            <w:pPr>
              <w:spacing w:before="0" w:line="240" w:lineRule="auto"/>
              <w:ind w:right="162"/>
              <w:jc w:val="right"/>
              <w:rPr>
                <w:rFonts w:cs="Calibri"/>
                <w:color w:val="000000"/>
              </w:rPr>
            </w:pPr>
            <w:r w:rsidRPr="00B53423">
              <w:rPr>
                <w:rFonts w:cs="Calibri"/>
                <w:color w:val="000000"/>
              </w:rPr>
              <w:t>0.01</w:t>
            </w:r>
          </w:p>
        </w:tc>
      </w:tr>
      <w:tr w:rsidR="004C74C2" w:rsidRPr="00B53423" w:rsidTr="009268E4">
        <w:trPr>
          <w:trHeight w:val="600"/>
        </w:trPr>
        <w:tc>
          <w:tcPr>
            <w:tcW w:w="3710"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Interest Capitalisation on Interest on long term loans</w:t>
            </w:r>
          </w:p>
        </w:tc>
        <w:tc>
          <w:tcPr>
            <w:tcW w:w="1332" w:type="dxa"/>
            <w:shd w:val="clear" w:color="auto" w:fill="auto"/>
            <w:vAlign w:val="bottom"/>
            <w:hideMark/>
          </w:tcPr>
          <w:p w:rsidR="004C74C2" w:rsidRPr="00B53423" w:rsidRDefault="004C74C2" w:rsidP="0015232B">
            <w:pPr>
              <w:spacing w:before="0" w:line="240" w:lineRule="auto"/>
              <w:ind w:right="314"/>
              <w:jc w:val="right"/>
              <w:rPr>
                <w:rFonts w:cs="Calibri"/>
                <w:color w:val="000000"/>
              </w:rPr>
            </w:pPr>
            <w:r w:rsidRPr="00B53423">
              <w:rPr>
                <w:rFonts w:cs="Calibri"/>
                <w:color w:val="000000"/>
              </w:rPr>
              <w:t xml:space="preserve"> 0.7 </w:t>
            </w:r>
          </w:p>
        </w:tc>
        <w:tc>
          <w:tcPr>
            <w:tcW w:w="982" w:type="dxa"/>
            <w:shd w:val="clear" w:color="auto" w:fill="auto"/>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176" w:type="dxa"/>
            <w:shd w:val="clear" w:color="auto" w:fill="auto"/>
            <w:vAlign w:val="bottom"/>
            <w:hideMark/>
          </w:tcPr>
          <w:p w:rsidR="004C74C2" w:rsidRPr="00B53423" w:rsidRDefault="004C74C2" w:rsidP="0015232B">
            <w:pPr>
              <w:spacing w:before="0" w:line="240" w:lineRule="auto"/>
              <w:ind w:right="72"/>
              <w:jc w:val="right"/>
              <w:rPr>
                <w:rFonts w:cs="Calibri"/>
                <w:color w:val="000000"/>
              </w:rPr>
            </w:pPr>
            <w:r w:rsidRPr="00B53423">
              <w:rPr>
                <w:rFonts w:cs="Calibri"/>
                <w:color w:val="000000"/>
              </w:rPr>
              <w:t>0.00</w:t>
            </w:r>
          </w:p>
        </w:tc>
        <w:tc>
          <w:tcPr>
            <w:tcW w:w="1260" w:type="dxa"/>
            <w:shd w:val="clear" w:color="auto" w:fill="auto"/>
            <w:vAlign w:val="bottom"/>
            <w:hideMark/>
          </w:tcPr>
          <w:p w:rsidR="004C74C2" w:rsidRPr="00B53423" w:rsidRDefault="004C74C2" w:rsidP="0015232B">
            <w:pPr>
              <w:spacing w:before="0" w:line="240" w:lineRule="auto"/>
              <w:ind w:right="162"/>
              <w:jc w:val="right"/>
              <w:rPr>
                <w:rFonts w:cs="Calibri"/>
                <w:color w:val="000000"/>
              </w:rPr>
            </w:pPr>
            <w:r w:rsidRPr="00B53423">
              <w:rPr>
                <w:rFonts w:cs="Calibri"/>
                <w:color w:val="000000"/>
              </w:rPr>
              <w:t>0.00</w:t>
            </w:r>
          </w:p>
        </w:tc>
      </w:tr>
      <w:tr w:rsidR="004C74C2" w:rsidRPr="00B53423" w:rsidTr="009268E4">
        <w:trPr>
          <w:trHeight w:val="300"/>
        </w:trPr>
        <w:tc>
          <w:tcPr>
            <w:tcW w:w="3710"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Total Investments</w:t>
            </w:r>
          </w:p>
        </w:tc>
        <w:tc>
          <w:tcPr>
            <w:tcW w:w="1332" w:type="dxa"/>
            <w:shd w:val="clear" w:color="auto" w:fill="auto"/>
            <w:vAlign w:val="bottom"/>
            <w:hideMark/>
          </w:tcPr>
          <w:p w:rsidR="004C74C2" w:rsidRPr="00B53423" w:rsidRDefault="004C74C2" w:rsidP="0015232B">
            <w:pPr>
              <w:spacing w:before="0" w:line="240" w:lineRule="auto"/>
              <w:ind w:right="314"/>
              <w:jc w:val="right"/>
              <w:rPr>
                <w:rFonts w:cs="Calibri"/>
                <w:b/>
                <w:color w:val="000000"/>
              </w:rPr>
            </w:pPr>
            <w:r w:rsidRPr="00B53423">
              <w:rPr>
                <w:rFonts w:cs="Calibri"/>
                <w:b/>
                <w:color w:val="000000"/>
              </w:rPr>
              <w:t xml:space="preserve"> 137.8 </w:t>
            </w:r>
          </w:p>
        </w:tc>
        <w:tc>
          <w:tcPr>
            <w:tcW w:w="982"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60.51</w:t>
            </w:r>
          </w:p>
        </w:tc>
        <w:tc>
          <w:tcPr>
            <w:tcW w:w="1176" w:type="dxa"/>
            <w:shd w:val="clear" w:color="auto" w:fill="auto"/>
            <w:vAlign w:val="bottom"/>
            <w:hideMark/>
          </w:tcPr>
          <w:p w:rsidR="004C74C2" w:rsidRPr="00B53423" w:rsidRDefault="004C74C2" w:rsidP="0015232B">
            <w:pPr>
              <w:spacing w:before="0" w:line="240" w:lineRule="auto"/>
              <w:ind w:right="72"/>
              <w:jc w:val="right"/>
              <w:rPr>
                <w:rFonts w:cs="Calibri"/>
                <w:b/>
                <w:bCs/>
                <w:color w:val="000000"/>
              </w:rPr>
            </w:pPr>
            <w:r w:rsidRPr="00B53423">
              <w:rPr>
                <w:rFonts w:cs="Calibri"/>
                <w:b/>
                <w:bCs/>
                <w:color w:val="000000"/>
              </w:rPr>
              <w:t>60.51</w:t>
            </w:r>
          </w:p>
        </w:tc>
        <w:tc>
          <w:tcPr>
            <w:tcW w:w="1260" w:type="dxa"/>
            <w:shd w:val="clear" w:color="auto" w:fill="auto"/>
            <w:vAlign w:val="bottom"/>
            <w:hideMark/>
          </w:tcPr>
          <w:p w:rsidR="004C74C2" w:rsidRPr="00B53423" w:rsidRDefault="004C74C2" w:rsidP="0015232B">
            <w:pPr>
              <w:spacing w:before="0" w:line="240" w:lineRule="auto"/>
              <w:ind w:right="162"/>
              <w:jc w:val="right"/>
              <w:rPr>
                <w:rFonts w:cs="Calibri"/>
                <w:b/>
                <w:bCs/>
                <w:color w:val="000000"/>
              </w:rPr>
            </w:pPr>
            <w:r w:rsidRPr="00B53423">
              <w:rPr>
                <w:rFonts w:cs="Calibri"/>
                <w:b/>
                <w:bCs/>
                <w:color w:val="000000"/>
              </w:rPr>
              <w:t>60.51</w:t>
            </w:r>
          </w:p>
        </w:tc>
      </w:tr>
      <w:tr w:rsidR="004C74C2" w:rsidRPr="00B53423" w:rsidTr="009268E4">
        <w:trPr>
          <w:trHeight w:val="300"/>
        </w:trPr>
        <w:tc>
          <w:tcPr>
            <w:tcW w:w="3710"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Transferred to GFA (Total Capitalisation)</w:t>
            </w:r>
          </w:p>
        </w:tc>
        <w:tc>
          <w:tcPr>
            <w:tcW w:w="1332" w:type="dxa"/>
            <w:shd w:val="clear" w:color="auto" w:fill="auto"/>
            <w:vAlign w:val="bottom"/>
            <w:hideMark/>
          </w:tcPr>
          <w:p w:rsidR="004C74C2" w:rsidRPr="00B53423" w:rsidRDefault="004C74C2" w:rsidP="0015232B">
            <w:pPr>
              <w:spacing w:before="0" w:line="240" w:lineRule="auto"/>
              <w:ind w:right="314"/>
              <w:jc w:val="right"/>
              <w:rPr>
                <w:rFonts w:cs="Calibri"/>
                <w:b/>
                <w:color w:val="000000"/>
              </w:rPr>
            </w:pPr>
            <w:r w:rsidRPr="00B53423">
              <w:rPr>
                <w:rFonts w:cs="Calibri"/>
                <w:b/>
                <w:color w:val="000000"/>
              </w:rPr>
              <w:t xml:space="preserve"> 55.8 </w:t>
            </w:r>
          </w:p>
        </w:tc>
        <w:tc>
          <w:tcPr>
            <w:tcW w:w="982"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15.84</w:t>
            </w:r>
          </w:p>
        </w:tc>
        <w:tc>
          <w:tcPr>
            <w:tcW w:w="1176" w:type="dxa"/>
            <w:shd w:val="clear" w:color="auto" w:fill="auto"/>
            <w:vAlign w:val="bottom"/>
            <w:hideMark/>
          </w:tcPr>
          <w:p w:rsidR="004C74C2" w:rsidRPr="00B53423" w:rsidRDefault="004C74C2" w:rsidP="0015232B">
            <w:pPr>
              <w:spacing w:before="0" w:line="240" w:lineRule="auto"/>
              <w:ind w:right="72"/>
              <w:jc w:val="right"/>
              <w:rPr>
                <w:rFonts w:cs="Calibri"/>
                <w:b/>
                <w:bCs/>
                <w:color w:val="000000"/>
              </w:rPr>
            </w:pPr>
            <w:r w:rsidRPr="00B53423">
              <w:rPr>
                <w:rFonts w:cs="Calibri"/>
                <w:b/>
                <w:bCs/>
                <w:color w:val="000000"/>
              </w:rPr>
              <w:t>15.84</w:t>
            </w:r>
          </w:p>
        </w:tc>
        <w:tc>
          <w:tcPr>
            <w:tcW w:w="1260" w:type="dxa"/>
            <w:shd w:val="clear" w:color="auto" w:fill="auto"/>
            <w:vAlign w:val="bottom"/>
            <w:hideMark/>
          </w:tcPr>
          <w:p w:rsidR="004C74C2" w:rsidRPr="00B53423" w:rsidRDefault="004C74C2" w:rsidP="0015232B">
            <w:pPr>
              <w:spacing w:before="0" w:line="240" w:lineRule="auto"/>
              <w:ind w:right="162"/>
              <w:jc w:val="right"/>
              <w:rPr>
                <w:rFonts w:cs="Calibri"/>
                <w:b/>
                <w:bCs/>
                <w:color w:val="000000"/>
              </w:rPr>
            </w:pPr>
            <w:r w:rsidRPr="00B53423">
              <w:rPr>
                <w:rFonts w:cs="Calibri"/>
                <w:b/>
                <w:bCs/>
                <w:color w:val="000000"/>
              </w:rPr>
              <w:t>15.84</w:t>
            </w:r>
          </w:p>
        </w:tc>
      </w:tr>
      <w:tr w:rsidR="004C74C2" w:rsidRPr="00B53423" w:rsidTr="009268E4">
        <w:trPr>
          <w:trHeight w:val="300"/>
        </w:trPr>
        <w:tc>
          <w:tcPr>
            <w:tcW w:w="3710"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Closing WIP</w:t>
            </w:r>
          </w:p>
        </w:tc>
        <w:tc>
          <w:tcPr>
            <w:tcW w:w="1332" w:type="dxa"/>
            <w:shd w:val="clear" w:color="auto" w:fill="auto"/>
            <w:vAlign w:val="bottom"/>
            <w:hideMark/>
          </w:tcPr>
          <w:p w:rsidR="004C74C2" w:rsidRPr="00B53423" w:rsidRDefault="004C74C2" w:rsidP="0015232B">
            <w:pPr>
              <w:spacing w:before="0" w:line="240" w:lineRule="auto"/>
              <w:ind w:right="314"/>
              <w:jc w:val="right"/>
              <w:rPr>
                <w:rFonts w:cs="Calibri"/>
                <w:b/>
                <w:color w:val="000000"/>
              </w:rPr>
            </w:pPr>
            <w:r w:rsidRPr="00B53423">
              <w:rPr>
                <w:rFonts w:cs="Calibri"/>
                <w:color w:val="000000"/>
              </w:rPr>
              <w:t> </w:t>
            </w:r>
            <w:r w:rsidRPr="00B53423">
              <w:rPr>
                <w:rFonts w:cs="Calibri"/>
                <w:b/>
                <w:color w:val="000000"/>
              </w:rPr>
              <w:t xml:space="preserve">82.0 </w:t>
            </w:r>
          </w:p>
        </w:tc>
        <w:tc>
          <w:tcPr>
            <w:tcW w:w="982" w:type="dxa"/>
            <w:shd w:val="clear" w:color="auto" w:fill="auto"/>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44.67</w:t>
            </w:r>
          </w:p>
        </w:tc>
        <w:tc>
          <w:tcPr>
            <w:tcW w:w="1176" w:type="dxa"/>
            <w:shd w:val="clear" w:color="auto" w:fill="auto"/>
            <w:vAlign w:val="bottom"/>
            <w:hideMark/>
          </w:tcPr>
          <w:p w:rsidR="004C74C2" w:rsidRPr="00B53423" w:rsidRDefault="004C74C2" w:rsidP="0015232B">
            <w:pPr>
              <w:spacing w:before="0" w:line="240" w:lineRule="auto"/>
              <w:ind w:right="72"/>
              <w:jc w:val="right"/>
              <w:rPr>
                <w:rFonts w:cs="Calibri"/>
                <w:b/>
                <w:bCs/>
                <w:color w:val="000000"/>
              </w:rPr>
            </w:pPr>
            <w:r w:rsidRPr="00B53423">
              <w:rPr>
                <w:rFonts w:cs="Calibri"/>
                <w:b/>
                <w:bCs/>
                <w:color w:val="000000"/>
              </w:rPr>
              <w:t>44.67</w:t>
            </w:r>
          </w:p>
        </w:tc>
        <w:tc>
          <w:tcPr>
            <w:tcW w:w="1260" w:type="dxa"/>
            <w:shd w:val="clear" w:color="auto" w:fill="auto"/>
            <w:vAlign w:val="bottom"/>
            <w:hideMark/>
          </w:tcPr>
          <w:p w:rsidR="004C74C2" w:rsidRPr="00B53423" w:rsidRDefault="004C74C2" w:rsidP="0015232B">
            <w:pPr>
              <w:spacing w:before="0" w:line="240" w:lineRule="auto"/>
              <w:ind w:right="162"/>
              <w:jc w:val="right"/>
              <w:rPr>
                <w:rFonts w:cs="Calibri"/>
                <w:b/>
                <w:bCs/>
                <w:color w:val="000000"/>
              </w:rPr>
            </w:pPr>
            <w:r w:rsidRPr="00B53423">
              <w:rPr>
                <w:rFonts w:cs="Calibri"/>
                <w:b/>
                <w:bCs/>
                <w:color w:val="000000"/>
              </w:rPr>
              <w:t>44.67</w:t>
            </w:r>
          </w:p>
        </w:tc>
      </w:tr>
    </w:tbl>
    <w:p w:rsidR="004C74C2" w:rsidRPr="00B53423" w:rsidRDefault="004C74C2" w:rsidP="0015232B">
      <w:pPr>
        <w:spacing w:before="0"/>
        <w:jc w:val="center"/>
        <w:rPr>
          <w:rFonts w:asciiTheme="minorHAnsi" w:hAnsiTheme="minorHAnsi" w:cstheme="minorHAnsi"/>
          <w:b/>
        </w:rPr>
      </w:pPr>
    </w:p>
    <w:p w:rsidR="004C74C2" w:rsidRPr="00B53423" w:rsidRDefault="004C74C2" w:rsidP="0015232B">
      <w:pPr>
        <w:pStyle w:val="Heading3"/>
        <w:keepNext w:val="0"/>
        <w:ind w:hanging="1080"/>
      </w:pPr>
      <w:r w:rsidRPr="00B53423">
        <w:t>The Commission  vide its deficiency note asked the Petitioner to submit the details of the GFA addition on account of Consumer Contribution, Grants and subsidies for FY 2008-09 to FY 2011-12. In reply to the Commission’s query the Petitioner submitted the details of GFA addition on account of Consumer Contribution, Grants and subsidies for FY 2011-12 as shown in the Table below:</w:t>
      </w:r>
    </w:p>
    <w:p w:rsidR="004C74C2" w:rsidRPr="00B53423" w:rsidRDefault="004C74C2" w:rsidP="0015232B">
      <w:pPr>
        <w:pStyle w:val="ListParagraph"/>
        <w:spacing w:line="312" w:lineRule="auto"/>
        <w:ind w:left="360"/>
        <w:rPr>
          <w:rFonts w:asciiTheme="minorHAnsi" w:hAnsiTheme="minorHAnsi" w:cstheme="minorHAnsi"/>
          <w:b/>
        </w:rPr>
      </w:pPr>
    </w:p>
    <w:p w:rsidR="004C74C2" w:rsidRPr="00B53423" w:rsidRDefault="004C74C2" w:rsidP="0015232B">
      <w:pPr>
        <w:pStyle w:val="ListParagraph"/>
        <w:spacing w:line="312" w:lineRule="auto"/>
        <w:ind w:left="360" w:firstLine="360"/>
        <w:jc w:val="center"/>
        <w:rPr>
          <w:rFonts w:asciiTheme="minorHAnsi" w:hAnsiTheme="minorHAnsi"/>
          <w:sz w:val="22"/>
          <w:szCs w:val="22"/>
        </w:rPr>
      </w:pPr>
      <w:bookmarkStart w:id="539" w:name="_Toc399626389"/>
      <w:r w:rsidRPr="00B53423">
        <w:rPr>
          <w:rFonts w:asciiTheme="minorHAnsi" w:hAnsiTheme="minorHAnsi" w:cstheme="minorHAnsi"/>
          <w:b/>
          <w:caps/>
        </w:rPr>
        <w:t xml:space="preserve">Table </w:t>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STYLEREF 1 \s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7</w:t>
      </w:r>
      <w:r w:rsidR="005D68E7" w:rsidRPr="00B53423">
        <w:rPr>
          <w:rFonts w:asciiTheme="minorHAnsi" w:hAnsiTheme="minorHAnsi" w:cstheme="minorHAnsi"/>
          <w:b/>
          <w:caps/>
        </w:rPr>
        <w:fldChar w:fldCharType="end"/>
      </w:r>
      <w:r w:rsidRPr="00B53423">
        <w:rPr>
          <w:rFonts w:asciiTheme="minorHAnsi" w:hAnsiTheme="minorHAnsi" w:cstheme="minorHAnsi"/>
          <w:b/>
          <w:caps/>
        </w:rPr>
        <w:noBreakHyphen/>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SEQ Table \* ARABIC \s 1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8</w:t>
      </w:r>
      <w:r w:rsidR="005D68E7" w:rsidRPr="00B53423">
        <w:rPr>
          <w:rFonts w:asciiTheme="minorHAnsi" w:hAnsiTheme="minorHAnsi" w:cstheme="minorHAnsi"/>
          <w:b/>
          <w:caps/>
        </w:rPr>
        <w:fldChar w:fldCharType="end"/>
      </w:r>
      <w:r w:rsidRPr="00B53423">
        <w:rPr>
          <w:rFonts w:asciiTheme="minorHAnsi" w:hAnsiTheme="minorHAnsi" w:cstheme="minorHAnsi"/>
          <w:b/>
          <w:caps/>
        </w:rPr>
        <w:t xml:space="preserve">: </w:t>
      </w:r>
      <w:r w:rsidRPr="00B53423">
        <w:rPr>
          <w:rFonts w:asciiTheme="minorHAnsi" w:hAnsiTheme="minorHAnsi"/>
          <w:caps/>
        </w:rPr>
        <w:t xml:space="preserve"> </w:t>
      </w:r>
      <w:r w:rsidRPr="00B53423">
        <w:rPr>
          <w:rFonts w:asciiTheme="minorHAnsi" w:hAnsiTheme="minorHAnsi"/>
          <w:b/>
          <w:caps/>
        </w:rPr>
        <w:t>Consumer Contribution</w:t>
      </w:r>
      <w:r w:rsidRPr="00B53423">
        <w:rPr>
          <w:rFonts w:asciiTheme="minorHAnsi" w:hAnsiTheme="minorHAnsi" w:cstheme="minorHAnsi"/>
          <w:b/>
          <w:caps/>
        </w:rPr>
        <w:t>, Grants and subsidies</w:t>
      </w:r>
      <w:r w:rsidRPr="00B53423">
        <w:rPr>
          <w:rFonts w:asciiTheme="minorHAnsi" w:hAnsiTheme="minorHAnsi" w:cstheme="minorHAnsi"/>
          <w:b/>
          <w:sz w:val="22"/>
          <w:szCs w:val="22"/>
        </w:rPr>
        <w:t xml:space="preserve"> (Rs. Crore)</w:t>
      </w:r>
      <w:bookmarkEnd w:id="539"/>
    </w:p>
    <w:tbl>
      <w:tblPr>
        <w:tblW w:w="7308" w:type="dxa"/>
        <w:jc w:val="center"/>
        <w:tblInd w:w="-278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584"/>
        <w:gridCol w:w="1724"/>
      </w:tblGrid>
      <w:tr w:rsidR="004C74C2" w:rsidRPr="00B53423" w:rsidTr="009268E4">
        <w:trPr>
          <w:trHeight w:val="300"/>
          <w:tblHeader/>
          <w:jc w:val="center"/>
        </w:trPr>
        <w:tc>
          <w:tcPr>
            <w:tcW w:w="5584" w:type="dxa"/>
            <w:shd w:val="clear" w:color="auto" w:fill="DBE5F1" w:themeFill="accent1" w:themeFillTint="33"/>
            <w:noWrap/>
            <w:vAlign w:val="center"/>
            <w:hideMark/>
          </w:tcPr>
          <w:p w:rsidR="004C74C2" w:rsidRPr="00B53423" w:rsidRDefault="004C74C2" w:rsidP="0015232B">
            <w:pPr>
              <w:spacing w:before="0"/>
              <w:jc w:val="center"/>
              <w:rPr>
                <w:b/>
                <w:bCs/>
                <w:color w:val="000000"/>
              </w:rPr>
            </w:pPr>
            <w:r w:rsidRPr="00B53423">
              <w:rPr>
                <w:b/>
                <w:bCs/>
                <w:color w:val="000000"/>
              </w:rPr>
              <w:t>Particulars</w:t>
            </w:r>
          </w:p>
        </w:tc>
        <w:tc>
          <w:tcPr>
            <w:tcW w:w="1724" w:type="dxa"/>
            <w:shd w:val="clear" w:color="auto" w:fill="DBE5F1" w:themeFill="accent1" w:themeFillTint="33"/>
            <w:noWrap/>
            <w:vAlign w:val="center"/>
            <w:hideMark/>
          </w:tcPr>
          <w:p w:rsidR="004C74C2" w:rsidRPr="00B53423" w:rsidRDefault="004C74C2" w:rsidP="0015232B">
            <w:pPr>
              <w:spacing w:before="0"/>
              <w:rPr>
                <w:b/>
                <w:bCs/>
                <w:color w:val="000000"/>
              </w:rPr>
            </w:pPr>
            <w:r w:rsidRPr="00B53423">
              <w:rPr>
                <w:b/>
                <w:bCs/>
                <w:color w:val="000000"/>
              </w:rPr>
              <w:t xml:space="preserve"> FY 2011-12</w:t>
            </w:r>
          </w:p>
        </w:tc>
      </w:tr>
      <w:tr w:rsidR="004C74C2" w:rsidRPr="00B53423" w:rsidTr="009268E4">
        <w:trPr>
          <w:trHeight w:val="300"/>
          <w:jc w:val="center"/>
        </w:trPr>
        <w:tc>
          <w:tcPr>
            <w:tcW w:w="5584"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Opening Balance</w:t>
            </w:r>
          </w:p>
        </w:tc>
        <w:tc>
          <w:tcPr>
            <w:tcW w:w="1724" w:type="dxa"/>
            <w:shd w:val="clear" w:color="auto" w:fill="auto"/>
            <w:noWrap/>
            <w:vAlign w:val="center"/>
            <w:hideMark/>
          </w:tcPr>
          <w:p w:rsidR="004C74C2" w:rsidRPr="00B53423" w:rsidRDefault="004C74C2" w:rsidP="0015232B">
            <w:pPr>
              <w:spacing w:before="0" w:line="240" w:lineRule="auto"/>
              <w:ind w:right="320"/>
              <w:jc w:val="right"/>
              <w:rPr>
                <w:color w:val="000000"/>
              </w:rPr>
            </w:pPr>
            <w:r w:rsidRPr="00B53423">
              <w:rPr>
                <w:color w:val="000000"/>
              </w:rPr>
              <w:t>177.20</w:t>
            </w:r>
          </w:p>
        </w:tc>
      </w:tr>
      <w:tr w:rsidR="004C74C2" w:rsidRPr="00B53423" w:rsidTr="009268E4">
        <w:trPr>
          <w:trHeight w:val="300"/>
          <w:jc w:val="center"/>
        </w:trPr>
        <w:tc>
          <w:tcPr>
            <w:tcW w:w="5584"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Additions during the year</w:t>
            </w:r>
          </w:p>
        </w:tc>
        <w:tc>
          <w:tcPr>
            <w:tcW w:w="1724" w:type="dxa"/>
            <w:shd w:val="clear" w:color="auto" w:fill="auto"/>
            <w:noWrap/>
            <w:vAlign w:val="center"/>
            <w:hideMark/>
          </w:tcPr>
          <w:p w:rsidR="004C74C2" w:rsidRPr="00B53423" w:rsidRDefault="004C74C2" w:rsidP="0015232B">
            <w:pPr>
              <w:spacing w:before="0" w:line="240" w:lineRule="auto"/>
              <w:ind w:right="320"/>
              <w:jc w:val="right"/>
              <w:rPr>
                <w:color w:val="000000"/>
              </w:rPr>
            </w:pPr>
            <w:r w:rsidRPr="00B53423">
              <w:rPr>
                <w:color w:val="000000"/>
              </w:rPr>
              <w:t>18.27</w:t>
            </w:r>
          </w:p>
        </w:tc>
      </w:tr>
      <w:tr w:rsidR="004C74C2" w:rsidRPr="00B53423" w:rsidTr="009268E4">
        <w:trPr>
          <w:trHeight w:val="300"/>
          <w:jc w:val="center"/>
        </w:trPr>
        <w:tc>
          <w:tcPr>
            <w:tcW w:w="5584"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Amortization</w:t>
            </w:r>
          </w:p>
        </w:tc>
        <w:tc>
          <w:tcPr>
            <w:tcW w:w="1724" w:type="dxa"/>
            <w:shd w:val="clear" w:color="auto" w:fill="auto"/>
            <w:noWrap/>
            <w:vAlign w:val="center"/>
            <w:hideMark/>
          </w:tcPr>
          <w:p w:rsidR="004C74C2" w:rsidRPr="00B53423" w:rsidRDefault="004C74C2" w:rsidP="0015232B">
            <w:pPr>
              <w:spacing w:before="0" w:line="240" w:lineRule="auto"/>
              <w:ind w:right="320"/>
              <w:jc w:val="right"/>
              <w:rPr>
                <w:color w:val="000000"/>
              </w:rPr>
            </w:pPr>
            <w:r w:rsidRPr="00B53423">
              <w:rPr>
                <w:color w:val="000000"/>
              </w:rPr>
              <w:t>56.74</w:t>
            </w:r>
          </w:p>
        </w:tc>
      </w:tr>
      <w:tr w:rsidR="004C74C2" w:rsidRPr="00B53423" w:rsidTr="009268E4">
        <w:trPr>
          <w:trHeight w:val="300"/>
          <w:jc w:val="center"/>
        </w:trPr>
        <w:tc>
          <w:tcPr>
            <w:tcW w:w="5584" w:type="dxa"/>
            <w:shd w:val="clear" w:color="auto" w:fill="auto"/>
            <w:noWrap/>
            <w:vAlign w:val="center"/>
            <w:hideMark/>
          </w:tcPr>
          <w:p w:rsidR="004C74C2" w:rsidRPr="00B53423" w:rsidRDefault="004C74C2" w:rsidP="0015232B">
            <w:pPr>
              <w:spacing w:before="0" w:line="240" w:lineRule="auto"/>
              <w:jc w:val="left"/>
              <w:rPr>
                <w:bCs/>
                <w:color w:val="000000"/>
              </w:rPr>
            </w:pPr>
            <w:r w:rsidRPr="00B53423">
              <w:rPr>
                <w:bCs/>
                <w:color w:val="000000"/>
              </w:rPr>
              <w:t>Closing Balance</w:t>
            </w:r>
          </w:p>
        </w:tc>
        <w:tc>
          <w:tcPr>
            <w:tcW w:w="1724" w:type="dxa"/>
            <w:shd w:val="clear" w:color="auto" w:fill="auto"/>
            <w:noWrap/>
            <w:vAlign w:val="center"/>
            <w:hideMark/>
          </w:tcPr>
          <w:p w:rsidR="004C74C2" w:rsidRPr="00B53423" w:rsidRDefault="004C74C2" w:rsidP="0015232B">
            <w:pPr>
              <w:spacing w:before="0" w:line="240" w:lineRule="auto"/>
              <w:ind w:right="320"/>
              <w:jc w:val="right"/>
              <w:rPr>
                <w:b/>
                <w:bCs/>
                <w:color w:val="000000"/>
              </w:rPr>
            </w:pPr>
            <w:r w:rsidRPr="00B53423">
              <w:rPr>
                <w:b/>
                <w:bCs/>
                <w:color w:val="000000"/>
              </w:rPr>
              <w:t>138.73</w:t>
            </w:r>
          </w:p>
        </w:tc>
      </w:tr>
    </w:tbl>
    <w:p w:rsidR="004C74C2" w:rsidRPr="00B53423" w:rsidRDefault="004C74C2" w:rsidP="0015232B">
      <w:pPr>
        <w:spacing w:before="0"/>
      </w:pPr>
    </w:p>
    <w:p w:rsidR="004C74C2" w:rsidRPr="00B53423" w:rsidRDefault="004C74C2" w:rsidP="0015232B">
      <w:pPr>
        <w:pStyle w:val="Heading3"/>
        <w:keepNext w:val="0"/>
        <w:ind w:hanging="1080"/>
      </w:pPr>
      <w:r w:rsidRPr="00B53423">
        <w:t xml:space="preserve">Further, the Commission has verified the details of GFA addition on account of consumer contributions, capital subsidies and grants from the Audited Accounts of FY 2011-12.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Thus, based on the above the approved financing of the capital investment is depicted in the Table below:</w:t>
      </w:r>
    </w:p>
    <w:p w:rsidR="004C74C2" w:rsidRPr="00B53423" w:rsidRDefault="004C74C2" w:rsidP="0015232B">
      <w:pPr>
        <w:jc w:val="center"/>
        <w:rPr>
          <w:rFonts w:asciiTheme="minorHAnsi" w:hAnsiTheme="minorHAnsi" w:cstheme="minorHAnsi"/>
          <w:b/>
        </w:rPr>
      </w:pPr>
    </w:p>
    <w:p w:rsidR="004C74C2" w:rsidRPr="00B53423" w:rsidRDefault="004C74C2" w:rsidP="0015232B">
      <w:pPr>
        <w:jc w:val="center"/>
        <w:rPr>
          <w:rFonts w:asciiTheme="minorHAnsi" w:hAnsiTheme="minorHAnsi" w:cstheme="minorHAnsi"/>
          <w:b/>
        </w:rPr>
      </w:pPr>
      <w:bookmarkStart w:id="540" w:name="_Toc399626390"/>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9</w:t>
      </w:r>
      <w:r w:rsidR="005D68E7" w:rsidRPr="00B53423">
        <w:rPr>
          <w:rFonts w:asciiTheme="minorHAnsi" w:hAnsiTheme="minorHAnsi" w:cstheme="minorHAnsi"/>
          <w:b/>
        </w:rPr>
        <w:fldChar w:fldCharType="end"/>
      </w:r>
      <w:r w:rsidRPr="00B53423">
        <w:rPr>
          <w:rFonts w:asciiTheme="minorHAnsi" w:hAnsiTheme="minorHAnsi" w:cstheme="minorHAnsi"/>
          <w:b/>
        </w:rPr>
        <w:t>: FINANCING OF THE CAPITAL INVESTMENTS IN FY 2011-12 (Rs. Crore)</w:t>
      </w:r>
      <w:bookmarkEnd w:id="540"/>
    </w:p>
    <w:tbl>
      <w:tblPr>
        <w:tblW w:w="8782"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243"/>
        <w:gridCol w:w="1265"/>
        <w:gridCol w:w="1361"/>
        <w:gridCol w:w="935"/>
        <w:gridCol w:w="1039"/>
        <w:gridCol w:w="939"/>
      </w:tblGrid>
      <w:tr w:rsidR="004C74C2" w:rsidRPr="00B53423" w:rsidTr="009268E4">
        <w:trPr>
          <w:trHeight w:val="300"/>
          <w:tblHeader/>
        </w:trPr>
        <w:tc>
          <w:tcPr>
            <w:tcW w:w="3304"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Particulars</w:t>
            </w:r>
          </w:p>
        </w:tc>
        <w:tc>
          <w:tcPr>
            <w:tcW w:w="1177" w:type="dxa"/>
            <w:shd w:val="clear" w:color="auto" w:fill="DBE5F1" w:themeFill="accent1" w:themeFillTint="33"/>
            <w:vAlign w:val="center"/>
          </w:tcPr>
          <w:p w:rsidR="004C74C2" w:rsidRPr="00B53423" w:rsidRDefault="004C74C2" w:rsidP="0015232B">
            <w:pPr>
              <w:spacing w:before="0" w:line="240" w:lineRule="auto"/>
              <w:jc w:val="center"/>
              <w:rPr>
                <w:rFonts w:cs="Calibri"/>
                <w:b/>
                <w:bCs/>
                <w:lang w:val="en-US"/>
              </w:rPr>
            </w:pPr>
            <w:r w:rsidRPr="00B53423">
              <w:rPr>
                <w:rFonts w:cs="Calibri"/>
                <w:b/>
                <w:bCs/>
                <w:lang w:val="en-US"/>
              </w:rPr>
              <w:t>Derivation</w:t>
            </w:r>
          </w:p>
        </w:tc>
        <w:tc>
          <w:tcPr>
            <w:tcW w:w="1374"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Tariff Order</w:t>
            </w:r>
          </w:p>
        </w:tc>
        <w:tc>
          <w:tcPr>
            <w:tcW w:w="937"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Audited</w:t>
            </w:r>
          </w:p>
        </w:tc>
        <w:tc>
          <w:tcPr>
            <w:tcW w:w="1045"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Petition</w:t>
            </w:r>
          </w:p>
        </w:tc>
        <w:tc>
          <w:tcPr>
            <w:tcW w:w="945"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w:t>
            </w:r>
          </w:p>
        </w:tc>
      </w:tr>
      <w:tr w:rsidR="004C74C2" w:rsidRPr="00B53423" w:rsidTr="009268E4">
        <w:trPr>
          <w:trHeight w:val="300"/>
        </w:trPr>
        <w:tc>
          <w:tcPr>
            <w:tcW w:w="3304"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Investment</w:t>
            </w:r>
          </w:p>
        </w:tc>
        <w:tc>
          <w:tcPr>
            <w:tcW w:w="1177" w:type="dxa"/>
            <w:vAlign w:val="center"/>
          </w:tcPr>
          <w:p w:rsidR="004C74C2" w:rsidRPr="00B53423" w:rsidRDefault="004C74C2" w:rsidP="0015232B">
            <w:pPr>
              <w:spacing w:before="0" w:line="240" w:lineRule="auto"/>
              <w:jc w:val="center"/>
              <w:rPr>
                <w:rFonts w:cs="Calibri"/>
                <w:lang w:val="en-US"/>
              </w:rPr>
            </w:pPr>
            <w:r w:rsidRPr="00B53423">
              <w:rPr>
                <w:rFonts w:cs="Calibri"/>
                <w:lang w:val="en-US"/>
              </w:rPr>
              <w:t>A</w:t>
            </w:r>
          </w:p>
        </w:tc>
        <w:tc>
          <w:tcPr>
            <w:tcW w:w="1374" w:type="dxa"/>
            <w:shd w:val="clear" w:color="auto" w:fill="auto"/>
            <w:vAlign w:val="center"/>
            <w:hideMark/>
          </w:tcPr>
          <w:p w:rsidR="004C74C2" w:rsidRPr="00B53423" w:rsidRDefault="004C74C2" w:rsidP="0015232B">
            <w:pPr>
              <w:spacing w:before="0"/>
              <w:ind w:right="338"/>
              <w:jc w:val="right"/>
              <w:rPr>
                <w:rFonts w:cs="Calibri"/>
                <w:color w:val="000000"/>
              </w:rPr>
            </w:pPr>
            <w:r w:rsidRPr="00B53423">
              <w:rPr>
                <w:rFonts w:cs="Calibri"/>
                <w:color w:val="000000"/>
              </w:rPr>
              <w:t>38.6</w:t>
            </w:r>
          </w:p>
        </w:tc>
        <w:tc>
          <w:tcPr>
            <w:tcW w:w="937" w:type="dxa"/>
            <w:shd w:val="clear" w:color="auto" w:fill="auto"/>
            <w:vAlign w:val="center"/>
            <w:hideMark/>
          </w:tcPr>
          <w:p w:rsidR="004C74C2" w:rsidRPr="00B53423" w:rsidRDefault="004C74C2" w:rsidP="0015232B">
            <w:pPr>
              <w:spacing w:before="0"/>
              <w:jc w:val="right"/>
              <w:rPr>
                <w:rFonts w:cs="Calibri"/>
              </w:rPr>
            </w:pPr>
            <w:r w:rsidRPr="00B53423">
              <w:rPr>
                <w:rFonts w:cs="Calibri"/>
              </w:rPr>
              <w:t>60.29</w:t>
            </w:r>
          </w:p>
        </w:tc>
        <w:tc>
          <w:tcPr>
            <w:tcW w:w="1045" w:type="dxa"/>
            <w:shd w:val="clear" w:color="auto" w:fill="auto"/>
            <w:vAlign w:val="center"/>
            <w:hideMark/>
          </w:tcPr>
          <w:p w:rsidR="004C74C2" w:rsidRPr="00B53423" w:rsidRDefault="004C74C2" w:rsidP="0015232B">
            <w:pPr>
              <w:spacing w:before="0"/>
              <w:jc w:val="right"/>
              <w:rPr>
                <w:rFonts w:cs="Calibri"/>
              </w:rPr>
            </w:pPr>
            <w:r w:rsidRPr="00B53423">
              <w:rPr>
                <w:rFonts w:cs="Calibri"/>
              </w:rPr>
              <w:t>22.67</w:t>
            </w:r>
          </w:p>
        </w:tc>
        <w:tc>
          <w:tcPr>
            <w:tcW w:w="945" w:type="dxa"/>
            <w:shd w:val="clear" w:color="auto" w:fill="auto"/>
            <w:vAlign w:val="center"/>
            <w:hideMark/>
          </w:tcPr>
          <w:p w:rsidR="004C74C2" w:rsidRPr="00B53423" w:rsidRDefault="004C74C2" w:rsidP="0015232B">
            <w:pPr>
              <w:spacing w:before="0"/>
              <w:jc w:val="right"/>
              <w:rPr>
                <w:rFonts w:cs="Calibri"/>
              </w:rPr>
            </w:pPr>
            <w:r w:rsidRPr="00B53423">
              <w:rPr>
                <w:rFonts w:cs="Calibri"/>
              </w:rPr>
              <w:t>22.67</w:t>
            </w:r>
          </w:p>
        </w:tc>
      </w:tr>
      <w:tr w:rsidR="004C74C2" w:rsidRPr="00B53423" w:rsidTr="009268E4">
        <w:trPr>
          <w:trHeight w:val="300"/>
        </w:trPr>
        <w:tc>
          <w:tcPr>
            <w:tcW w:w="3304"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 xml:space="preserve">Less: </w:t>
            </w:r>
          </w:p>
        </w:tc>
        <w:tc>
          <w:tcPr>
            <w:tcW w:w="1177" w:type="dxa"/>
            <w:vAlign w:val="center"/>
          </w:tcPr>
          <w:p w:rsidR="004C74C2" w:rsidRPr="00B53423" w:rsidRDefault="004C74C2" w:rsidP="0015232B">
            <w:pPr>
              <w:spacing w:before="0" w:line="240" w:lineRule="auto"/>
              <w:jc w:val="center"/>
              <w:rPr>
                <w:rFonts w:cs="Calibri"/>
                <w:lang w:val="en-US"/>
              </w:rPr>
            </w:pPr>
          </w:p>
        </w:tc>
        <w:tc>
          <w:tcPr>
            <w:tcW w:w="1374" w:type="dxa"/>
            <w:shd w:val="clear" w:color="auto" w:fill="auto"/>
            <w:vAlign w:val="center"/>
            <w:hideMark/>
          </w:tcPr>
          <w:p w:rsidR="004C74C2" w:rsidRPr="00B53423" w:rsidRDefault="004C74C2" w:rsidP="0015232B">
            <w:pPr>
              <w:spacing w:before="0"/>
              <w:ind w:right="338"/>
              <w:jc w:val="right"/>
              <w:rPr>
                <w:rFonts w:cs="Calibri"/>
                <w:color w:val="000000"/>
              </w:rPr>
            </w:pPr>
          </w:p>
        </w:tc>
        <w:tc>
          <w:tcPr>
            <w:tcW w:w="937" w:type="dxa"/>
            <w:shd w:val="clear" w:color="auto" w:fill="auto"/>
            <w:vAlign w:val="center"/>
            <w:hideMark/>
          </w:tcPr>
          <w:p w:rsidR="004C74C2" w:rsidRPr="00B53423" w:rsidRDefault="004C74C2" w:rsidP="0015232B">
            <w:pPr>
              <w:spacing w:before="0"/>
              <w:jc w:val="right"/>
              <w:rPr>
                <w:rFonts w:cs="Calibri"/>
              </w:rPr>
            </w:pPr>
          </w:p>
        </w:tc>
        <w:tc>
          <w:tcPr>
            <w:tcW w:w="1045" w:type="dxa"/>
            <w:shd w:val="clear" w:color="auto" w:fill="auto"/>
            <w:vAlign w:val="center"/>
            <w:hideMark/>
          </w:tcPr>
          <w:p w:rsidR="004C74C2" w:rsidRPr="00B53423" w:rsidRDefault="004C74C2" w:rsidP="0015232B">
            <w:pPr>
              <w:spacing w:before="0"/>
              <w:jc w:val="right"/>
              <w:rPr>
                <w:rFonts w:cs="Calibri"/>
              </w:rPr>
            </w:pPr>
            <w:r w:rsidRPr="00B53423">
              <w:rPr>
                <w:rFonts w:cs="Calibri"/>
              </w:rPr>
              <w:t>0</w:t>
            </w:r>
          </w:p>
        </w:tc>
        <w:tc>
          <w:tcPr>
            <w:tcW w:w="945" w:type="dxa"/>
            <w:shd w:val="clear" w:color="auto" w:fill="auto"/>
            <w:vAlign w:val="center"/>
            <w:hideMark/>
          </w:tcPr>
          <w:p w:rsidR="004C74C2" w:rsidRPr="00B53423" w:rsidRDefault="004C74C2" w:rsidP="0015232B">
            <w:pPr>
              <w:spacing w:before="0"/>
              <w:jc w:val="right"/>
              <w:rPr>
                <w:rFonts w:cs="Calibri"/>
              </w:rPr>
            </w:pPr>
            <w:r w:rsidRPr="00B53423">
              <w:rPr>
                <w:rFonts w:cs="Calibri"/>
              </w:rPr>
              <w:t>-</w:t>
            </w:r>
          </w:p>
        </w:tc>
      </w:tr>
      <w:tr w:rsidR="004C74C2" w:rsidRPr="00B53423" w:rsidTr="009268E4">
        <w:trPr>
          <w:trHeight w:val="300"/>
        </w:trPr>
        <w:tc>
          <w:tcPr>
            <w:tcW w:w="3304"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Consumer Contribution</w:t>
            </w:r>
          </w:p>
        </w:tc>
        <w:tc>
          <w:tcPr>
            <w:tcW w:w="1177" w:type="dxa"/>
            <w:vAlign w:val="center"/>
          </w:tcPr>
          <w:p w:rsidR="004C74C2" w:rsidRPr="00B53423" w:rsidRDefault="004C74C2" w:rsidP="0015232B">
            <w:pPr>
              <w:spacing w:before="0" w:line="240" w:lineRule="auto"/>
              <w:jc w:val="center"/>
              <w:rPr>
                <w:rFonts w:cs="Calibri"/>
                <w:lang w:val="en-US"/>
              </w:rPr>
            </w:pPr>
            <w:r w:rsidRPr="00B53423">
              <w:rPr>
                <w:rFonts w:cs="Calibri"/>
                <w:lang w:val="en-US"/>
              </w:rPr>
              <w:t>B</w:t>
            </w:r>
          </w:p>
        </w:tc>
        <w:tc>
          <w:tcPr>
            <w:tcW w:w="1374" w:type="dxa"/>
            <w:shd w:val="clear" w:color="auto" w:fill="auto"/>
            <w:vAlign w:val="center"/>
            <w:hideMark/>
          </w:tcPr>
          <w:p w:rsidR="004C74C2" w:rsidRPr="00B53423" w:rsidRDefault="004C74C2" w:rsidP="0015232B">
            <w:pPr>
              <w:spacing w:before="0"/>
              <w:ind w:right="338"/>
              <w:jc w:val="right"/>
              <w:rPr>
                <w:rFonts w:cs="Calibri"/>
                <w:color w:val="000000"/>
              </w:rPr>
            </w:pPr>
            <w:r w:rsidRPr="00B53423">
              <w:rPr>
                <w:rFonts w:cs="Calibri"/>
                <w:color w:val="000000"/>
              </w:rPr>
              <w:t>5</w:t>
            </w:r>
          </w:p>
        </w:tc>
        <w:tc>
          <w:tcPr>
            <w:tcW w:w="937" w:type="dxa"/>
            <w:shd w:val="clear" w:color="auto" w:fill="auto"/>
            <w:vAlign w:val="center"/>
            <w:hideMark/>
          </w:tcPr>
          <w:p w:rsidR="004C74C2" w:rsidRPr="00B53423" w:rsidRDefault="004C74C2" w:rsidP="0015232B">
            <w:pPr>
              <w:spacing w:before="0"/>
              <w:jc w:val="right"/>
              <w:rPr>
                <w:rFonts w:cs="Calibri"/>
              </w:rPr>
            </w:pPr>
            <w:r w:rsidRPr="00B53423">
              <w:rPr>
                <w:rFonts w:cs="Calibri"/>
              </w:rPr>
              <w:t>18.27</w:t>
            </w:r>
          </w:p>
        </w:tc>
        <w:tc>
          <w:tcPr>
            <w:tcW w:w="1045" w:type="dxa"/>
            <w:shd w:val="clear" w:color="auto" w:fill="auto"/>
            <w:vAlign w:val="center"/>
            <w:hideMark/>
          </w:tcPr>
          <w:p w:rsidR="004C74C2" w:rsidRPr="00B53423" w:rsidRDefault="004C74C2" w:rsidP="0015232B">
            <w:pPr>
              <w:spacing w:before="0"/>
              <w:jc w:val="right"/>
              <w:rPr>
                <w:rFonts w:cs="Calibri"/>
              </w:rPr>
            </w:pPr>
            <w:r w:rsidRPr="00B53423">
              <w:rPr>
                <w:rFonts w:cs="Calibri"/>
              </w:rPr>
              <w:t>18.27</w:t>
            </w:r>
          </w:p>
        </w:tc>
        <w:tc>
          <w:tcPr>
            <w:tcW w:w="945" w:type="dxa"/>
            <w:shd w:val="clear" w:color="auto" w:fill="auto"/>
            <w:vAlign w:val="center"/>
            <w:hideMark/>
          </w:tcPr>
          <w:p w:rsidR="004C74C2" w:rsidRPr="00B53423" w:rsidRDefault="004C74C2" w:rsidP="0015232B">
            <w:pPr>
              <w:spacing w:before="0"/>
              <w:jc w:val="right"/>
              <w:rPr>
                <w:rFonts w:cs="Calibri"/>
              </w:rPr>
            </w:pPr>
            <w:r w:rsidRPr="00B53423">
              <w:rPr>
                <w:rFonts w:cs="Calibri"/>
              </w:rPr>
              <w:t>18.27</w:t>
            </w:r>
          </w:p>
        </w:tc>
      </w:tr>
      <w:tr w:rsidR="004C74C2" w:rsidRPr="00B53423" w:rsidTr="009268E4">
        <w:trPr>
          <w:trHeight w:val="300"/>
        </w:trPr>
        <w:tc>
          <w:tcPr>
            <w:tcW w:w="3304"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Investment funded by debt and equity</w:t>
            </w:r>
          </w:p>
        </w:tc>
        <w:tc>
          <w:tcPr>
            <w:tcW w:w="1177" w:type="dxa"/>
            <w:vAlign w:val="center"/>
          </w:tcPr>
          <w:p w:rsidR="004C74C2" w:rsidRPr="00B53423" w:rsidRDefault="004C74C2" w:rsidP="0015232B">
            <w:pPr>
              <w:spacing w:before="0" w:line="240" w:lineRule="auto"/>
              <w:jc w:val="center"/>
              <w:rPr>
                <w:rFonts w:cs="Calibri"/>
                <w:lang w:val="en-US"/>
              </w:rPr>
            </w:pPr>
            <w:r w:rsidRPr="00B53423">
              <w:rPr>
                <w:rFonts w:cs="Calibri"/>
                <w:lang w:val="en-US"/>
              </w:rPr>
              <w:t>C=A-B</w:t>
            </w:r>
          </w:p>
        </w:tc>
        <w:tc>
          <w:tcPr>
            <w:tcW w:w="1374" w:type="dxa"/>
            <w:shd w:val="clear" w:color="auto" w:fill="auto"/>
            <w:vAlign w:val="center"/>
            <w:hideMark/>
          </w:tcPr>
          <w:p w:rsidR="004C74C2" w:rsidRPr="00B53423" w:rsidRDefault="004C74C2" w:rsidP="0015232B">
            <w:pPr>
              <w:spacing w:before="0"/>
              <w:ind w:right="338"/>
              <w:jc w:val="right"/>
              <w:rPr>
                <w:rFonts w:cs="Calibri"/>
                <w:color w:val="000000"/>
              </w:rPr>
            </w:pPr>
            <w:r w:rsidRPr="00B53423">
              <w:rPr>
                <w:rFonts w:cs="Calibri"/>
                <w:color w:val="000000"/>
              </w:rPr>
              <w:t>33.6</w:t>
            </w:r>
          </w:p>
        </w:tc>
        <w:tc>
          <w:tcPr>
            <w:tcW w:w="937" w:type="dxa"/>
            <w:shd w:val="clear" w:color="auto" w:fill="auto"/>
            <w:vAlign w:val="center"/>
            <w:hideMark/>
          </w:tcPr>
          <w:p w:rsidR="004C74C2" w:rsidRPr="00B53423" w:rsidRDefault="004C74C2" w:rsidP="0015232B">
            <w:pPr>
              <w:spacing w:before="0"/>
              <w:jc w:val="right"/>
              <w:rPr>
                <w:rFonts w:cs="Calibri"/>
              </w:rPr>
            </w:pPr>
          </w:p>
        </w:tc>
        <w:tc>
          <w:tcPr>
            <w:tcW w:w="1045" w:type="dxa"/>
            <w:shd w:val="clear" w:color="auto" w:fill="auto"/>
            <w:vAlign w:val="center"/>
            <w:hideMark/>
          </w:tcPr>
          <w:p w:rsidR="004C74C2" w:rsidRPr="00B53423" w:rsidRDefault="004C74C2" w:rsidP="0015232B">
            <w:pPr>
              <w:spacing w:before="0"/>
              <w:jc w:val="right"/>
              <w:rPr>
                <w:rFonts w:cs="Calibri"/>
              </w:rPr>
            </w:pPr>
            <w:r w:rsidRPr="00B53423">
              <w:rPr>
                <w:rFonts w:cs="Calibri"/>
              </w:rPr>
              <w:t>4.40</w:t>
            </w:r>
          </w:p>
        </w:tc>
        <w:tc>
          <w:tcPr>
            <w:tcW w:w="945" w:type="dxa"/>
            <w:shd w:val="clear" w:color="auto" w:fill="auto"/>
            <w:vAlign w:val="center"/>
            <w:hideMark/>
          </w:tcPr>
          <w:p w:rsidR="004C74C2" w:rsidRPr="00B53423" w:rsidRDefault="004C74C2" w:rsidP="0015232B">
            <w:pPr>
              <w:spacing w:before="0"/>
              <w:jc w:val="right"/>
              <w:rPr>
                <w:rFonts w:cs="Calibri"/>
              </w:rPr>
            </w:pPr>
            <w:r w:rsidRPr="00B53423">
              <w:rPr>
                <w:rFonts w:cs="Calibri"/>
              </w:rPr>
              <w:t>4.40</w:t>
            </w:r>
          </w:p>
        </w:tc>
      </w:tr>
      <w:tr w:rsidR="004C74C2" w:rsidRPr="00B53423" w:rsidTr="009268E4">
        <w:trPr>
          <w:trHeight w:val="300"/>
        </w:trPr>
        <w:tc>
          <w:tcPr>
            <w:tcW w:w="3304"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 xml:space="preserve">Debt Funded </w:t>
            </w:r>
          </w:p>
        </w:tc>
        <w:tc>
          <w:tcPr>
            <w:tcW w:w="1177" w:type="dxa"/>
            <w:vAlign w:val="center"/>
          </w:tcPr>
          <w:p w:rsidR="004C74C2" w:rsidRPr="00B53423" w:rsidRDefault="004C74C2" w:rsidP="0015232B">
            <w:pPr>
              <w:spacing w:before="0" w:line="240" w:lineRule="auto"/>
              <w:jc w:val="center"/>
              <w:rPr>
                <w:rFonts w:cs="Calibri"/>
                <w:lang w:val="en-US"/>
              </w:rPr>
            </w:pPr>
            <w:r w:rsidRPr="00B53423">
              <w:rPr>
                <w:rFonts w:cs="Calibri"/>
                <w:lang w:val="en-US"/>
              </w:rPr>
              <w:t>70%*C</w:t>
            </w:r>
          </w:p>
        </w:tc>
        <w:tc>
          <w:tcPr>
            <w:tcW w:w="1374" w:type="dxa"/>
            <w:shd w:val="clear" w:color="auto" w:fill="auto"/>
            <w:vAlign w:val="center"/>
            <w:hideMark/>
          </w:tcPr>
          <w:p w:rsidR="004C74C2" w:rsidRPr="00B53423" w:rsidRDefault="004C74C2" w:rsidP="0015232B">
            <w:pPr>
              <w:spacing w:before="0"/>
              <w:ind w:right="338"/>
              <w:jc w:val="right"/>
              <w:rPr>
                <w:rFonts w:cs="Calibri"/>
                <w:color w:val="000000"/>
              </w:rPr>
            </w:pPr>
            <w:r w:rsidRPr="00B53423">
              <w:rPr>
                <w:rFonts w:cs="Calibri"/>
                <w:color w:val="000000"/>
              </w:rPr>
              <w:t>23.5</w:t>
            </w:r>
          </w:p>
        </w:tc>
        <w:tc>
          <w:tcPr>
            <w:tcW w:w="937" w:type="dxa"/>
            <w:shd w:val="clear" w:color="auto" w:fill="auto"/>
            <w:vAlign w:val="center"/>
            <w:hideMark/>
          </w:tcPr>
          <w:p w:rsidR="004C74C2" w:rsidRPr="00B53423" w:rsidRDefault="004C74C2" w:rsidP="0015232B">
            <w:pPr>
              <w:spacing w:before="0"/>
              <w:jc w:val="right"/>
              <w:rPr>
                <w:rFonts w:cs="Calibri"/>
              </w:rPr>
            </w:pPr>
          </w:p>
        </w:tc>
        <w:tc>
          <w:tcPr>
            <w:tcW w:w="1045" w:type="dxa"/>
            <w:shd w:val="clear" w:color="auto" w:fill="auto"/>
            <w:vAlign w:val="center"/>
            <w:hideMark/>
          </w:tcPr>
          <w:p w:rsidR="004C74C2" w:rsidRPr="00B53423" w:rsidRDefault="004C74C2" w:rsidP="0015232B">
            <w:pPr>
              <w:spacing w:before="0"/>
              <w:jc w:val="right"/>
              <w:rPr>
                <w:rFonts w:cs="Calibri"/>
              </w:rPr>
            </w:pPr>
            <w:r w:rsidRPr="00B53423">
              <w:rPr>
                <w:rFonts w:cs="Calibri"/>
              </w:rPr>
              <w:t>3.08</w:t>
            </w:r>
          </w:p>
        </w:tc>
        <w:tc>
          <w:tcPr>
            <w:tcW w:w="945" w:type="dxa"/>
            <w:shd w:val="clear" w:color="auto" w:fill="auto"/>
            <w:vAlign w:val="center"/>
            <w:hideMark/>
          </w:tcPr>
          <w:p w:rsidR="004C74C2" w:rsidRPr="00B53423" w:rsidRDefault="004C74C2" w:rsidP="0015232B">
            <w:pPr>
              <w:spacing w:before="0"/>
              <w:jc w:val="right"/>
              <w:rPr>
                <w:rFonts w:cs="Calibri"/>
              </w:rPr>
            </w:pPr>
            <w:r w:rsidRPr="00B53423">
              <w:rPr>
                <w:rFonts w:cs="Calibri"/>
              </w:rPr>
              <w:t>3.08</w:t>
            </w:r>
          </w:p>
        </w:tc>
      </w:tr>
      <w:tr w:rsidR="004C74C2" w:rsidRPr="00B53423" w:rsidTr="009268E4">
        <w:trPr>
          <w:trHeight w:val="300"/>
        </w:trPr>
        <w:tc>
          <w:tcPr>
            <w:tcW w:w="3304"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Equity Funded</w:t>
            </w:r>
          </w:p>
        </w:tc>
        <w:tc>
          <w:tcPr>
            <w:tcW w:w="1177" w:type="dxa"/>
            <w:vAlign w:val="center"/>
          </w:tcPr>
          <w:p w:rsidR="004C74C2" w:rsidRPr="00B53423" w:rsidRDefault="004C74C2" w:rsidP="0015232B">
            <w:pPr>
              <w:spacing w:before="0" w:line="240" w:lineRule="auto"/>
              <w:jc w:val="center"/>
              <w:rPr>
                <w:rFonts w:cs="Calibri"/>
                <w:lang w:val="en-US"/>
              </w:rPr>
            </w:pPr>
            <w:r w:rsidRPr="00B53423">
              <w:rPr>
                <w:rFonts w:cs="Calibri"/>
                <w:lang w:val="en-US"/>
              </w:rPr>
              <w:t>30%*C</w:t>
            </w:r>
          </w:p>
        </w:tc>
        <w:tc>
          <w:tcPr>
            <w:tcW w:w="1374" w:type="dxa"/>
            <w:shd w:val="clear" w:color="auto" w:fill="auto"/>
            <w:vAlign w:val="center"/>
            <w:hideMark/>
          </w:tcPr>
          <w:p w:rsidR="004C74C2" w:rsidRPr="00B53423" w:rsidRDefault="004C74C2" w:rsidP="0015232B">
            <w:pPr>
              <w:spacing w:before="0"/>
              <w:ind w:right="338"/>
              <w:jc w:val="right"/>
              <w:rPr>
                <w:rFonts w:cs="Calibri"/>
                <w:color w:val="000000"/>
              </w:rPr>
            </w:pPr>
            <w:r w:rsidRPr="00B53423">
              <w:rPr>
                <w:rFonts w:cs="Calibri"/>
                <w:color w:val="000000"/>
              </w:rPr>
              <w:t>10.1</w:t>
            </w:r>
          </w:p>
        </w:tc>
        <w:tc>
          <w:tcPr>
            <w:tcW w:w="937" w:type="dxa"/>
            <w:shd w:val="clear" w:color="auto" w:fill="auto"/>
            <w:vAlign w:val="center"/>
            <w:hideMark/>
          </w:tcPr>
          <w:p w:rsidR="004C74C2" w:rsidRPr="00B53423" w:rsidRDefault="004C74C2" w:rsidP="0015232B">
            <w:pPr>
              <w:spacing w:before="0"/>
              <w:jc w:val="right"/>
              <w:rPr>
                <w:rFonts w:cs="Calibri"/>
              </w:rPr>
            </w:pPr>
          </w:p>
        </w:tc>
        <w:tc>
          <w:tcPr>
            <w:tcW w:w="1045" w:type="dxa"/>
            <w:shd w:val="clear" w:color="auto" w:fill="auto"/>
            <w:vAlign w:val="center"/>
            <w:hideMark/>
          </w:tcPr>
          <w:p w:rsidR="004C74C2" w:rsidRPr="00B53423" w:rsidRDefault="004C74C2" w:rsidP="0015232B">
            <w:pPr>
              <w:spacing w:before="0"/>
              <w:jc w:val="right"/>
              <w:rPr>
                <w:rFonts w:cs="Calibri"/>
              </w:rPr>
            </w:pPr>
            <w:r w:rsidRPr="00B53423">
              <w:rPr>
                <w:rFonts w:cs="Calibri"/>
              </w:rPr>
              <w:t>1.32</w:t>
            </w:r>
          </w:p>
        </w:tc>
        <w:tc>
          <w:tcPr>
            <w:tcW w:w="945" w:type="dxa"/>
            <w:shd w:val="clear" w:color="auto" w:fill="auto"/>
            <w:vAlign w:val="center"/>
            <w:hideMark/>
          </w:tcPr>
          <w:p w:rsidR="004C74C2" w:rsidRPr="00B53423" w:rsidRDefault="004C74C2" w:rsidP="0015232B">
            <w:pPr>
              <w:spacing w:before="0"/>
              <w:jc w:val="right"/>
              <w:rPr>
                <w:rFonts w:cs="Calibri"/>
              </w:rPr>
            </w:pPr>
            <w:r w:rsidRPr="00B53423">
              <w:rPr>
                <w:rFonts w:cs="Calibri"/>
              </w:rPr>
              <w:t>1.32</w:t>
            </w:r>
          </w:p>
        </w:tc>
      </w:tr>
    </w:tbl>
    <w:p w:rsidR="004C74C2" w:rsidRPr="00B53423" w:rsidRDefault="004C74C2" w:rsidP="0015232B">
      <w:pPr>
        <w:spacing w:before="0"/>
        <w:jc w:val="center"/>
        <w:rPr>
          <w:rFonts w:asciiTheme="minorHAnsi" w:hAnsiTheme="minorHAnsi" w:cstheme="minorHAnsi"/>
          <w:b/>
        </w:rPr>
      </w:pPr>
    </w:p>
    <w:p w:rsidR="004C74C2" w:rsidRPr="00B53423" w:rsidRDefault="004C74C2" w:rsidP="0015232B">
      <w:pPr>
        <w:pStyle w:val="Heading3"/>
        <w:keepNext w:val="0"/>
        <w:ind w:hanging="1080"/>
      </w:pPr>
      <w:r w:rsidRPr="00B53423">
        <w:t xml:space="preserve">Thus, from the above Tables it is seen, that the total investments made by the Petitioner in FY 2011-12 were to the tune of Rs. 22.67 Crore. The consumer contributions, capital subsidies and grants received during the corresponding period is Rs. 18.27 Crore. Thus, balance Rs. 4.40 Crore have been funded through debt and equity. Considering a debt equity ratio of 70:30, Rs. 3.08 Crore or 70% of the capital investment is approved to be funded through debt and balance 30% equivalent to Rs. 1.32 Crore through equity. Allowable depreciation for the year has been considered as normative loan repayment. The closing loan balance of FY 2010-11 has been considered as the opening loan balance of FY 2011-12. The actual weighted average rate as per Audited Accounts has been considered for computing the interest.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Considering the above, the gross interest on long term loan works out to Rs. 1.60 Crore. The interest capitalisation has been considered at the same rate as per Audited Accounts. The computations for interest on long term loan are depicted below:</w:t>
      </w:r>
    </w:p>
    <w:p w:rsidR="004C74C2" w:rsidRPr="00B53423" w:rsidRDefault="004C74C2" w:rsidP="0015232B"/>
    <w:p w:rsidR="004C74C2" w:rsidRPr="00B53423" w:rsidRDefault="004C74C2" w:rsidP="0015232B">
      <w:pPr>
        <w:jc w:val="center"/>
        <w:rPr>
          <w:b/>
        </w:rPr>
      </w:pPr>
      <w:bookmarkStart w:id="541" w:name="_Toc399626391"/>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10</w:t>
      </w:r>
      <w:r w:rsidR="005D68E7" w:rsidRPr="00B53423">
        <w:rPr>
          <w:rFonts w:asciiTheme="minorHAnsi" w:hAnsiTheme="minorHAnsi" w:cstheme="minorHAnsi"/>
          <w:b/>
        </w:rPr>
        <w:fldChar w:fldCharType="end"/>
      </w:r>
      <w:r w:rsidRPr="00B53423">
        <w:rPr>
          <w:rFonts w:asciiTheme="minorHAnsi" w:hAnsiTheme="minorHAnsi" w:cstheme="minorHAnsi"/>
          <w:b/>
        </w:rPr>
        <w:t>:</w:t>
      </w:r>
      <w:r w:rsidRPr="00B53423">
        <w:rPr>
          <w:b/>
        </w:rPr>
        <w:t xml:space="preserve"> APPROVED INTEREST ON LONG TERM LOAN FOR FY 2011-12 (Rs. Crore)</w:t>
      </w:r>
      <w:bookmarkEnd w:id="541"/>
    </w:p>
    <w:tbl>
      <w:tblPr>
        <w:tblW w:w="0" w:type="auto"/>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578"/>
        <w:gridCol w:w="1311"/>
        <w:gridCol w:w="1596"/>
        <w:gridCol w:w="1082"/>
        <w:gridCol w:w="1215"/>
      </w:tblGrid>
      <w:tr w:rsidR="004C74C2" w:rsidRPr="00B53423" w:rsidTr="002B3D6B">
        <w:trPr>
          <w:trHeight w:val="900"/>
          <w:tblHeader/>
        </w:trPr>
        <w:tc>
          <w:tcPr>
            <w:tcW w:w="3578" w:type="dxa"/>
            <w:shd w:val="clear" w:color="auto" w:fill="DBE5F1" w:themeFill="accent1" w:themeFillTint="33"/>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311"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596"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082"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15"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2B3D6B">
        <w:trPr>
          <w:trHeight w:val="300"/>
        </w:trPr>
        <w:tc>
          <w:tcPr>
            <w:tcW w:w="3578"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Opening Balance</w:t>
            </w:r>
          </w:p>
        </w:tc>
        <w:tc>
          <w:tcPr>
            <w:tcW w:w="1311"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596" w:type="dxa"/>
            <w:shd w:val="clear" w:color="auto" w:fill="auto"/>
            <w:noWrap/>
            <w:vAlign w:val="bottom"/>
            <w:hideMark/>
          </w:tcPr>
          <w:p w:rsidR="004C74C2" w:rsidRPr="00B53423" w:rsidRDefault="004C74C2" w:rsidP="0015232B">
            <w:pPr>
              <w:spacing w:before="0" w:line="240" w:lineRule="auto"/>
              <w:ind w:right="366"/>
              <w:jc w:val="right"/>
              <w:rPr>
                <w:rFonts w:asciiTheme="minorHAnsi" w:hAnsiTheme="minorHAnsi" w:cstheme="minorHAnsi"/>
              </w:rPr>
            </w:pPr>
            <w:r w:rsidRPr="00B53423">
              <w:rPr>
                <w:rFonts w:asciiTheme="minorHAnsi" w:hAnsiTheme="minorHAnsi" w:cstheme="minorHAnsi"/>
              </w:rPr>
              <w:t xml:space="preserve">          88.93 </w:t>
            </w:r>
          </w:p>
        </w:tc>
        <w:tc>
          <w:tcPr>
            <w:tcW w:w="1082"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18.22</w:t>
            </w:r>
          </w:p>
        </w:tc>
        <w:tc>
          <w:tcPr>
            <w:tcW w:w="1215"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18.65</w:t>
            </w:r>
          </w:p>
        </w:tc>
      </w:tr>
      <w:tr w:rsidR="004C74C2" w:rsidRPr="00B53423" w:rsidTr="002B3D6B">
        <w:trPr>
          <w:trHeight w:val="600"/>
        </w:trPr>
        <w:tc>
          <w:tcPr>
            <w:tcW w:w="3578"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Additions: 70% of the Asset Capitalization</w:t>
            </w:r>
          </w:p>
        </w:tc>
        <w:tc>
          <w:tcPr>
            <w:tcW w:w="1311"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596" w:type="dxa"/>
            <w:shd w:val="clear" w:color="auto" w:fill="auto"/>
            <w:noWrap/>
            <w:vAlign w:val="center"/>
            <w:hideMark/>
          </w:tcPr>
          <w:p w:rsidR="004C74C2" w:rsidRPr="00B53423" w:rsidRDefault="004C74C2" w:rsidP="0015232B">
            <w:pPr>
              <w:spacing w:before="0" w:line="240" w:lineRule="auto"/>
              <w:ind w:right="366"/>
              <w:jc w:val="right"/>
              <w:rPr>
                <w:rFonts w:asciiTheme="minorHAnsi" w:hAnsiTheme="minorHAnsi" w:cstheme="minorHAnsi"/>
              </w:rPr>
            </w:pPr>
            <w:r w:rsidRPr="00B53423">
              <w:rPr>
                <w:rFonts w:asciiTheme="minorHAnsi" w:hAnsiTheme="minorHAnsi" w:cstheme="minorHAnsi"/>
              </w:rPr>
              <w:t xml:space="preserve">               -   </w:t>
            </w:r>
          </w:p>
        </w:tc>
        <w:tc>
          <w:tcPr>
            <w:tcW w:w="1082" w:type="dxa"/>
            <w:shd w:val="clear" w:color="auto" w:fill="auto"/>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3.08</w:t>
            </w:r>
          </w:p>
        </w:tc>
        <w:tc>
          <w:tcPr>
            <w:tcW w:w="1215"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3.08</w:t>
            </w:r>
          </w:p>
        </w:tc>
      </w:tr>
      <w:tr w:rsidR="004C74C2" w:rsidRPr="00B53423" w:rsidTr="002B3D6B">
        <w:trPr>
          <w:trHeight w:val="600"/>
        </w:trPr>
        <w:tc>
          <w:tcPr>
            <w:tcW w:w="3578"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Allowable Depreciation during the Year</w:t>
            </w:r>
          </w:p>
        </w:tc>
        <w:tc>
          <w:tcPr>
            <w:tcW w:w="1311"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596" w:type="dxa"/>
            <w:shd w:val="clear" w:color="auto" w:fill="auto"/>
            <w:noWrap/>
            <w:vAlign w:val="center"/>
            <w:hideMark/>
          </w:tcPr>
          <w:p w:rsidR="004C74C2" w:rsidRPr="00B53423" w:rsidRDefault="004C74C2" w:rsidP="0015232B">
            <w:pPr>
              <w:spacing w:before="0" w:line="240" w:lineRule="auto"/>
              <w:ind w:right="366"/>
              <w:jc w:val="right"/>
              <w:rPr>
                <w:rFonts w:asciiTheme="minorHAnsi" w:hAnsiTheme="minorHAnsi" w:cstheme="minorHAnsi"/>
              </w:rPr>
            </w:pPr>
            <w:r w:rsidRPr="00B53423">
              <w:rPr>
                <w:rFonts w:asciiTheme="minorHAnsi" w:hAnsiTheme="minorHAnsi" w:cstheme="minorHAnsi"/>
              </w:rPr>
              <w:t xml:space="preserve">               -   </w:t>
            </w:r>
          </w:p>
        </w:tc>
        <w:tc>
          <w:tcPr>
            <w:tcW w:w="1082" w:type="dxa"/>
            <w:shd w:val="clear" w:color="auto" w:fill="auto"/>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16.65</w:t>
            </w:r>
          </w:p>
        </w:tc>
        <w:tc>
          <w:tcPr>
            <w:tcW w:w="1215"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16.65</w:t>
            </w:r>
          </w:p>
        </w:tc>
      </w:tr>
      <w:tr w:rsidR="004C74C2" w:rsidRPr="00B53423" w:rsidTr="002B3D6B">
        <w:trPr>
          <w:trHeight w:val="300"/>
        </w:trPr>
        <w:tc>
          <w:tcPr>
            <w:tcW w:w="3578" w:type="dxa"/>
            <w:shd w:val="clear" w:color="auto" w:fill="auto"/>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Closing Balance</w:t>
            </w:r>
          </w:p>
        </w:tc>
        <w:tc>
          <w:tcPr>
            <w:tcW w:w="1311"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 </w:t>
            </w:r>
          </w:p>
        </w:tc>
        <w:tc>
          <w:tcPr>
            <w:tcW w:w="1596" w:type="dxa"/>
            <w:shd w:val="clear" w:color="auto" w:fill="auto"/>
            <w:noWrap/>
            <w:vAlign w:val="bottom"/>
            <w:hideMark/>
          </w:tcPr>
          <w:p w:rsidR="004C74C2" w:rsidRPr="00B53423" w:rsidRDefault="004C74C2" w:rsidP="0015232B">
            <w:pPr>
              <w:spacing w:before="0" w:line="240" w:lineRule="auto"/>
              <w:ind w:right="366"/>
              <w:jc w:val="right"/>
              <w:rPr>
                <w:rFonts w:asciiTheme="minorHAnsi" w:hAnsiTheme="minorHAnsi" w:cstheme="minorHAnsi"/>
              </w:rPr>
            </w:pPr>
            <w:r w:rsidRPr="00B53423">
              <w:rPr>
                <w:rFonts w:asciiTheme="minorHAnsi" w:hAnsiTheme="minorHAnsi" w:cstheme="minorHAnsi"/>
              </w:rPr>
              <w:t xml:space="preserve">          68.58 </w:t>
            </w:r>
          </w:p>
        </w:tc>
        <w:tc>
          <w:tcPr>
            <w:tcW w:w="1082"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4.66</w:t>
            </w:r>
          </w:p>
        </w:tc>
        <w:tc>
          <w:tcPr>
            <w:tcW w:w="1215"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5.08</w:t>
            </w:r>
          </w:p>
        </w:tc>
      </w:tr>
      <w:tr w:rsidR="004C74C2" w:rsidRPr="00B53423" w:rsidTr="002B3D6B">
        <w:trPr>
          <w:trHeight w:val="300"/>
        </w:trPr>
        <w:tc>
          <w:tcPr>
            <w:tcW w:w="3578"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Average Rate of Interest</w:t>
            </w:r>
          </w:p>
        </w:tc>
        <w:tc>
          <w:tcPr>
            <w:tcW w:w="1311" w:type="dxa"/>
            <w:shd w:val="clear" w:color="auto" w:fill="auto"/>
            <w:noWrap/>
            <w:hideMark/>
          </w:tcPr>
          <w:p w:rsidR="004C74C2" w:rsidRPr="00B53423" w:rsidRDefault="004C74C2" w:rsidP="0015232B">
            <w:pPr>
              <w:spacing w:before="0" w:line="240" w:lineRule="auto"/>
              <w:ind w:right="168"/>
              <w:jc w:val="right"/>
              <w:rPr>
                <w:rFonts w:asciiTheme="minorHAnsi" w:hAnsiTheme="minorHAnsi" w:cstheme="minorHAnsi"/>
                <w:color w:val="000000"/>
              </w:rPr>
            </w:pPr>
            <w:r w:rsidRPr="00B53423">
              <w:rPr>
                <w:rFonts w:asciiTheme="minorHAnsi" w:hAnsiTheme="minorHAnsi" w:cstheme="minorHAnsi"/>
                <w:color w:val="000000"/>
              </w:rPr>
              <w:t> </w:t>
            </w:r>
          </w:p>
        </w:tc>
        <w:tc>
          <w:tcPr>
            <w:tcW w:w="1596" w:type="dxa"/>
            <w:shd w:val="clear" w:color="auto" w:fill="auto"/>
            <w:noWrap/>
            <w:vAlign w:val="bottom"/>
            <w:hideMark/>
          </w:tcPr>
          <w:p w:rsidR="004C74C2" w:rsidRPr="00B53423" w:rsidRDefault="004C74C2" w:rsidP="0015232B">
            <w:pPr>
              <w:spacing w:before="0" w:line="240" w:lineRule="auto"/>
              <w:ind w:right="366"/>
              <w:jc w:val="right"/>
              <w:rPr>
                <w:rFonts w:asciiTheme="minorHAnsi" w:hAnsiTheme="minorHAnsi" w:cstheme="minorHAnsi"/>
              </w:rPr>
            </w:pPr>
            <w:r w:rsidRPr="00B53423">
              <w:rPr>
                <w:rFonts w:asciiTheme="minorHAnsi" w:hAnsiTheme="minorHAnsi" w:cstheme="minorHAnsi"/>
              </w:rPr>
              <w:t>13.45%</w:t>
            </w:r>
          </w:p>
        </w:tc>
        <w:tc>
          <w:tcPr>
            <w:tcW w:w="1082"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14</w:t>
            </w:r>
            <w:r w:rsidR="002B3D6B" w:rsidRPr="00B53423">
              <w:rPr>
                <w:rFonts w:asciiTheme="minorHAnsi" w:hAnsiTheme="minorHAnsi" w:cstheme="minorHAnsi"/>
                <w:color w:val="000000"/>
              </w:rPr>
              <w:t>.38%</w:t>
            </w:r>
          </w:p>
        </w:tc>
        <w:tc>
          <w:tcPr>
            <w:tcW w:w="1215"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13.45%</w:t>
            </w:r>
          </w:p>
        </w:tc>
      </w:tr>
      <w:tr w:rsidR="004C74C2" w:rsidRPr="00B53423" w:rsidTr="002B3D6B">
        <w:trPr>
          <w:trHeight w:val="300"/>
        </w:trPr>
        <w:tc>
          <w:tcPr>
            <w:tcW w:w="3578" w:type="dxa"/>
            <w:shd w:val="clear" w:color="auto" w:fill="auto"/>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Gross Allowable Interest</w:t>
            </w:r>
          </w:p>
        </w:tc>
        <w:tc>
          <w:tcPr>
            <w:tcW w:w="1311" w:type="dxa"/>
            <w:shd w:val="clear" w:color="auto" w:fill="auto"/>
            <w:noWrap/>
            <w:hideMark/>
          </w:tcPr>
          <w:p w:rsidR="004C74C2" w:rsidRPr="00B53423" w:rsidRDefault="004C74C2" w:rsidP="0015232B">
            <w:pPr>
              <w:spacing w:before="0" w:line="240" w:lineRule="auto"/>
              <w:ind w:right="168"/>
              <w:jc w:val="right"/>
              <w:rPr>
                <w:rFonts w:asciiTheme="minorHAnsi" w:hAnsiTheme="minorHAnsi" w:cstheme="minorHAnsi"/>
                <w:color w:val="000000"/>
              </w:rPr>
            </w:pPr>
            <w:r w:rsidRPr="00B53423">
              <w:rPr>
                <w:rFonts w:asciiTheme="minorHAnsi" w:hAnsiTheme="minorHAnsi" w:cstheme="minorHAnsi"/>
                <w:color w:val="000000"/>
              </w:rPr>
              <w:t>13.48</w:t>
            </w:r>
          </w:p>
        </w:tc>
        <w:tc>
          <w:tcPr>
            <w:tcW w:w="1596" w:type="dxa"/>
            <w:shd w:val="clear" w:color="auto" w:fill="auto"/>
            <w:noWrap/>
            <w:vAlign w:val="bottom"/>
            <w:hideMark/>
          </w:tcPr>
          <w:p w:rsidR="004C74C2" w:rsidRPr="00B53423" w:rsidRDefault="004C74C2" w:rsidP="0015232B">
            <w:pPr>
              <w:spacing w:before="0" w:line="240" w:lineRule="auto"/>
              <w:ind w:right="366"/>
              <w:jc w:val="right"/>
              <w:rPr>
                <w:rFonts w:asciiTheme="minorHAnsi" w:hAnsiTheme="minorHAnsi" w:cstheme="minorHAnsi"/>
              </w:rPr>
            </w:pPr>
            <w:r w:rsidRPr="00B53423">
              <w:rPr>
                <w:rFonts w:asciiTheme="minorHAnsi" w:hAnsiTheme="minorHAnsi" w:cstheme="minorHAnsi"/>
              </w:rPr>
              <w:t xml:space="preserve">          10.59 </w:t>
            </w:r>
          </w:p>
        </w:tc>
        <w:tc>
          <w:tcPr>
            <w:tcW w:w="1082"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1.65</w:t>
            </w:r>
          </w:p>
        </w:tc>
        <w:tc>
          <w:tcPr>
            <w:tcW w:w="1215"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1.60</w:t>
            </w:r>
          </w:p>
        </w:tc>
      </w:tr>
      <w:tr w:rsidR="004C74C2" w:rsidRPr="00B53423" w:rsidTr="002B3D6B">
        <w:trPr>
          <w:trHeight w:val="300"/>
        </w:trPr>
        <w:tc>
          <w:tcPr>
            <w:tcW w:w="3578" w:type="dxa"/>
            <w:shd w:val="clear" w:color="auto" w:fill="auto"/>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Interest Capitalized</w:t>
            </w:r>
          </w:p>
        </w:tc>
        <w:tc>
          <w:tcPr>
            <w:tcW w:w="1311" w:type="dxa"/>
            <w:shd w:val="clear" w:color="auto" w:fill="auto"/>
            <w:noWrap/>
            <w:hideMark/>
          </w:tcPr>
          <w:p w:rsidR="004C74C2" w:rsidRPr="00B53423" w:rsidRDefault="004C74C2" w:rsidP="0015232B">
            <w:pPr>
              <w:spacing w:before="0" w:line="240" w:lineRule="auto"/>
              <w:ind w:right="168"/>
              <w:jc w:val="right"/>
              <w:rPr>
                <w:rFonts w:asciiTheme="minorHAnsi" w:hAnsiTheme="minorHAnsi" w:cstheme="minorHAnsi"/>
                <w:color w:val="000000"/>
              </w:rPr>
            </w:pPr>
            <w:r w:rsidRPr="00B53423">
              <w:rPr>
                <w:rFonts w:asciiTheme="minorHAnsi" w:hAnsiTheme="minorHAnsi" w:cstheme="minorHAnsi"/>
                <w:color w:val="000000"/>
              </w:rPr>
              <w:t>0.68</w:t>
            </w:r>
          </w:p>
        </w:tc>
        <w:tc>
          <w:tcPr>
            <w:tcW w:w="1596" w:type="dxa"/>
            <w:shd w:val="clear" w:color="auto" w:fill="auto"/>
            <w:noWrap/>
            <w:vAlign w:val="bottom"/>
            <w:hideMark/>
          </w:tcPr>
          <w:p w:rsidR="004C74C2" w:rsidRPr="00B53423" w:rsidRDefault="004C74C2" w:rsidP="0015232B">
            <w:pPr>
              <w:spacing w:before="0" w:line="240" w:lineRule="auto"/>
              <w:ind w:right="366"/>
              <w:jc w:val="right"/>
              <w:rPr>
                <w:rFonts w:asciiTheme="minorHAnsi" w:hAnsiTheme="minorHAnsi" w:cstheme="minorHAnsi"/>
              </w:rPr>
            </w:pPr>
            <w:r w:rsidRPr="00B53423">
              <w:rPr>
                <w:rFonts w:asciiTheme="minorHAnsi" w:hAnsiTheme="minorHAnsi" w:cstheme="minorHAnsi"/>
              </w:rPr>
              <w:t xml:space="preserve">               -   </w:t>
            </w:r>
          </w:p>
        </w:tc>
        <w:tc>
          <w:tcPr>
            <w:tcW w:w="1082"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0.00</w:t>
            </w:r>
          </w:p>
        </w:tc>
        <w:tc>
          <w:tcPr>
            <w:tcW w:w="1215"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0.00</w:t>
            </w:r>
          </w:p>
        </w:tc>
      </w:tr>
      <w:tr w:rsidR="004C74C2" w:rsidRPr="00B53423" w:rsidTr="002B3D6B">
        <w:trPr>
          <w:trHeight w:val="300"/>
        </w:trPr>
        <w:tc>
          <w:tcPr>
            <w:tcW w:w="3578" w:type="dxa"/>
            <w:shd w:val="clear" w:color="auto" w:fill="auto"/>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Allowable Interest</w:t>
            </w:r>
          </w:p>
        </w:tc>
        <w:tc>
          <w:tcPr>
            <w:tcW w:w="1311" w:type="dxa"/>
            <w:shd w:val="clear" w:color="auto" w:fill="auto"/>
            <w:noWrap/>
            <w:vAlign w:val="bottom"/>
            <w:hideMark/>
          </w:tcPr>
          <w:p w:rsidR="004C74C2" w:rsidRPr="00B53423" w:rsidRDefault="004C74C2" w:rsidP="0015232B">
            <w:pPr>
              <w:spacing w:before="0" w:line="240" w:lineRule="auto"/>
              <w:ind w:right="168"/>
              <w:jc w:val="right"/>
              <w:rPr>
                <w:rFonts w:asciiTheme="minorHAnsi" w:hAnsiTheme="minorHAnsi" w:cstheme="minorHAnsi"/>
              </w:rPr>
            </w:pPr>
            <w:r w:rsidRPr="00B53423">
              <w:rPr>
                <w:rFonts w:asciiTheme="minorHAnsi" w:hAnsiTheme="minorHAnsi" w:cstheme="minorHAnsi"/>
              </w:rPr>
              <w:t>12.80</w:t>
            </w:r>
          </w:p>
        </w:tc>
        <w:tc>
          <w:tcPr>
            <w:tcW w:w="1596" w:type="dxa"/>
            <w:shd w:val="clear" w:color="auto" w:fill="auto"/>
            <w:noWrap/>
            <w:vAlign w:val="bottom"/>
            <w:hideMark/>
          </w:tcPr>
          <w:p w:rsidR="004C74C2" w:rsidRPr="00B53423" w:rsidRDefault="004C74C2" w:rsidP="0015232B">
            <w:pPr>
              <w:spacing w:before="0" w:line="240" w:lineRule="auto"/>
              <w:ind w:right="366"/>
              <w:jc w:val="right"/>
              <w:rPr>
                <w:rFonts w:asciiTheme="minorHAnsi" w:hAnsiTheme="minorHAnsi" w:cstheme="minorHAnsi"/>
              </w:rPr>
            </w:pPr>
            <w:r w:rsidRPr="00B53423">
              <w:rPr>
                <w:rFonts w:asciiTheme="minorHAnsi" w:hAnsiTheme="minorHAnsi" w:cstheme="minorHAnsi"/>
              </w:rPr>
              <w:t xml:space="preserve">          10.59 </w:t>
            </w:r>
          </w:p>
        </w:tc>
        <w:tc>
          <w:tcPr>
            <w:tcW w:w="1082" w:type="dxa"/>
            <w:shd w:val="clear" w:color="auto" w:fill="auto"/>
            <w:vAlign w:val="bottom"/>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1.65</w:t>
            </w:r>
          </w:p>
        </w:tc>
        <w:tc>
          <w:tcPr>
            <w:tcW w:w="1215" w:type="dxa"/>
            <w:shd w:val="clear" w:color="auto" w:fill="auto"/>
            <w:noWrap/>
            <w:hideMark/>
          </w:tcPr>
          <w:p w:rsidR="004C74C2" w:rsidRPr="00B53423" w:rsidRDefault="004C74C2"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1.60</w:t>
            </w:r>
          </w:p>
        </w:tc>
      </w:tr>
    </w:tbl>
    <w:p w:rsidR="004C74C2" w:rsidRPr="00B53423" w:rsidRDefault="004C74C2" w:rsidP="0015232B">
      <w:pPr>
        <w:spacing w:before="0"/>
        <w:jc w:val="center"/>
        <w:rPr>
          <w:b/>
        </w:rPr>
      </w:pPr>
    </w:p>
    <w:p w:rsidR="004C74C2" w:rsidRPr="00B53423" w:rsidRDefault="004C74C2" w:rsidP="0015232B">
      <w:pPr>
        <w:pStyle w:val="Heading3"/>
        <w:keepNext w:val="0"/>
        <w:ind w:hanging="1080"/>
      </w:pPr>
      <w:r w:rsidRPr="00B53423">
        <w:t>Thus, the net interest on long term loan approved by the Commission for Truing up of FY 2011-12 after reducing the interest capitalised of Rs. 0.00 Crore works out to Rs. 1.60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450" w:firstLine="270"/>
        <w:rPr>
          <w:b/>
        </w:rPr>
      </w:pPr>
      <w:r w:rsidRPr="00B53423">
        <w:rPr>
          <w:b/>
        </w:rPr>
        <w:t>Finance Charges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finance charges constitutes of components such as guarantee fees, bank charges which are imposed by Government, financial institutions, etc. and are uncontrollable in nature. The Petitioner has claimed Finance charges of Rs. 27.96 Crore as against Rs. 7.50 Crore approved by the Commission in the Tariff Order dated 19</w:t>
      </w:r>
      <w:r w:rsidRPr="00B53423">
        <w:rPr>
          <w:vertAlign w:val="superscript"/>
        </w:rPr>
        <w:t>th</w:t>
      </w:r>
      <w:r w:rsidRPr="00B53423">
        <w:t xml:space="preserve"> October, 2012 in Petition No. 751 / 2011 and 798 / 2012 for FY 2011-12.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has claimed finance charges towards items such as interest on electricity duty, bank charges, discount to consumers, interest on consumer security deposits, etc.</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discussed in detail in para</w:t>
      </w:r>
      <w:r w:rsidR="00DB2D36" w:rsidRPr="00B53423">
        <w:t xml:space="preserve"> </w:t>
      </w:r>
      <w:fldSimple w:instr=" REF _Ref396853920 \r \h  \* MERGEFORMAT ">
        <w:r w:rsidR="00847C1B">
          <w:t>4.5.19</w:t>
        </w:r>
      </w:fldSimple>
      <w:r w:rsidR="00DB2D36" w:rsidRPr="00B53423">
        <w:t xml:space="preserve"> </w:t>
      </w:r>
      <w:r w:rsidRPr="00B53423">
        <w:t>the Commission has disallowed the interest on electricity duty of Rs. 23.09 Crore as claimed by the Petitioner.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Further as discussed in detail in Para</w:t>
      </w:r>
      <w:r w:rsidR="00DB2D36" w:rsidRPr="00B53423">
        <w:t xml:space="preserve"> </w:t>
      </w:r>
      <w:fldSimple w:instr=" REF _Ref396853930 \r \h  \* MERGEFORMAT ">
        <w:r w:rsidR="00847C1B">
          <w:t>4.5.20</w:t>
        </w:r>
      </w:fldSimple>
      <w:r w:rsidRPr="00B53423">
        <w:t xml:space="preserve"> of this Order the Commission approves the actual expenses incurred towards discount to consumers. Also, bank charges and interest on consumer security deposits have been allowed at actual based on Audited Accounts as detailed in Para </w:t>
      </w:r>
      <w:fldSimple w:instr=" REF _Ref396853942 \r \h  \* MERGEFORMAT ">
        <w:r w:rsidR="00847C1B">
          <w:t>4.5.21</w:t>
        </w:r>
      </w:fldSimple>
      <w:r w:rsidRPr="00B53423">
        <w:t>.</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Thus, the Commission has approved finance charges amounting to Rs. 4.87 Crore for FY 2011-12 as against Rs. 27.96 Crore claimed by the Petitioner as shown in the Table below:</w:t>
      </w:r>
    </w:p>
    <w:p w:rsidR="004C74C2" w:rsidRPr="00B53423" w:rsidRDefault="004C74C2" w:rsidP="0015232B">
      <w:pPr>
        <w:pStyle w:val="ListParagraph"/>
        <w:ind w:left="180"/>
      </w:pPr>
    </w:p>
    <w:p w:rsidR="004C74C2" w:rsidRPr="00B53423" w:rsidRDefault="004C74C2" w:rsidP="0015232B">
      <w:pPr>
        <w:pStyle w:val="ListParagraph"/>
        <w:numPr>
          <w:ilvl w:val="2"/>
          <w:numId w:val="0"/>
        </w:numPr>
        <w:spacing w:before="240"/>
        <w:ind w:left="432" w:hanging="180"/>
        <w:rPr>
          <w:rFonts w:asciiTheme="minorHAnsi" w:hAnsiTheme="minorHAnsi" w:cstheme="minorHAnsi"/>
          <w:b/>
        </w:rPr>
      </w:pPr>
      <w:bookmarkStart w:id="542" w:name="_Toc399626392"/>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11</w:t>
      </w:r>
      <w:r w:rsidR="005D68E7" w:rsidRPr="00B53423">
        <w:rPr>
          <w:rFonts w:asciiTheme="minorHAnsi" w:hAnsiTheme="minorHAnsi" w:cstheme="minorHAnsi"/>
          <w:b/>
        </w:rPr>
        <w:fldChar w:fldCharType="end"/>
      </w:r>
      <w:r w:rsidRPr="00B53423">
        <w:rPr>
          <w:rFonts w:asciiTheme="minorHAnsi" w:hAnsiTheme="minorHAnsi" w:cstheme="minorHAnsi"/>
          <w:b/>
        </w:rPr>
        <w:t>: ALLOWABLE FINANCE CHARGES FOR FY 2011-12 (Rs. Crore)</w:t>
      </w:r>
      <w:bookmarkEnd w:id="542"/>
    </w:p>
    <w:tbl>
      <w:tblPr>
        <w:tblW w:w="8288" w:type="dxa"/>
        <w:tblInd w:w="103" w:type="dxa"/>
        <w:tblLook w:val="04A0"/>
      </w:tblPr>
      <w:tblGrid>
        <w:gridCol w:w="4360"/>
        <w:gridCol w:w="960"/>
        <w:gridCol w:w="976"/>
        <w:gridCol w:w="960"/>
        <w:gridCol w:w="1048"/>
      </w:tblGrid>
      <w:tr w:rsidR="004C74C2" w:rsidRPr="00B53423" w:rsidTr="009268E4">
        <w:trPr>
          <w:trHeight w:val="1020"/>
          <w:tblHeader/>
        </w:trPr>
        <w:tc>
          <w:tcPr>
            <w:tcW w:w="4360" w:type="dxa"/>
            <w:tcBorders>
              <w:top w:val="dotted" w:sz="4" w:space="0" w:color="auto"/>
              <w:left w:val="dotted" w:sz="4" w:space="0" w:color="auto"/>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IN" w:eastAsia="en-IN"/>
              </w:rPr>
              <w:t>Particulars</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Tariff Order</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sz w:val="20"/>
                <w:szCs w:val="20"/>
                <w:lang w:val="en-US"/>
              </w:rPr>
            </w:pPr>
            <w:r w:rsidRPr="00B53423">
              <w:rPr>
                <w:rFonts w:cs="Calibri"/>
                <w:b/>
                <w:bCs/>
                <w:sz w:val="20"/>
                <w:szCs w:val="20"/>
                <w:lang w:val="en-US"/>
              </w:rPr>
              <w:t>Actuals as per Audited Accounts</w:t>
            </w:r>
          </w:p>
        </w:tc>
        <w:tc>
          <w:tcPr>
            <w:tcW w:w="96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True-up Petition</w:t>
            </w:r>
          </w:p>
        </w:tc>
        <w:tc>
          <w:tcPr>
            <w:tcW w:w="1048"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Allowable</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Interest on Electricity Duty</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23.09</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23.09</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Finance Charges / Guarantee Fees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1.12</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Bank Charges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0.05</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0.01</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0.01</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0.01</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Discount to Consumers on sale of energy</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1.60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0.00</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color w:val="000000"/>
                <w:lang w:val="en-US"/>
              </w:rPr>
            </w:pPr>
            <w:r w:rsidRPr="00B53423">
              <w:rPr>
                <w:rFonts w:cs="Calibri"/>
                <w:color w:val="000000"/>
              </w:rPr>
              <w:t>Interest on Consumer Security Deposits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4.73</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4.87</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4.87</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color w:val="000000"/>
              </w:rPr>
            </w:pPr>
            <w:r w:rsidRPr="00B53423">
              <w:rPr>
                <w:rFonts w:cs="Calibri"/>
                <w:color w:val="000000"/>
              </w:rPr>
              <w:t>4.87</w:t>
            </w:r>
          </w:p>
        </w:tc>
      </w:tr>
      <w:tr w:rsidR="004C74C2" w:rsidRPr="00B53423" w:rsidTr="009268E4">
        <w:trPr>
          <w:trHeight w:val="300"/>
        </w:trPr>
        <w:tc>
          <w:tcPr>
            <w:tcW w:w="43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rPr>
                <w:rFonts w:cs="Calibri"/>
                <w:b/>
                <w:bCs/>
                <w:color w:val="000000"/>
                <w:lang w:val="en-US"/>
              </w:rPr>
            </w:pPr>
            <w:r w:rsidRPr="00B53423">
              <w:rPr>
                <w:rFonts w:cs="Calibri"/>
                <w:b/>
                <w:bCs/>
                <w:color w:val="000000"/>
              </w:rPr>
              <w:t>Total Finance Charges</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7.50</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27.96</w:t>
            </w:r>
          </w:p>
        </w:tc>
        <w:tc>
          <w:tcPr>
            <w:tcW w:w="96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27.96</w:t>
            </w:r>
          </w:p>
        </w:tc>
        <w:tc>
          <w:tcPr>
            <w:tcW w:w="1048"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right"/>
              <w:rPr>
                <w:rFonts w:cs="Calibri"/>
                <w:b/>
                <w:bCs/>
                <w:color w:val="000000"/>
              </w:rPr>
            </w:pPr>
            <w:r w:rsidRPr="00B53423">
              <w:rPr>
                <w:rFonts w:cs="Calibri"/>
                <w:b/>
                <w:bCs/>
                <w:color w:val="000000"/>
              </w:rPr>
              <w:t>4.87</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720"/>
        <w:rPr>
          <w:b/>
        </w:rPr>
      </w:pPr>
      <w:r w:rsidRPr="00B53423">
        <w:rPr>
          <w:b/>
        </w:rPr>
        <w:t>Interest on Working Capital</w:t>
      </w:r>
    </w:p>
    <w:p w:rsidR="004C74C2" w:rsidRPr="00B53423" w:rsidRDefault="004C74C2" w:rsidP="0015232B">
      <w:pPr>
        <w:pStyle w:val="Heading3"/>
        <w:keepNext w:val="0"/>
        <w:numPr>
          <w:ilvl w:val="0"/>
          <w:numId w:val="0"/>
        </w:numPr>
        <w:ind w:left="450"/>
      </w:pPr>
    </w:p>
    <w:p w:rsidR="00564993" w:rsidRPr="00B53423" w:rsidRDefault="004C74C2" w:rsidP="0015232B">
      <w:pPr>
        <w:pStyle w:val="Heading4"/>
      </w:pPr>
      <w:r w:rsidRPr="00B53423">
        <w:t>The Petitioner submitted that Tariff Regulations provide for normative interest on working capital based on the principles outline in the Distribution Tariff Regulations, 2006. The Petitioner submitted that in accordance with the Regulations it is eligible for interest on working capital. The Petitioner further submitted that Regulation 4.8(2</w:t>
      </w:r>
      <w:proofErr w:type="gramStart"/>
      <w:r w:rsidRPr="00B53423">
        <w:t>)(</w:t>
      </w:r>
      <w:proofErr w:type="gramEnd"/>
      <w:r w:rsidRPr="00B53423">
        <w:t>B) of  the Distribution Tariff Regulations, 2006 specifies the rate of interest on working capital borrowing as the bank rate specified by RBI plus some margin approved by the Commission. The Petitioner submitted that it has accordingly considered a rate of 12.50% which is line with the rate approved by the Commission in its Tariff Order for FY 2011-12. The Petitioner further requested the Commission to approve normative interest on working of Rs. 12.08 Crore as against Rs. 11.09 Crore approved by the Commission in the Tariff Order of FY 2011-12.</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Based on the methodology specified in the above Regulations the Commission in the Tariff Order dated 19</w:t>
      </w:r>
      <w:r w:rsidRPr="00B53423">
        <w:rPr>
          <w:vertAlign w:val="superscript"/>
        </w:rPr>
        <w:t>th</w:t>
      </w:r>
      <w:r w:rsidRPr="00B53423">
        <w:t xml:space="preserve"> October, 2012 in Petition No. 751 / 2011 and 798 / 2012 for FY 2011-12 had allowed normative interest on working capital of Rs. 11.09 Crore. Following the similar approach and in accordance with the Regulations, the Commission in this Order has assessed the working capital and interest thereon based on the trued up ARR of the Petitioner.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Further, it was observed that the Petitioner had considered One-twelfth of the sum of the book value of stores, materials and supplies at the end of each month for FY 2011-12 as Rs. 0.66 Crore, however as per the Audited Accounts the same worked out as Rs. 2.162 Crore. Hence, while computing the interest on working capital the Commission has considered the one-twelfth of the sum of the book value of stores, materials and supplies at the end of each month for FY 2011-12 in accordance with the Audited Accounts.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Accordingly, the Commission has approved Rs. 12.30 Crore towards interest on working capital for FY 2011-12. The summary of the interest on working capital approved by the Commission in the Tariff Order for FY 2011-12, claimed by the Petitioner and that approved by the Commission in the present Truing up Order is shown in the Table below:</w:t>
      </w:r>
    </w:p>
    <w:p w:rsidR="004C74C2" w:rsidRPr="00B53423" w:rsidRDefault="004C74C2" w:rsidP="0015232B">
      <w:pPr>
        <w:pStyle w:val="ListParagraph"/>
        <w:numPr>
          <w:ilvl w:val="2"/>
          <w:numId w:val="0"/>
        </w:numPr>
        <w:ind w:left="180" w:hanging="180"/>
      </w:pPr>
    </w:p>
    <w:p w:rsidR="004C74C2" w:rsidRPr="00B53423" w:rsidRDefault="004C74C2" w:rsidP="0015232B">
      <w:pPr>
        <w:spacing w:before="240"/>
        <w:rPr>
          <w:rFonts w:asciiTheme="minorHAnsi" w:hAnsiTheme="minorHAnsi" w:cstheme="minorHAnsi"/>
          <w:b/>
        </w:rPr>
      </w:pPr>
      <w:bookmarkStart w:id="543" w:name="_Toc399626393"/>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12</w:t>
      </w:r>
      <w:r w:rsidR="005D68E7" w:rsidRPr="00B53423">
        <w:rPr>
          <w:rFonts w:asciiTheme="minorHAnsi" w:hAnsiTheme="minorHAnsi" w:cstheme="minorHAnsi"/>
          <w:b/>
        </w:rPr>
        <w:fldChar w:fldCharType="end"/>
      </w:r>
      <w:r w:rsidRPr="00B53423">
        <w:rPr>
          <w:rFonts w:asciiTheme="minorHAnsi" w:hAnsiTheme="minorHAnsi" w:cstheme="minorHAnsi"/>
          <w:b/>
        </w:rPr>
        <w:t>: ALLOWABLE INTEREST ON WORKING CAPITAL FOR FY 2011-12 (Rs. Crore)</w:t>
      </w:r>
      <w:bookmarkEnd w:id="543"/>
    </w:p>
    <w:tbl>
      <w:tblPr>
        <w:tblW w:w="8615" w:type="dxa"/>
        <w:tblInd w:w="-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535"/>
        <w:gridCol w:w="960"/>
        <w:gridCol w:w="1128"/>
        <w:gridCol w:w="1007"/>
        <w:gridCol w:w="1215"/>
      </w:tblGrid>
      <w:tr w:rsidR="004C74C2" w:rsidRPr="00B53423" w:rsidTr="009268E4">
        <w:trPr>
          <w:trHeight w:val="1020"/>
          <w:tblHeader/>
        </w:trPr>
        <w:tc>
          <w:tcPr>
            <w:tcW w:w="4535"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IN" w:eastAsia="en-IN"/>
              </w:rPr>
              <w:t>Particulars</w:t>
            </w:r>
          </w:p>
        </w:tc>
        <w:tc>
          <w:tcPr>
            <w:tcW w:w="960"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Tariff Order</w:t>
            </w:r>
          </w:p>
        </w:tc>
        <w:tc>
          <w:tcPr>
            <w:tcW w:w="1028"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lang w:val="en-US"/>
              </w:rPr>
            </w:pPr>
            <w:r w:rsidRPr="00B53423">
              <w:rPr>
                <w:rFonts w:asciiTheme="minorHAnsi" w:hAnsiTheme="minorHAnsi" w:cstheme="minorHAnsi"/>
                <w:b/>
                <w:bCs/>
                <w:lang w:val="en-US"/>
              </w:rPr>
              <w:t>Actuals as per Audited Accounts</w:t>
            </w:r>
          </w:p>
        </w:tc>
        <w:tc>
          <w:tcPr>
            <w:tcW w:w="960"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True-up Petition</w:t>
            </w:r>
          </w:p>
        </w:tc>
        <w:tc>
          <w:tcPr>
            <w:tcW w:w="1132" w:type="dxa"/>
            <w:shd w:val="clear" w:color="000000" w:fill="DBE5F1"/>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Allowable</w:t>
            </w:r>
          </w:p>
        </w:tc>
      </w:tr>
      <w:tr w:rsidR="004C74C2" w:rsidRPr="00B53423" w:rsidTr="009268E4">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 xml:space="preserve">One month's O &amp; M  Expenses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10.58 </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11.15 </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11.15 </w:t>
            </w:r>
          </w:p>
        </w:tc>
      </w:tr>
      <w:tr w:rsidR="004C74C2" w:rsidRPr="00B53423" w:rsidTr="009268E4">
        <w:trPr>
          <w:trHeight w:val="300"/>
        </w:trPr>
        <w:tc>
          <w:tcPr>
            <w:tcW w:w="4535" w:type="dxa"/>
            <w:shd w:val="clear" w:color="auto" w:fill="auto"/>
            <w:noWrap/>
            <w:vAlign w:val="center"/>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One-twelfth of the sum of the book value of stores, materials and supplies at the end of each month of such financial year</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2.36 </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0.66 </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2.16 </w:t>
            </w:r>
          </w:p>
        </w:tc>
      </w:tr>
      <w:tr w:rsidR="004C74C2" w:rsidRPr="00B53423" w:rsidTr="009268E4">
        <w:trPr>
          <w:trHeight w:val="575"/>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Receivables equivalent to 60 days average billing of Beneficiaries</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156.25 </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169.17 </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169.46 </w:t>
            </w:r>
          </w:p>
        </w:tc>
      </w:tr>
      <w:tr w:rsidR="004C74C2" w:rsidRPr="00B53423" w:rsidTr="009268E4">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Gross Total</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169.19 </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180.98 </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182.77 </w:t>
            </w:r>
          </w:p>
        </w:tc>
      </w:tr>
      <w:tr w:rsidR="004C74C2" w:rsidRPr="00B53423" w:rsidTr="009268E4">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 </w:t>
            </w:r>
          </w:p>
        </w:tc>
        <w:tc>
          <w:tcPr>
            <w:tcW w:w="960" w:type="dxa"/>
            <w:shd w:val="clear" w:color="auto" w:fill="auto"/>
            <w:noWrap/>
            <w:hideMark/>
          </w:tcPr>
          <w:p w:rsidR="004C74C2" w:rsidRPr="00B53423" w:rsidRDefault="004C74C2" w:rsidP="0015232B">
            <w:pPr>
              <w:spacing w:before="0"/>
              <w:jc w:val="right"/>
              <w:rPr>
                <w:sz w:val="20"/>
                <w:szCs w:val="20"/>
              </w:rPr>
            </w:pPr>
          </w:p>
        </w:tc>
        <w:tc>
          <w:tcPr>
            <w:tcW w:w="1028" w:type="dxa"/>
            <w:shd w:val="clear" w:color="auto" w:fill="auto"/>
            <w:noWrap/>
            <w:hideMark/>
          </w:tcPr>
          <w:p w:rsidR="004C74C2" w:rsidRPr="00B53423" w:rsidRDefault="004C74C2" w:rsidP="0015232B">
            <w:pPr>
              <w:spacing w:before="0"/>
              <w:jc w:val="right"/>
              <w:rPr>
                <w:sz w:val="20"/>
                <w:szCs w:val="20"/>
              </w:rPr>
            </w:pPr>
          </w:p>
        </w:tc>
        <w:tc>
          <w:tcPr>
            <w:tcW w:w="960" w:type="dxa"/>
            <w:shd w:val="clear" w:color="auto" w:fill="auto"/>
            <w:noWrap/>
            <w:hideMark/>
          </w:tcPr>
          <w:p w:rsidR="004C74C2" w:rsidRPr="00B53423" w:rsidRDefault="004C74C2" w:rsidP="0015232B">
            <w:pPr>
              <w:spacing w:before="0"/>
              <w:jc w:val="right"/>
              <w:rPr>
                <w:sz w:val="20"/>
                <w:szCs w:val="20"/>
              </w:rPr>
            </w:pPr>
          </w:p>
        </w:tc>
        <w:tc>
          <w:tcPr>
            <w:tcW w:w="1132" w:type="dxa"/>
            <w:shd w:val="clear" w:color="auto" w:fill="auto"/>
            <w:noWrap/>
            <w:hideMark/>
          </w:tcPr>
          <w:p w:rsidR="004C74C2" w:rsidRPr="00B53423" w:rsidRDefault="004C74C2" w:rsidP="0015232B">
            <w:pPr>
              <w:spacing w:before="0"/>
              <w:jc w:val="right"/>
              <w:rPr>
                <w:sz w:val="20"/>
                <w:szCs w:val="20"/>
              </w:rPr>
            </w:pPr>
          </w:p>
        </w:tc>
      </w:tr>
      <w:tr w:rsidR="004C74C2" w:rsidRPr="00B53423" w:rsidTr="009268E4">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Security Deposits by the beneficiaries (if any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80.47 </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84.36 </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84.36 </w:t>
            </w:r>
          </w:p>
        </w:tc>
      </w:tr>
      <w:tr w:rsidR="004C74C2" w:rsidRPr="00B53423" w:rsidTr="009268E4">
        <w:trPr>
          <w:trHeight w:val="300"/>
        </w:trPr>
        <w:tc>
          <w:tcPr>
            <w:tcW w:w="4535" w:type="dxa"/>
            <w:shd w:val="clear" w:color="auto" w:fill="auto"/>
            <w:noWrap/>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Net Working Capital</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88.72 </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96.62 </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98.41 </w:t>
            </w:r>
          </w:p>
        </w:tc>
      </w:tr>
      <w:tr w:rsidR="004C74C2" w:rsidRPr="00B53423" w:rsidTr="009268E4">
        <w:trPr>
          <w:trHeight w:val="300"/>
        </w:trPr>
        <w:tc>
          <w:tcPr>
            <w:tcW w:w="4535" w:type="dxa"/>
            <w:shd w:val="clear" w:color="auto" w:fill="auto"/>
            <w:noWrap/>
            <w:vAlign w:val="bottom"/>
            <w:hideMark/>
          </w:tcPr>
          <w:p w:rsidR="004C74C2" w:rsidRPr="00B53423" w:rsidRDefault="004C74C2" w:rsidP="0015232B">
            <w:pPr>
              <w:spacing w:before="0" w:line="240" w:lineRule="auto"/>
              <w:jc w:val="center"/>
              <w:rPr>
                <w:rFonts w:asciiTheme="minorHAnsi" w:hAnsiTheme="minorHAnsi" w:cstheme="minorHAnsi"/>
              </w:rPr>
            </w:pPr>
            <w:r w:rsidRPr="00B53423">
              <w:rPr>
                <w:rFonts w:asciiTheme="minorHAnsi" w:hAnsiTheme="minorHAnsi" w:cstheme="minorHAnsi"/>
              </w:rPr>
              <w:t> </w:t>
            </w:r>
          </w:p>
        </w:tc>
        <w:tc>
          <w:tcPr>
            <w:tcW w:w="960" w:type="dxa"/>
            <w:shd w:val="clear" w:color="auto" w:fill="auto"/>
            <w:noWrap/>
            <w:hideMark/>
          </w:tcPr>
          <w:p w:rsidR="004C74C2" w:rsidRPr="00B53423" w:rsidRDefault="004C74C2" w:rsidP="0015232B">
            <w:pPr>
              <w:spacing w:before="0"/>
              <w:jc w:val="right"/>
              <w:rPr>
                <w:sz w:val="20"/>
                <w:szCs w:val="20"/>
              </w:rPr>
            </w:pPr>
          </w:p>
        </w:tc>
        <w:tc>
          <w:tcPr>
            <w:tcW w:w="1028" w:type="dxa"/>
            <w:shd w:val="clear" w:color="auto" w:fill="auto"/>
            <w:noWrap/>
            <w:hideMark/>
          </w:tcPr>
          <w:p w:rsidR="004C74C2" w:rsidRPr="00B53423" w:rsidRDefault="004C74C2" w:rsidP="0015232B">
            <w:pPr>
              <w:spacing w:before="0"/>
              <w:jc w:val="right"/>
              <w:rPr>
                <w:sz w:val="20"/>
                <w:szCs w:val="20"/>
              </w:rPr>
            </w:pPr>
          </w:p>
        </w:tc>
        <w:tc>
          <w:tcPr>
            <w:tcW w:w="960" w:type="dxa"/>
            <w:shd w:val="clear" w:color="auto" w:fill="auto"/>
            <w:noWrap/>
            <w:hideMark/>
          </w:tcPr>
          <w:p w:rsidR="004C74C2" w:rsidRPr="00B53423" w:rsidRDefault="004C74C2" w:rsidP="0015232B">
            <w:pPr>
              <w:spacing w:before="0"/>
              <w:jc w:val="right"/>
              <w:rPr>
                <w:sz w:val="20"/>
                <w:szCs w:val="20"/>
              </w:rPr>
            </w:pPr>
          </w:p>
        </w:tc>
        <w:tc>
          <w:tcPr>
            <w:tcW w:w="1132" w:type="dxa"/>
            <w:shd w:val="clear" w:color="auto" w:fill="auto"/>
            <w:noWrap/>
            <w:hideMark/>
          </w:tcPr>
          <w:p w:rsidR="004C74C2" w:rsidRPr="00B53423" w:rsidRDefault="004C74C2" w:rsidP="0015232B">
            <w:pPr>
              <w:spacing w:before="0"/>
              <w:jc w:val="right"/>
              <w:rPr>
                <w:sz w:val="20"/>
                <w:szCs w:val="20"/>
              </w:rPr>
            </w:pPr>
          </w:p>
        </w:tc>
      </w:tr>
      <w:tr w:rsidR="004C74C2" w:rsidRPr="00B53423" w:rsidTr="009268E4">
        <w:trPr>
          <w:trHeight w:val="300"/>
        </w:trPr>
        <w:tc>
          <w:tcPr>
            <w:tcW w:w="4535"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rPr>
            </w:pPr>
            <w:r w:rsidRPr="00B53423">
              <w:rPr>
                <w:rFonts w:asciiTheme="minorHAnsi" w:hAnsiTheme="minorHAnsi" w:cstheme="minorHAnsi"/>
              </w:rPr>
              <w:t>Rate of Interest for Working Capital</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12.50%</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12.50%</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12.50%</w:t>
            </w:r>
          </w:p>
        </w:tc>
      </w:tr>
      <w:tr w:rsidR="004C74C2" w:rsidRPr="00B53423" w:rsidTr="009268E4">
        <w:trPr>
          <w:trHeight w:val="300"/>
        </w:trPr>
        <w:tc>
          <w:tcPr>
            <w:tcW w:w="4535"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b/>
                <w:bCs/>
              </w:rPr>
            </w:pPr>
            <w:r w:rsidRPr="00B53423">
              <w:rPr>
                <w:rFonts w:asciiTheme="minorHAnsi" w:hAnsiTheme="minorHAnsi" w:cstheme="minorHAnsi"/>
                <w:b/>
                <w:bCs/>
              </w:rPr>
              <w:t>Interest on Working Capital</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11.09 </w:t>
            </w:r>
          </w:p>
        </w:tc>
        <w:tc>
          <w:tcPr>
            <w:tcW w:w="1028"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   </w:t>
            </w:r>
          </w:p>
        </w:tc>
        <w:tc>
          <w:tcPr>
            <w:tcW w:w="960"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12.08 </w:t>
            </w:r>
          </w:p>
        </w:tc>
        <w:tc>
          <w:tcPr>
            <w:tcW w:w="1132" w:type="dxa"/>
            <w:shd w:val="clear" w:color="auto" w:fill="auto"/>
            <w:noWrap/>
            <w:hideMark/>
          </w:tcPr>
          <w:p w:rsidR="004C74C2" w:rsidRPr="00B53423" w:rsidRDefault="004C74C2" w:rsidP="0015232B">
            <w:pPr>
              <w:spacing w:before="0"/>
              <w:jc w:val="right"/>
              <w:rPr>
                <w:sz w:val="20"/>
                <w:szCs w:val="20"/>
              </w:rPr>
            </w:pPr>
            <w:r w:rsidRPr="00B53423">
              <w:rPr>
                <w:sz w:val="20"/>
                <w:szCs w:val="20"/>
              </w:rPr>
              <w:t xml:space="preserve"> 12.30 </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450" w:firstLine="270"/>
        <w:rPr>
          <w:b/>
        </w:rPr>
      </w:pPr>
      <w:r w:rsidRPr="00B53423">
        <w:rPr>
          <w:b/>
        </w:rPr>
        <w:t>Total Interest and Finance Charges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following Table summarises the interest and finance charges approved by the Commission in the Tariff Order, interest and finance charges claimed by the Petitioner and that approved by the Commission in this Order:</w:t>
      </w:r>
    </w:p>
    <w:p w:rsidR="004C74C2" w:rsidRPr="00B53423" w:rsidRDefault="004C74C2" w:rsidP="0015232B">
      <w:pPr>
        <w:pStyle w:val="Heading3"/>
        <w:keepNext w:val="0"/>
        <w:numPr>
          <w:ilvl w:val="0"/>
          <w:numId w:val="0"/>
        </w:numPr>
        <w:ind w:left="720"/>
      </w:pPr>
    </w:p>
    <w:p w:rsidR="004C74C2" w:rsidRPr="00B53423" w:rsidRDefault="004C74C2" w:rsidP="0015232B">
      <w:pPr>
        <w:spacing w:before="240"/>
      </w:pPr>
      <w:bookmarkStart w:id="544" w:name="_Toc399626394"/>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13</w:t>
      </w:r>
      <w:r w:rsidR="005D68E7" w:rsidRPr="00B53423">
        <w:rPr>
          <w:rFonts w:asciiTheme="minorHAnsi" w:hAnsiTheme="minorHAnsi" w:cstheme="minorHAnsi"/>
          <w:b/>
        </w:rPr>
        <w:fldChar w:fldCharType="end"/>
      </w:r>
      <w:r w:rsidRPr="00B53423">
        <w:rPr>
          <w:rFonts w:asciiTheme="minorHAnsi" w:hAnsiTheme="minorHAnsi" w:cstheme="minorHAnsi"/>
          <w:b/>
        </w:rPr>
        <w:t>: ALLOWABLE INTEREST AND FINANCE CHARGES FOR FY 2011-12 (Rs. Crore)</w:t>
      </w:r>
      <w:bookmarkEnd w:id="544"/>
    </w:p>
    <w:tbl>
      <w:tblPr>
        <w:tblW w:w="9047" w:type="dxa"/>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907"/>
        <w:gridCol w:w="1127"/>
        <w:gridCol w:w="1671"/>
        <w:gridCol w:w="1127"/>
        <w:gridCol w:w="1215"/>
      </w:tblGrid>
      <w:tr w:rsidR="004C74C2" w:rsidRPr="00B53423" w:rsidTr="00F126DD">
        <w:trPr>
          <w:trHeight w:val="900"/>
          <w:tblHeader/>
        </w:trPr>
        <w:tc>
          <w:tcPr>
            <w:tcW w:w="3908" w:type="dxa"/>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127"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671"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27"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14" w:type="dxa"/>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b/>
                <w:bCs/>
                <w:i/>
                <w:iCs/>
                <w:color w:val="000000"/>
                <w:lang w:val="en-US"/>
              </w:rPr>
            </w:pPr>
            <w:r w:rsidRPr="00B53423">
              <w:rPr>
                <w:rFonts w:cs="Calibri"/>
                <w:b/>
                <w:bCs/>
                <w:i/>
                <w:iCs/>
                <w:color w:val="000000"/>
                <w:lang w:val="en-US"/>
              </w:rPr>
              <w:t>A: Interest on Long Term Loans</w:t>
            </w:r>
          </w:p>
        </w:tc>
        <w:tc>
          <w:tcPr>
            <w:tcW w:w="1127" w:type="dxa"/>
            <w:shd w:val="clear" w:color="auto" w:fill="auto"/>
            <w:noWrap/>
            <w:vAlign w:val="bottom"/>
            <w:hideMark/>
          </w:tcPr>
          <w:p w:rsidR="004C74C2" w:rsidRPr="00B53423" w:rsidRDefault="004C74C2" w:rsidP="0015232B">
            <w:pPr>
              <w:spacing w:before="0"/>
              <w:ind w:right="101"/>
              <w:rPr>
                <w:rFonts w:cs="Calibri"/>
                <w:color w:val="000000"/>
              </w:rPr>
            </w:pPr>
            <w:r w:rsidRPr="00B53423">
              <w:rPr>
                <w:rFonts w:cs="Calibri"/>
                <w:color w:val="000000"/>
              </w:rPr>
              <w:t> </w:t>
            </w:r>
          </w:p>
        </w:tc>
        <w:tc>
          <w:tcPr>
            <w:tcW w:w="1671" w:type="dxa"/>
            <w:shd w:val="clear" w:color="auto" w:fill="auto"/>
            <w:noWrap/>
            <w:vAlign w:val="bottom"/>
            <w:hideMark/>
          </w:tcPr>
          <w:p w:rsidR="004C74C2" w:rsidRPr="00B53423" w:rsidRDefault="004C74C2" w:rsidP="0015232B">
            <w:pPr>
              <w:spacing w:before="0"/>
              <w:rPr>
                <w:rFonts w:cs="Calibri"/>
                <w:color w:val="000000"/>
              </w:rPr>
            </w:pPr>
            <w:r w:rsidRPr="00B53423">
              <w:rPr>
                <w:rFonts w:cs="Calibri"/>
                <w:color w:val="000000"/>
              </w:rPr>
              <w:t> </w:t>
            </w:r>
          </w:p>
        </w:tc>
        <w:tc>
          <w:tcPr>
            <w:tcW w:w="1127" w:type="dxa"/>
            <w:shd w:val="clear" w:color="auto" w:fill="auto"/>
            <w:noWrap/>
            <w:vAlign w:val="bottom"/>
            <w:hideMark/>
          </w:tcPr>
          <w:p w:rsidR="004C74C2" w:rsidRPr="00B53423" w:rsidRDefault="004C74C2" w:rsidP="0015232B">
            <w:pPr>
              <w:spacing w:before="0"/>
              <w:rPr>
                <w:rFonts w:cs="Calibri"/>
                <w:color w:val="000000"/>
              </w:rPr>
            </w:pPr>
            <w:r w:rsidRPr="00B53423">
              <w:rPr>
                <w:rFonts w:cs="Calibri"/>
                <w:color w:val="000000"/>
              </w:rPr>
              <w:t> </w:t>
            </w:r>
          </w:p>
        </w:tc>
        <w:tc>
          <w:tcPr>
            <w:tcW w:w="1214" w:type="dxa"/>
            <w:shd w:val="clear" w:color="auto" w:fill="auto"/>
            <w:noWrap/>
            <w:vAlign w:val="bottom"/>
            <w:hideMark/>
          </w:tcPr>
          <w:p w:rsidR="004C74C2" w:rsidRPr="00B53423" w:rsidRDefault="004C74C2" w:rsidP="0015232B">
            <w:pPr>
              <w:spacing w:before="0"/>
              <w:jc w:val="right"/>
              <w:rPr>
                <w:rFonts w:cs="Calibri"/>
                <w:color w:val="000000"/>
              </w:rPr>
            </w:pPr>
            <w:r w:rsidRPr="00B53423">
              <w:rPr>
                <w:rFonts w:cs="Calibri"/>
                <w:color w:val="000000"/>
              </w:rPr>
              <w:t> </w:t>
            </w: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Gross Interest on Long Term Loan</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13.48</w:t>
            </w: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color w:val="000000"/>
              </w:rPr>
            </w:pPr>
            <w:r w:rsidRPr="00B53423">
              <w:rPr>
                <w:rFonts w:asciiTheme="minorHAnsi" w:hAnsiTheme="minorHAnsi" w:cstheme="minorHAnsi"/>
                <w:color w:val="000000"/>
              </w:rPr>
              <w:t>11.21</w:t>
            </w: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color w:val="000000"/>
              </w:rPr>
            </w:pPr>
            <w:r w:rsidRPr="00B53423">
              <w:rPr>
                <w:rFonts w:asciiTheme="minorHAnsi" w:hAnsiTheme="minorHAnsi" w:cstheme="minorHAnsi"/>
                <w:color w:val="000000"/>
              </w:rPr>
              <w:t>1.65</w:t>
            </w: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1.60</w:t>
            </w: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Interest Capitalisation</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0.68</w:t>
            </w: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color w:val="000000"/>
              </w:rPr>
            </w:pPr>
            <w:r w:rsidRPr="00B53423">
              <w:rPr>
                <w:rFonts w:asciiTheme="minorHAnsi" w:hAnsiTheme="minorHAnsi" w:cstheme="minorHAnsi"/>
                <w:color w:val="000000"/>
              </w:rPr>
              <w:t>0.00</w:t>
            </w: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color w:val="000000"/>
              </w:rPr>
            </w:pPr>
            <w:r w:rsidRPr="00B53423">
              <w:rPr>
                <w:rFonts w:asciiTheme="minorHAnsi" w:hAnsiTheme="minorHAnsi" w:cstheme="minorHAnsi"/>
                <w:color w:val="000000"/>
              </w:rPr>
              <w:t>0.00</w:t>
            </w: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0.00</w:t>
            </w: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Interest on Long Term Loans</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b/>
                <w:bCs/>
                <w:color w:val="000000"/>
              </w:rPr>
            </w:pPr>
            <w:r w:rsidRPr="00B53423">
              <w:rPr>
                <w:rFonts w:asciiTheme="minorHAnsi" w:hAnsiTheme="minorHAnsi" w:cstheme="minorHAnsi"/>
                <w:b/>
                <w:bCs/>
                <w:color w:val="000000"/>
              </w:rPr>
              <w:t>12.80</w:t>
            </w: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b/>
                <w:bCs/>
                <w:color w:val="000000"/>
              </w:rPr>
            </w:pPr>
            <w:r w:rsidRPr="00B53423">
              <w:rPr>
                <w:rFonts w:asciiTheme="minorHAnsi" w:hAnsiTheme="minorHAnsi" w:cstheme="minorHAnsi"/>
                <w:b/>
                <w:bCs/>
                <w:color w:val="000000"/>
              </w:rPr>
              <w:t>11.21</w:t>
            </w: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b/>
                <w:bCs/>
                <w:color w:val="000000"/>
              </w:rPr>
            </w:pPr>
            <w:r w:rsidRPr="00B53423">
              <w:rPr>
                <w:rFonts w:asciiTheme="minorHAnsi" w:hAnsiTheme="minorHAnsi" w:cstheme="minorHAnsi"/>
                <w:b/>
                <w:bCs/>
                <w:color w:val="000000"/>
              </w:rPr>
              <w:t>1.65</w:t>
            </w: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b/>
                <w:bCs/>
                <w:color w:val="000000"/>
              </w:rPr>
            </w:pPr>
            <w:r w:rsidRPr="00B53423">
              <w:rPr>
                <w:rFonts w:asciiTheme="minorHAnsi" w:hAnsiTheme="minorHAnsi" w:cstheme="minorHAnsi"/>
                <w:b/>
                <w:bCs/>
                <w:color w:val="000000"/>
              </w:rPr>
              <w:t>1.60</w:t>
            </w: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color w:val="000000"/>
              </w:rPr>
            </w:pP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color w:val="000000"/>
              </w:rPr>
            </w:pP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b/>
                <w:bCs/>
                <w:i/>
                <w:iCs/>
                <w:color w:val="000000"/>
                <w:lang w:val="en-US"/>
              </w:rPr>
            </w:pPr>
            <w:r w:rsidRPr="00B53423">
              <w:rPr>
                <w:rFonts w:cs="Calibri"/>
                <w:b/>
                <w:bCs/>
                <w:i/>
                <w:iCs/>
                <w:color w:val="000000"/>
                <w:lang w:val="en-US"/>
              </w:rPr>
              <w:t>B: Finance and Other Charges</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color w:val="000000"/>
              </w:rPr>
            </w:pP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color w:val="000000"/>
              </w:rPr>
            </w:pP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Interest on Electricity Duty</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0.00</w:t>
            </w: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color w:val="000000"/>
              </w:rPr>
            </w:pPr>
            <w:r w:rsidRPr="00B53423">
              <w:rPr>
                <w:rFonts w:asciiTheme="minorHAnsi" w:hAnsiTheme="minorHAnsi" w:cstheme="minorHAnsi"/>
                <w:color w:val="000000"/>
              </w:rPr>
              <w:t>23.09</w:t>
            </w: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color w:val="000000"/>
              </w:rPr>
            </w:pPr>
            <w:r w:rsidRPr="00B53423">
              <w:rPr>
                <w:rFonts w:asciiTheme="minorHAnsi" w:hAnsiTheme="minorHAnsi" w:cstheme="minorHAnsi"/>
                <w:color w:val="000000"/>
              </w:rPr>
              <w:t>23.09</w:t>
            </w: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0.00</w:t>
            </w: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Finance Charges / Guarantee Fees</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1.12</w:t>
            </w: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color w:val="000000"/>
              </w:rPr>
            </w:pPr>
            <w:r w:rsidRPr="00B53423">
              <w:rPr>
                <w:rFonts w:asciiTheme="minorHAnsi" w:hAnsiTheme="minorHAnsi" w:cstheme="minorHAnsi"/>
                <w:color w:val="000000"/>
              </w:rPr>
              <w:t>0.00</w:t>
            </w: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color w:val="000000"/>
              </w:rPr>
            </w:pPr>
            <w:r w:rsidRPr="00B53423">
              <w:rPr>
                <w:rFonts w:asciiTheme="minorHAnsi" w:hAnsiTheme="minorHAnsi" w:cstheme="minorHAnsi"/>
                <w:color w:val="000000"/>
              </w:rPr>
              <w:t>0.00</w:t>
            </w: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0.00</w:t>
            </w: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Bank Charges</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0.05</w:t>
            </w: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color w:val="000000"/>
              </w:rPr>
            </w:pPr>
            <w:r w:rsidRPr="00B53423">
              <w:rPr>
                <w:rFonts w:asciiTheme="minorHAnsi" w:hAnsiTheme="minorHAnsi" w:cstheme="minorHAnsi"/>
                <w:color w:val="000000"/>
              </w:rPr>
              <w:t>0.01</w:t>
            </w: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color w:val="000000"/>
              </w:rPr>
            </w:pPr>
            <w:r w:rsidRPr="00B53423">
              <w:rPr>
                <w:rFonts w:asciiTheme="minorHAnsi" w:hAnsiTheme="minorHAnsi" w:cstheme="minorHAnsi"/>
                <w:color w:val="000000"/>
              </w:rPr>
              <w:t>0.01</w:t>
            </w: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0.01</w:t>
            </w: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Discount to Consumers on sale of energy</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1.60</w:t>
            </w: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color w:val="000000"/>
              </w:rPr>
            </w:pPr>
            <w:r w:rsidRPr="00B53423">
              <w:rPr>
                <w:rFonts w:asciiTheme="minorHAnsi" w:hAnsiTheme="minorHAnsi" w:cstheme="minorHAnsi"/>
                <w:color w:val="000000"/>
              </w:rPr>
              <w:t>0.00</w:t>
            </w: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color w:val="000000"/>
              </w:rPr>
            </w:pPr>
            <w:r w:rsidRPr="00B53423">
              <w:rPr>
                <w:rFonts w:asciiTheme="minorHAnsi" w:hAnsiTheme="minorHAnsi" w:cstheme="minorHAnsi"/>
                <w:color w:val="000000"/>
              </w:rPr>
              <w:t>0.00</w:t>
            </w: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0.00</w:t>
            </w: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Interest on Consumer Security Deposits</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4.73</w:t>
            </w: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color w:val="000000"/>
              </w:rPr>
            </w:pPr>
            <w:r w:rsidRPr="00B53423">
              <w:rPr>
                <w:rFonts w:asciiTheme="minorHAnsi" w:hAnsiTheme="minorHAnsi" w:cstheme="minorHAnsi"/>
                <w:color w:val="000000"/>
              </w:rPr>
              <w:t>4.87</w:t>
            </w: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color w:val="000000"/>
              </w:rPr>
            </w:pPr>
            <w:r w:rsidRPr="00B53423">
              <w:rPr>
                <w:rFonts w:asciiTheme="minorHAnsi" w:hAnsiTheme="minorHAnsi" w:cstheme="minorHAnsi"/>
                <w:color w:val="000000"/>
              </w:rPr>
              <w:t>4.87</w:t>
            </w: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r w:rsidRPr="00B53423">
              <w:rPr>
                <w:rFonts w:asciiTheme="minorHAnsi" w:hAnsiTheme="minorHAnsi" w:cstheme="minorHAnsi"/>
                <w:color w:val="000000"/>
              </w:rPr>
              <w:t>4.87</w:t>
            </w: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Finance Charges</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b/>
                <w:bCs/>
                <w:color w:val="000000"/>
              </w:rPr>
            </w:pPr>
            <w:r w:rsidRPr="00B53423">
              <w:rPr>
                <w:rFonts w:asciiTheme="minorHAnsi" w:hAnsiTheme="minorHAnsi" w:cstheme="minorHAnsi"/>
                <w:b/>
                <w:bCs/>
                <w:color w:val="000000"/>
              </w:rPr>
              <w:t>7.50</w:t>
            </w: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b/>
                <w:bCs/>
                <w:color w:val="000000"/>
              </w:rPr>
            </w:pPr>
            <w:r w:rsidRPr="00B53423">
              <w:rPr>
                <w:rFonts w:asciiTheme="minorHAnsi" w:hAnsiTheme="minorHAnsi" w:cstheme="minorHAnsi"/>
                <w:b/>
                <w:bCs/>
                <w:color w:val="000000"/>
              </w:rPr>
              <w:t>27.96</w:t>
            </w: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b/>
                <w:bCs/>
                <w:color w:val="000000"/>
              </w:rPr>
            </w:pPr>
            <w:r w:rsidRPr="00B53423">
              <w:rPr>
                <w:rFonts w:asciiTheme="minorHAnsi" w:hAnsiTheme="minorHAnsi" w:cstheme="minorHAnsi"/>
                <w:b/>
                <w:bCs/>
                <w:color w:val="000000"/>
              </w:rPr>
              <w:t>27.96</w:t>
            </w: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b/>
                <w:bCs/>
                <w:color w:val="000000"/>
              </w:rPr>
            </w:pPr>
            <w:r w:rsidRPr="00B53423">
              <w:rPr>
                <w:rFonts w:asciiTheme="minorHAnsi" w:hAnsiTheme="minorHAnsi" w:cstheme="minorHAnsi"/>
                <w:b/>
                <w:bCs/>
                <w:color w:val="000000"/>
              </w:rPr>
              <w:t>4.87</w:t>
            </w: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color w:val="000000"/>
              </w:rPr>
            </w:pP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color w:val="000000"/>
              </w:rPr>
            </w:pP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b/>
                <w:bCs/>
                <w:i/>
                <w:iCs/>
                <w:color w:val="000000"/>
                <w:lang w:val="en-US"/>
              </w:rPr>
            </w:pPr>
            <w:r w:rsidRPr="00B53423">
              <w:rPr>
                <w:rFonts w:cs="Calibri"/>
                <w:b/>
                <w:bCs/>
                <w:i/>
                <w:iCs/>
                <w:color w:val="000000"/>
                <w:lang w:val="en-US"/>
              </w:rPr>
              <w:t>C: Interest on Working Capital</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b/>
                <w:bCs/>
                <w:color w:val="000000"/>
              </w:rPr>
            </w:pPr>
            <w:r w:rsidRPr="00B53423">
              <w:rPr>
                <w:rFonts w:asciiTheme="minorHAnsi" w:hAnsiTheme="minorHAnsi" w:cstheme="minorHAnsi"/>
                <w:b/>
                <w:bCs/>
                <w:color w:val="000000"/>
              </w:rPr>
              <w:t>11.09</w:t>
            </w: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b/>
                <w:bCs/>
                <w:color w:val="000000"/>
              </w:rPr>
            </w:pPr>
            <w:r w:rsidRPr="00B53423">
              <w:rPr>
                <w:rFonts w:asciiTheme="minorHAnsi" w:hAnsiTheme="minorHAnsi" w:cstheme="minorHAnsi"/>
                <w:b/>
                <w:bCs/>
                <w:color w:val="000000"/>
              </w:rPr>
              <w:t>0.00</w:t>
            </w: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b/>
                <w:bCs/>
                <w:color w:val="000000"/>
              </w:rPr>
            </w:pPr>
            <w:r w:rsidRPr="00B53423">
              <w:rPr>
                <w:rFonts w:asciiTheme="minorHAnsi" w:hAnsiTheme="minorHAnsi" w:cstheme="minorHAnsi"/>
                <w:b/>
                <w:bCs/>
                <w:color w:val="000000"/>
              </w:rPr>
              <w:t>12.08</w:t>
            </w: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b/>
                <w:bCs/>
                <w:color w:val="000000"/>
              </w:rPr>
            </w:pPr>
            <w:r w:rsidRPr="00B53423">
              <w:rPr>
                <w:rFonts w:asciiTheme="minorHAnsi" w:hAnsiTheme="minorHAnsi" w:cstheme="minorHAnsi"/>
                <w:b/>
                <w:bCs/>
                <w:color w:val="000000"/>
              </w:rPr>
              <w:t>12.30</w:t>
            </w: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color w:val="000000"/>
              </w:rPr>
            </w:pP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color w:val="000000"/>
              </w:rPr>
            </w:pP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color w:val="000000"/>
              </w:rPr>
            </w:pPr>
          </w:p>
        </w:tc>
      </w:tr>
      <w:tr w:rsidR="004C74C2" w:rsidRPr="00B53423" w:rsidTr="00F126DD">
        <w:trPr>
          <w:trHeight w:val="300"/>
        </w:trPr>
        <w:tc>
          <w:tcPr>
            <w:tcW w:w="3908"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(A+B+C)</w:t>
            </w:r>
          </w:p>
        </w:tc>
        <w:tc>
          <w:tcPr>
            <w:tcW w:w="1127"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b/>
                <w:bCs/>
                <w:color w:val="000000"/>
              </w:rPr>
            </w:pPr>
            <w:r w:rsidRPr="00B53423">
              <w:rPr>
                <w:rFonts w:asciiTheme="minorHAnsi" w:hAnsiTheme="minorHAnsi" w:cstheme="minorHAnsi"/>
                <w:b/>
                <w:bCs/>
                <w:color w:val="000000"/>
              </w:rPr>
              <w:t>31.39</w:t>
            </w:r>
          </w:p>
        </w:tc>
        <w:tc>
          <w:tcPr>
            <w:tcW w:w="1671" w:type="dxa"/>
            <w:shd w:val="clear" w:color="auto" w:fill="auto"/>
            <w:noWrap/>
            <w:vAlign w:val="bottom"/>
            <w:hideMark/>
          </w:tcPr>
          <w:p w:rsidR="004C74C2" w:rsidRPr="00B53423" w:rsidRDefault="004C74C2" w:rsidP="0015232B">
            <w:pPr>
              <w:spacing w:before="0"/>
              <w:ind w:right="365"/>
              <w:jc w:val="right"/>
              <w:rPr>
                <w:rFonts w:asciiTheme="minorHAnsi" w:hAnsiTheme="minorHAnsi" w:cstheme="minorHAnsi"/>
                <w:b/>
                <w:bCs/>
                <w:color w:val="000000"/>
              </w:rPr>
            </w:pPr>
            <w:r w:rsidRPr="00B53423">
              <w:rPr>
                <w:rFonts w:asciiTheme="minorHAnsi" w:hAnsiTheme="minorHAnsi" w:cstheme="minorHAnsi"/>
                <w:b/>
                <w:bCs/>
                <w:color w:val="000000"/>
              </w:rPr>
              <w:t>39.17</w:t>
            </w:r>
          </w:p>
        </w:tc>
        <w:tc>
          <w:tcPr>
            <w:tcW w:w="1127" w:type="dxa"/>
            <w:shd w:val="clear" w:color="auto" w:fill="auto"/>
            <w:noWrap/>
            <w:vAlign w:val="bottom"/>
            <w:hideMark/>
          </w:tcPr>
          <w:p w:rsidR="004C74C2" w:rsidRPr="00B53423" w:rsidRDefault="004C74C2" w:rsidP="0015232B">
            <w:pPr>
              <w:spacing w:before="0"/>
              <w:ind w:right="62"/>
              <w:jc w:val="right"/>
              <w:rPr>
                <w:rFonts w:asciiTheme="minorHAnsi" w:hAnsiTheme="minorHAnsi" w:cstheme="minorHAnsi"/>
                <w:b/>
                <w:bCs/>
                <w:color w:val="000000"/>
              </w:rPr>
            </w:pPr>
            <w:r w:rsidRPr="00B53423">
              <w:rPr>
                <w:rFonts w:asciiTheme="minorHAnsi" w:hAnsiTheme="minorHAnsi" w:cstheme="minorHAnsi"/>
                <w:b/>
                <w:bCs/>
                <w:color w:val="000000"/>
              </w:rPr>
              <w:t>41.68</w:t>
            </w:r>
          </w:p>
        </w:tc>
        <w:tc>
          <w:tcPr>
            <w:tcW w:w="1214" w:type="dxa"/>
            <w:shd w:val="clear" w:color="auto" w:fill="auto"/>
            <w:noWrap/>
            <w:vAlign w:val="bottom"/>
            <w:hideMark/>
          </w:tcPr>
          <w:p w:rsidR="004C74C2" w:rsidRPr="00B53423" w:rsidRDefault="004C74C2" w:rsidP="0015232B">
            <w:pPr>
              <w:spacing w:before="0"/>
              <w:ind w:right="101"/>
              <w:jc w:val="right"/>
              <w:rPr>
                <w:rFonts w:asciiTheme="minorHAnsi" w:hAnsiTheme="minorHAnsi" w:cstheme="minorHAnsi"/>
                <w:b/>
                <w:bCs/>
                <w:color w:val="000000"/>
              </w:rPr>
            </w:pPr>
            <w:r w:rsidRPr="00B53423">
              <w:rPr>
                <w:rFonts w:asciiTheme="minorHAnsi" w:hAnsiTheme="minorHAnsi" w:cstheme="minorHAnsi"/>
                <w:b/>
                <w:bCs/>
                <w:color w:val="000000"/>
              </w:rPr>
              <w:t>18.77</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rPr>
          <w:caps/>
        </w:rPr>
      </w:pPr>
      <w:bookmarkStart w:id="545" w:name="_Toc399626208"/>
      <w:r w:rsidRPr="00B53423">
        <w:rPr>
          <w:caps/>
        </w:rPr>
        <w:t>Depreciation</w:t>
      </w:r>
      <w:bookmarkEnd w:id="545"/>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19</w:t>
      </w:r>
      <w:r w:rsidRPr="00B53423">
        <w:rPr>
          <w:vertAlign w:val="superscript"/>
        </w:rPr>
        <w:t>th</w:t>
      </w:r>
      <w:r w:rsidRPr="00B53423">
        <w:t xml:space="preserve"> October, 2012 in Petition No. 751 / 2011 and 798 / 2012 for FY 2011-12, the Commission had approved a depreciation expense of Rs. 20.73 Crore on a gross fixed asset base of Rs. 562.88 Crore.</w:t>
      </w:r>
    </w:p>
    <w:p w:rsidR="004C74C2" w:rsidRPr="00B53423" w:rsidRDefault="004C74C2" w:rsidP="0015232B">
      <w:pPr>
        <w:pStyle w:val="Heading3"/>
        <w:keepNext w:val="0"/>
        <w:numPr>
          <w:ilvl w:val="0"/>
          <w:numId w:val="0"/>
        </w:numPr>
        <w:ind w:left="450"/>
        <w:rPr>
          <w:sz w:val="22"/>
          <w:szCs w:val="22"/>
        </w:rPr>
      </w:pPr>
    </w:p>
    <w:p w:rsidR="004C74C2" w:rsidRPr="00B53423" w:rsidRDefault="004C74C2" w:rsidP="0015232B">
      <w:pPr>
        <w:pStyle w:val="Heading3"/>
        <w:keepNext w:val="0"/>
        <w:ind w:hanging="1080"/>
        <w:rPr>
          <w:sz w:val="22"/>
          <w:szCs w:val="22"/>
        </w:rPr>
      </w:pPr>
      <w:r w:rsidRPr="00B53423">
        <w:t>The Petitioner submitted that the actual depreciation expense as per Audited Accounts is Rs. 16.12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FY 2011-12</w:t>
      </w:r>
      <w:r w:rsidRPr="00B53423">
        <w:rPr>
          <w:sz w:val="22"/>
          <w:szCs w:val="22"/>
        </w:rPr>
        <w:t>.</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added that for the purpose of True-up it has computed depreciation expense on the actual gross fixed asset base using the same depreciation rates which were used by the Commission in the Tariff Order Order dated 19</w:t>
      </w:r>
      <w:r w:rsidRPr="00B53423">
        <w:rPr>
          <w:vertAlign w:val="superscript"/>
        </w:rPr>
        <w:t>th</w:t>
      </w:r>
      <w:r w:rsidRPr="00B53423">
        <w:t xml:space="preserve"> October, 2012 in Petition No. 751 / 2011 and 798 / 2012 for FY 2011-12. However, it was observed that the Petitioner had considered depreciation rate of 7.91% to compute the depreciation as against the depreciation rate of 4.74% approved by the Commission in the Tariff Order dated 19</w:t>
      </w:r>
      <w:r w:rsidRPr="00B53423">
        <w:rPr>
          <w:vertAlign w:val="superscript"/>
        </w:rPr>
        <w:t>th</w:t>
      </w:r>
      <w:r w:rsidRPr="00B53423">
        <w:t xml:space="preserve"> October, 2012 in Petition No. 751 / 2011 and 798 / 2012 for FY 2010-11. In reply to the Commission’s query regarding variation in Depreciation rate the Petitioner submitted the revised depreciation computation after considering the depreciation rate approved by the Commission in the aforesaid Tariff Order as shown in the Table below:</w:t>
      </w:r>
    </w:p>
    <w:p w:rsidR="004C74C2" w:rsidRPr="00B53423" w:rsidRDefault="004C74C2" w:rsidP="0015232B">
      <w:pPr>
        <w:pStyle w:val="ListParagraph"/>
        <w:numPr>
          <w:ilvl w:val="2"/>
          <w:numId w:val="0"/>
        </w:numPr>
        <w:ind w:left="180" w:hanging="180"/>
      </w:pPr>
    </w:p>
    <w:p w:rsidR="004C74C2" w:rsidRPr="00B53423" w:rsidRDefault="004C74C2" w:rsidP="0015232B">
      <w:pPr>
        <w:spacing w:before="240"/>
        <w:jc w:val="center"/>
        <w:rPr>
          <w:rFonts w:asciiTheme="minorHAnsi" w:hAnsiTheme="minorHAnsi" w:cstheme="minorHAnsi"/>
          <w:b/>
        </w:rPr>
      </w:pPr>
      <w:bookmarkStart w:id="546" w:name="_Toc399626395"/>
      <w:r w:rsidRPr="00B53423">
        <w:rPr>
          <w:rFonts w:asciiTheme="minorHAnsi" w:hAnsiTheme="minorHAnsi" w:cstheme="minorHAnsi"/>
          <w:b/>
          <w:caps/>
        </w:rPr>
        <w:t xml:space="preserve">Table </w:t>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STYLEREF 1 \s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7</w:t>
      </w:r>
      <w:r w:rsidR="005D68E7" w:rsidRPr="00B53423">
        <w:rPr>
          <w:rFonts w:asciiTheme="minorHAnsi" w:hAnsiTheme="minorHAnsi" w:cstheme="minorHAnsi"/>
          <w:b/>
          <w:caps/>
        </w:rPr>
        <w:fldChar w:fldCharType="end"/>
      </w:r>
      <w:r w:rsidRPr="00B53423">
        <w:rPr>
          <w:rFonts w:asciiTheme="minorHAnsi" w:hAnsiTheme="minorHAnsi" w:cstheme="minorHAnsi"/>
          <w:b/>
          <w:caps/>
        </w:rPr>
        <w:noBreakHyphen/>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SEQ Table \* ARABIC \s 1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14</w:t>
      </w:r>
      <w:r w:rsidR="005D68E7" w:rsidRPr="00B53423">
        <w:rPr>
          <w:rFonts w:asciiTheme="minorHAnsi" w:hAnsiTheme="minorHAnsi" w:cstheme="minorHAnsi"/>
          <w:b/>
          <w:caps/>
        </w:rPr>
        <w:fldChar w:fldCharType="end"/>
      </w:r>
      <w:r w:rsidRPr="00B53423">
        <w:rPr>
          <w:rFonts w:asciiTheme="minorHAnsi" w:hAnsiTheme="minorHAnsi" w:cstheme="minorHAnsi"/>
          <w:b/>
          <w:caps/>
        </w:rPr>
        <w:t>: Allowable Depreciation submitted by the Petitioner</w:t>
      </w:r>
      <w:r w:rsidRPr="00B53423">
        <w:rPr>
          <w:rFonts w:asciiTheme="minorHAnsi" w:hAnsiTheme="minorHAnsi" w:cstheme="minorHAnsi"/>
          <w:b/>
        </w:rPr>
        <w:t xml:space="preserve"> (Rs. Crore)</w:t>
      </w:r>
      <w:bookmarkEnd w:id="546"/>
    </w:p>
    <w:tbl>
      <w:tblPr>
        <w:tblW w:w="5557" w:type="pct"/>
        <w:tblInd w:w="-43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518"/>
        <w:gridCol w:w="1080"/>
        <w:gridCol w:w="1169"/>
        <w:gridCol w:w="1260"/>
        <w:gridCol w:w="1059"/>
        <w:gridCol w:w="1375"/>
        <w:gridCol w:w="1414"/>
      </w:tblGrid>
      <w:tr w:rsidR="004C74C2" w:rsidRPr="00F82CEF" w:rsidTr="00880361">
        <w:trPr>
          <w:trHeight w:val="730"/>
          <w:tblHeader/>
        </w:trPr>
        <w:tc>
          <w:tcPr>
            <w:tcW w:w="1275" w:type="pct"/>
            <w:shd w:val="clear" w:color="auto" w:fill="DBE5F1" w:themeFill="accent1" w:themeFillTint="33"/>
            <w:vAlign w:val="center"/>
            <w:hideMark/>
          </w:tcPr>
          <w:p w:rsidR="004C74C2" w:rsidRPr="00F82CEF" w:rsidRDefault="003A6B3B" w:rsidP="0015232B">
            <w:pPr>
              <w:spacing w:before="0"/>
              <w:jc w:val="center"/>
              <w:rPr>
                <w:b/>
                <w:lang w:val="en-IN" w:eastAsia="en-IN"/>
              </w:rPr>
            </w:pPr>
            <w:r w:rsidRPr="00F82CEF">
              <w:rPr>
                <w:b/>
                <w:sz w:val="22"/>
                <w:szCs w:val="22"/>
                <w:lang w:val="en-IN" w:eastAsia="en-IN"/>
              </w:rPr>
              <w:t>Particulars</w:t>
            </w:r>
          </w:p>
        </w:tc>
        <w:tc>
          <w:tcPr>
            <w:tcW w:w="547" w:type="pct"/>
            <w:shd w:val="clear" w:color="auto" w:fill="DBE5F1" w:themeFill="accent1" w:themeFillTint="33"/>
            <w:vAlign w:val="center"/>
            <w:hideMark/>
          </w:tcPr>
          <w:p w:rsidR="004C74C2" w:rsidRPr="00F82CEF" w:rsidRDefault="003A6B3B" w:rsidP="0015232B">
            <w:pPr>
              <w:spacing w:before="0"/>
              <w:jc w:val="center"/>
              <w:rPr>
                <w:b/>
                <w:lang w:val="en-IN" w:eastAsia="en-IN"/>
              </w:rPr>
            </w:pPr>
            <w:r w:rsidRPr="00F82CEF">
              <w:rPr>
                <w:b/>
                <w:sz w:val="22"/>
                <w:szCs w:val="22"/>
                <w:lang w:val="en-IN" w:eastAsia="en-IN"/>
              </w:rPr>
              <w:t>Opening GFA</w:t>
            </w:r>
          </w:p>
        </w:tc>
        <w:tc>
          <w:tcPr>
            <w:tcW w:w="592" w:type="pct"/>
            <w:shd w:val="clear" w:color="auto" w:fill="DBE5F1" w:themeFill="accent1" w:themeFillTint="33"/>
            <w:vAlign w:val="center"/>
            <w:hideMark/>
          </w:tcPr>
          <w:p w:rsidR="004C74C2" w:rsidRPr="00F82CEF" w:rsidRDefault="003A6B3B" w:rsidP="0015232B">
            <w:pPr>
              <w:spacing w:before="0"/>
              <w:jc w:val="center"/>
              <w:rPr>
                <w:b/>
                <w:lang w:val="en-IN" w:eastAsia="en-IN"/>
              </w:rPr>
            </w:pPr>
            <w:r w:rsidRPr="00F82CEF">
              <w:rPr>
                <w:b/>
                <w:sz w:val="22"/>
                <w:szCs w:val="22"/>
                <w:lang w:val="en-IN" w:eastAsia="en-IN"/>
              </w:rPr>
              <w:t>Additions to GFA</w:t>
            </w:r>
          </w:p>
        </w:tc>
        <w:tc>
          <w:tcPr>
            <w:tcW w:w="638" w:type="pct"/>
            <w:shd w:val="clear" w:color="auto" w:fill="DBE5F1" w:themeFill="accent1" w:themeFillTint="33"/>
            <w:vAlign w:val="center"/>
            <w:hideMark/>
          </w:tcPr>
          <w:p w:rsidR="004C74C2" w:rsidRPr="00F82CEF" w:rsidRDefault="003A6B3B" w:rsidP="0015232B">
            <w:pPr>
              <w:spacing w:before="0"/>
              <w:jc w:val="center"/>
              <w:rPr>
                <w:b/>
                <w:lang w:val="en-IN" w:eastAsia="en-IN"/>
              </w:rPr>
            </w:pPr>
            <w:r w:rsidRPr="00F82CEF">
              <w:rPr>
                <w:b/>
                <w:sz w:val="22"/>
                <w:szCs w:val="22"/>
                <w:lang w:val="en-IN" w:eastAsia="en-IN"/>
              </w:rPr>
              <w:t>Deductions to GFA</w:t>
            </w:r>
          </w:p>
        </w:tc>
        <w:tc>
          <w:tcPr>
            <w:tcW w:w="536" w:type="pct"/>
            <w:shd w:val="clear" w:color="auto" w:fill="DBE5F1" w:themeFill="accent1" w:themeFillTint="33"/>
            <w:vAlign w:val="center"/>
            <w:hideMark/>
          </w:tcPr>
          <w:p w:rsidR="004C74C2" w:rsidRPr="00F82CEF" w:rsidRDefault="003A6B3B" w:rsidP="0015232B">
            <w:pPr>
              <w:spacing w:before="0"/>
              <w:jc w:val="center"/>
              <w:rPr>
                <w:b/>
                <w:lang w:val="en-IN" w:eastAsia="en-IN"/>
              </w:rPr>
            </w:pPr>
            <w:r w:rsidRPr="00F82CEF">
              <w:rPr>
                <w:b/>
                <w:sz w:val="22"/>
                <w:szCs w:val="22"/>
                <w:lang w:val="en-IN" w:eastAsia="en-IN"/>
              </w:rPr>
              <w:t xml:space="preserve">Closing </w:t>
            </w:r>
            <w:r w:rsidRPr="00F82CEF">
              <w:rPr>
                <w:b/>
                <w:sz w:val="22"/>
                <w:szCs w:val="22"/>
                <w:lang w:val="en-IN" w:eastAsia="en-IN"/>
              </w:rPr>
              <w:br/>
              <w:t>GFA</w:t>
            </w:r>
          </w:p>
        </w:tc>
        <w:tc>
          <w:tcPr>
            <w:tcW w:w="696" w:type="pct"/>
            <w:shd w:val="clear" w:color="auto" w:fill="DBE5F1" w:themeFill="accent1" w:themeFillTint="33"/>
            <w:vAlign w:val="center"/>
            <w:hideMark/>
          </w:tcPr>
          <w:p w:rsidR="004C74C2" w:rsidRPr="00F82CEF" w:rsidRDefault="003A6B3B" w:rsidP="0015232B">
            <w:pPr>
              <w:spacing w:before="0"/>
              <w:jc w:val="center"/>
              <w:rPr>
                <w:b/>
                <w:lang w:val="en-IN" w:eastAsia="en-IN"/>
              </w:rPr>
            </w:pPr>
            <w:r w:rsidRPr="00F82CEF">
              <w:rPr>
                <w:b/>
                <w:sz w:val="22"/>
                <w:szCs w:val="22"/>
                <w:lang w:val="en-IN" w:eastAsia="en-IN"/>
              </w:rPr>
              <w:t>Depreciation Rates considered</w:t>
            </w:r>
          </w:p>
        </w:tc>
        <w:tc>
          <w:tcPr>
            <w:tcW w:w="716" w:type="pct"/>
            <w:shd w:val="clear" w:color="auto" w:fill="DBE5F1" w:themeFill="accent1" w:themeFillTint="33"/>
            <w:vAlign w:val="center"/>
            <w:hideMark/>
          </w:tcPr>
          <w:p w:rsidR="004C74C2" w:rsidRPr="00F82CEF" w:rsidRDefault="003A6B3B" w:rsidP="0015232B">
            <w:pPr>
              <w:spacing w:before="0"/>
              <w:jc w:val="center"/>
              <w:rPr>
                <w:b/>
                <w:lang w:val="en-IN" w:eastAsia="en-IN"/>
              </w:rPr>
            </w:pPr>
            <w:r w:rsidRPr="00F82CEF">
              <w:rPr>
                <w:b/>
                <w:sz w:val="22"/>
                <w:szCs w:val="22"/>
                <w:lang w:val="en-IN" w:eastAsia="en-IN"/>
              </w:rPr>
              <w:t>Allowable Depreciation</w:t>
            </w:r>
          </w:p>
        </w:tc>
      </w:tr>
      <w:tr w:rsidR="004C74C2" w:rsidRPr="00F82CEF" w:rsidTr="00F82CEF">
        <w:trPr>
          <w:trHeight w:val="300"/>
        </w:trPr>
        <w:tc>
          <w:tcPr>
            <w:tcW w:w="1275" w:type="pct"/>
            <w:shd w:val="clear" w:color="000000" w:fill="FFFFFF"/>
            <w:vAlign w:val="center"/>
            <w:hideMark/>
          </w:tcPr>
          <w:p w:rsidR="004C74C2" w:rsidRPr="00F82CEF" w:rsidRDefault="003A6B3B" w:rsidP="0015232B">
            <w:pPr>
              <w:spacing w:before="0"/>
              <w:jc w:val="left"/>
              <w:rPr>
                <w:lang w:val="en-IN" w:eastAsia="en-IN"/>
              </w:rPr>
            </w:pPr>
            <w:r w:rsidRPr="00F82CEF">
              <w:rPr>
                <w:sz w:val="22"/>
                <w:szCs w:val="22"/>
                <w:lang w:val="en-IN" w:eastAsia="en-IN"/>
              </w:rPr>
              <w:t>Buildings</w:t>
            </w:r>
          </w:p>
        </w:tc>
        <w:tc>
          <w:tcPr>
            <w:tcW w:w="547" w:type="pct"/>
            <w:shd w:val="clear" w:color="000000" w:fill="FFFFFF"/>
            <w:noWrap/>
            <w:vAlign w:val="center"/>
            <w:hideMark/>
          </w:tcPr>
          <w:p w:rsidR="004C74C2" w:rsidRPr="00F82CEF" w:rsidRDefault="004C74C2" w:rsidP="0015232B">
            <w:pPr>
              <w:spacing w:before="0"/>
              <w:jc w:val="right"/>
              <w:rPr>
                <w:lang w:val="en-IN" w:eastAsia="en-IN"/>
              </w:rPr>
            </w:pPr>
          </w:p>
        </w:tc>
        <w:tc>
          <w:tcPr>
            <w:tcW w:w="592" w:type="pct"/>
            <w:shd w:val="clear" w:color="000000" w:fill="FFFFFF"/>
            <w:noWrap/>
            <w:vAlign w:val="center"/>
            <w:hideMark/>
          </w:tcPr>
          <w:p w:rsidR="004C74C2" w:rsidRPr="00F82CEF" w:rsidRDefault="004C74C2" w:rsidP="0015232B">
            <w:pPr>
              <w:spacing w:before="0"/>
              <w:jc w:val="right"/>
              <w:rPr>
                <w:lang w:val="en-IN" w:eastAsia="en-IN"/>
              </w:rPr>
            </w:pPr>
          </w:p>
        </w:tc>
        <w:tc>
          <w:tcPr>
            <w:tcW w:w="638" w:type="pct"/>
            <w:shd w:val="clear" w:color="000000" w:fill="FFFFFF"/>
            <w:noWrap/>
            <w:vAlign w:val="center"/>
            <w:hideMark/>
          </w:tcPr>
          <w:p w:rsidR="004C74C2" w:rsidRPr="00F82CEF" w:rsidRDefault="004C74C2" w:rsidP="0015232B">
            <w:pPr>
              <w:spacing w:before="0"/>
              <w:jc w:val="right"/>
              <w:rPr>
                <w:lang w:val="en-IN" w:eastAsia="en-IN"/>
              </w:rPr>
            </w:pPr>
          </w:p>
        </w:tc>
        <w:tc>
          <w:tcPr>
            <w:tcW w:w="536" w:type="pct"/>
            <w:shd w:val="clear" w:color="000000" w:fill="FFFFFF"/>
            <w:noWrap/>
            <w:vAlign w:val="center"/>
            <w:hideMark/>
          </w:tcPr>
          <w:p w:rsidR="004C74C2" w:rsidRPr="00F82CEF" w:rsidRDefault="004C74C2" w:rsidP="0015232B">
            <w:pPr>
              <w:spacing w:before="0"/>
              <w:jc w:val="right"/>
              <w:rPr>
                <w:lang w:val="en-IN" w:eastAsia="en-IN"/>
              </w:rPr>
            </w:pPr>
          </w:p>
        </w:tc>
        <w:tc>
          <w:tcPr>
            <w:tcW w:w="696" w:type="pct"/>
            <w:shd w:val="clear" w:color="000000" w:fill="FFFFFF"/>
            <w:noWrap/>
            <w:vAlign w:val="center"/>
            <w:hideMark/>
          </w:tcPr>
          <w:p w:rsidR="004C74C2" w:rsidRPr="00F82CEF" w:rsidRDefault="004C74C2" w:rsidP="0015232B">
            <w:pPr>
              <w:spacing w:before="0"/>
              <w:jc w:val="right"/>
              <w:rPr>
                <w:lang w:val="en-IN" w:eastAsia="en-IN"/>
              </w:rPr>
            </w:pPr>
          </w:p>
        </w:tc>
        <w:tc>
          <w:tcPr>
            <w:tcW w:w="716" w:type="pct"/>
            <w:shd w:val="clear" w:color="000000" w:fill="FFFFFF"/>
            <w:noWrap/>
            <w:vAlign w:val="center"/>
            <w:hideMark/>
          </w:tcPr>
          <w:p w:rsidR="004C74C2" w:rsidRPr="00F82CEF" w:rsidRDefault="004C74C2" w:rsidP="0015232B">
            <w:pPr>
              <w:spacing w:before="0"/>
              <w:jc w:val="right"/>
              <w:rPr>
                <w:lang w:val="en-IN" w:eastAsia="en-IN"/>
              </w:rPr>
            </w:pPr>
          </w:p>
        </w:tc>
      </w:tr>
      <w:tr w:rsidR="004C74C2" w:rsidRPr="00F82CEF" w:rsidTr="00F82CEF">
        <w:trPr>
          <w:trHeight w:val="257"/>
        </w:trPr>
        <w:tc>
          <w:tcPr>
            <w:tcW w:w="1275" w:type="pct"/>
            <w:shd w:val="clear" w:color="000000" w:fill="FFFFFF"/>
            <w:vAlign w:val="center"/>
            <w:hideMark/>
          </w:tcPr>
          <w:p w:rsidR="004C74C2" w:rsidRPr="00F82CEF" w:rsidRDefault="003A6B3B" w:rsidP="0015232B">
            <w:pPr>
              <w:spacing w:before="0"/>
              <w:jc w:val="left"/>
              <w:rPr>
                <w:lang w:val="en-IN" w:eastAsia="en-IN"/>
              </w:rPr>
            </w:pPr>
            <w:r w:rsidRPr="00F82CEF">
              <w:rPr>
                <w:sz w:val="22"/>
                <w:szCs w:val="22"/>
                <w:lang w:val="en-IN" w:eastAsia="en-IN"/>
              </w:rPr>
              <w:t xml:space="preserve">  a. Residential Colonies</w:t>
            </w:r>
          </w:p>
        </w:tc>
        <w:tc>
          <w:tcPr>
            <w:tcW w:w="547"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10.19</w:t>
            </w:r>
          </w:p>
        </w:tc>
        <w:tc>
          <w:tcPr>
            <w:tcW w:w="592"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w:t>
            </w:r>
          </w:p>
        </w:tc>
        <w:tc>
          <w:tcPr>
            <w:tcW w:w="638" w:type="pct"/>
            <w:shd w:val="clear" w:color="000000" w:fill="FFFFFF"/>
            <w:noWrap/>
            <w:vAlign w:val="center"/>
            <w:hideMark/>
          </w:tcPr>
          <w:p w:rsidR="004C74C2" w:rsidRPr="00F82CEF" w:rsidRDefault="004C74C2" w:rsidP="0015232B">
            <w:pPr>
              <w:spacing w:before="0"/>
              <w:jc w:val="right"/>
              <w:rPr>
                <w:lang w:val="en-IN" w:eastAsia="en-IN"/>
              </w:rPr>
            </w:pPr>
          </w:p>
        </w:tc>
        <w:tc>
          <w:tcPr>
            <w:tcW w:w="53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10.19</w:t>
            </w:r>
          </w:p>
        </w:tc>
        <w:tc>
          <w:tcPr>
            <w:tcW w:w="69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4.74%</w:t>
            </w:r>
          </w:p>
        </w:tc>
        <w:tc>
          <w:tcPr>
            <w:tcW w:w="71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0.48</w:t>
            </w:r>
          </w:p>
        </w:tc>
      </w:tr>
      <w:tr w:rsidR="004C74C2" w:rsidRPr="00F82CEF" w:rsidTr="00F82CEF">
        <w:trPr>
          <w:trHeight w:val="300"/>
        </w:trPr>
        <w:tc>
          <w:tcPr>
            <w:tcW w:w="1275" w:type="pct"/>
            <w:shd w:val="clear" w:color="000000" w:fill="FFFFFF"/>
            <w:vAlign w:val="center"/>
            <w:hideMark/>
          </w:tcPr>
          <w:p w:rsidR="004C74C2" w:rsidRPr="00F82CEF" w:rsidRDefault="003A6B3B" w:rsidP="0015232B">
            <w:pPr>
              <w:spacing w:before="0"/>
              <w:jc w:val="left"/>
              <w:rPr>
                <w:lang w:val="en-IN" w:eastAsia="en-IN"/>
              </w:rPr>
            </w:pPr>
            <w:r w:rsidRPr="00F82CEF">
              <w:rPr>
                <w:sz w:val="22"/>
                <w:szCs w:val="22"/>
                <w:lang w:val="en-IN" w:eastAsia="en-IN"/>
              </w:rPr>
              <w:t xml:space="preserve">  b. Office Building</w:t>
            </w:r>
          </w:p>
        </w:tc>
        <w:tc>
          <w:tcPr>
            <w:tcW w:w="547"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1.50</w:t>
            </w:r>
          </w:p>
        </w:tc>
        <w:tc>
          <w:tcPr>
            <w:tcW w:w="592"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0.16</w:t>
            </w:r>
          </w:p>
        </w:tc>
        <w:tc>
          <w:tcPr>
            <w:tcW w:w="638" w:type="pct"/>
            <w:shd w:val="clear" w:color="000000" w:fill="FFFFFF"/>
            <w:noWrap/>
            <w:vAlign w:val="center"/>
            <w:hideMark/>
          </w:tcPr>
          <w:p w:rsidR="004C74C2" w:rsidRPr="00F82CEF" w:rsidRDefault="004C74C2" w:rsidP="0015232B">
            <w:pPr>
              <w:spacing w:before="0"/>
              <w:jc w:val="right"/>
              <w:rPr>
                <w:lang w:val="en-IN" w:eastAsia="en-IN"/>
              </w:rPr>
            </w:pPr>
          </w:p>
        </w:tc>
        <w:tc>
          <w:tcPr>
            <w:tcW w:w="53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1.66</w:t>
            </w:r>
          </w:p>
        </w:tc>
        <w:tc>
          <w:tcPr>
            <w:tcW w:w="69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4.74%</w:t>
            </w:r>
          </w:p>
        </w:tc>
        <w:tc>
          <w:tcPr>
            <w:tcW w:w="71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0.07</w:t>
            </w:r>
          </w:p>
        </w:tc>
      </w:tr>
      <w:tr w:rsidR="004C74C2" w:rsidRPr="00F82CEF" w:rsidTr="00F82CEF">
        <w:trPr>
          <w:trHeight w:val="237"/>
        </w:trPr>
        <w:tc>
          <w:tcPr>
            <w:tcW w:w="1275" w:type="pct"/>
            <w:shd w:val="clear" w:color="000000" w:fill="FFFFFF"/>
            <w:vAlign w:val="center"/>
            <w:hideMark/>
          </w:tcPr>
          <w:p w:rsidR="004C74C2" w:rsidRPr="00F82CEF" w:rsidRDefault="003A6B3B" w:rsidP="0015232B">
            <w:pPr>
              <w:spacing w:before="0"/>
              <w:jc w:val="left"/>
              <w:rPr>
                <w:lang w:val="en-IN" w:eastAsia="en-IN"/>
              </w:rPr>
            </w:pPr>
            <w:r w:rsidRPr="00F82CEF">
              <w:rPr>
                <w:sz w:val="22"/>
                <w:szCs w:val="22"/>
                <w:lang w:val="en-IN" w:eastAsia="en-IN"/>
              </w:rPr>
              <w:t xml:space="preserve">  c. Building containing Sub-stations</w:t>
            </w:r>
          </w:p>
        </w:tc>
        <w:tc>
          <w:tcPr>
            <w:tcW w:w="547"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16.28</w:t>
            </w:r>
          </w:p>
        </w:tc>
        <w:tc>
          <w:tcPr>
            <w:tcW w:w="592"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0.60</w:t>
            </w:r>
          </w:p>
        </w:tc>
        <w:tc>
          <w:tcPr>
            <w:tcW w:w="638" w:type="pct"/>
            <w:shd w:val="clear" w:color="000000" w:fill="FFFFFF"/>
            <w:noWrap/>
            <w:vAlign w:val="center"/>
            <w:hideMark/>
          </w:tcPr>
          <w:p w:rsidR="004C74C2" w:rsidRPr="00F82CEF" w:rsidRDefault="004C74C2" w:rsidP="0015232B">
            <w:pPr>
              <w:spacing w:before="0"/>
              <w:jc w:val="right"/>
              <w:rPr>
                <w:lang w:val="en-IN" w:eastAsia="en-IN"/>
              </w:rPr>
            </w:pPr>
          </w:p>
        </w:tc>
        <w:tc>
          <w:tcPr>
            <w:tcW w:w="53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16.89</w:t>
            </w:r>
          </w:p>
        </w:tc>
        <w:tc>
          <w:tcPr>
            <w:tcW w:w="69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4.74%</w:t>
            </w:r>
          </w:p>
        </w:tc>
        <w:tc>
          <w:tcPr>
            <w:tcW w:w="71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0.79</w:t>
            </w:r>
          </w:p>
        </w:tc>
      </w:tr>
      <w:tr w:rsidR="004C74C2" w:rsidRPr="00F82CEF" w:rsidTr="00F82CEF">
        <w:trPr>
          <w:trHeight w:val="300"/>
        </w:trPr>
        <w:tc>
          <w:tcPr>
            <w:tcW w:w="1275" w:type="pct"/>
            <w:shd w:val="clear" w:color="000000" w:fill="FFFFFF"/>
            <w:vAlign w:val="center"/>
            <w:hideMark/>
          </w:tcPr>
          <w:p w:rsidR="004C74C2" w:rsidRPr="00F82CEF" w:rsidRDefault="003A6B3B" w:rsidP="0015232B">
            <w:pPr>
              <w:spacing w:before="0"/>
              <w:jc w:val="left"/>
              <w:rPr>
                <w:lang w:val="en-IN" w:eastAsia="en-IN"/>
              </w:rPr>
            </w:pPr>
            <w:r w:rsidRPr="00F82CEF">
              <w:rPr>
                <w:sz w:val="22"/>
                <w:szCs w:val="22"/>
                <w:lang w:val="en-IN" w:eastAsia="en-IN"/>
              </w:rPr>
              <w:t>Plants &amp; Machinery</w:t>
            </w:r>
          </w:p>
        </w:tc>
        <w:tc>
          <w:tcPr>
            <w:tcW w:w="547" w:type="pct"/>
            <w:shd w:val="clear" w:color="000000" w:fill="FFFFFF"/>
            <w:noWrap/>
            <w:vAlign w:val="center"/>
            <w:hideMark/>
          </w:tcPr>
          <w:p w:rsidR="004C74C2" w:rsidRPr="00F82CEF" w:rsidRDefault="004C74C2" w:rsidP="0015232B">
            <w:pPr>
              <w:spacing w:before="0"/>
              <w:jc w:val="right"/>
              <w:rPr>
                <w:lang w:val="en-IN" w:eastAsia="en-IN"/>
              </w:rPr>
            </w:pPr>
          </w:p>
        </w:tc>
        <w:tc>
          <w:tcPr>
            <w:tcW w:w="592" w:type="pct"/>
            <w:shd w:val="clear" w:color="000000" w:fill="FFFFFF"/>
            <w:noWrap/>
            <w:vAlign w:val="center"/>
            <w:hideMark/>
          </w:tcPr>
          <w:p w:rsidR="004C74C2" w:rsidRPr="00F82CEF" w:rsidRDefault="004C74C2" w:rsidP="0015232B">
            <w:pPr>
              <w:spacing w:before="0"/>
              <w:jc w:val="right"/>
              <w:rPr>
                <w:lang w:val="en-IN" w:eastAsia="en-IN"/>
              </w:rPr>
            </w:pPr>
          </w:p>
        </w:tc>
        <w:tc>
          <w:tcPr>
            <w:tcW w:w="638" w:type="pct"/>
            <w:shd w:val="clear" w:color="000000" w:fill="FFFFFF"/>
            <w:noWrap/>
            <w:vAlign w:val="center"/>
            <w:hideMark/>
          </w:tcPr>
          <w:p w:rsidR="004C74C2" w:rsidRPr="00F82CEF" w:rsidRDefault="004C74C2" w:rsidP="0015232B">
            <w:pPr>
              <w:spacing w:before="0"/>
              <w:jc w:val="right"/>
              <w:rPr>
                <w:lang w:val="en-IN" w:eastAsia="en-IN"/>
              </w:rPr>
            </w:pPr>
          </w:p>
        </w:tc>
        <w:tc>
          <w:tcPr>
            <w:tcW w:w="536" w:type="pct"/>
            <w:shd w:val="clear" w:color="000000" w:fill="FFFFFF"/>
            <w:noWrap/>
            <w:vAlign w:val="center"/>
            <w:hideMark/>
          </w:tcPr>
          <w:p w:rsidR="004C74C2" w:rsidRPr="00F82CEF" w:rsidRDefault="004C74C2" w:rsidP="0015232B">
            <w:pPr>
              <w:spacing w:before="0"/>
              <w:jc w:val="right"/>
              <w:rPr>
                <w:lang w:val="en-IN" w:eastAsia="en-IN"/>
              </w:rPr>
            </w:pPr>
          </w:p>
        </w:tc>
        <w:tc>
          <w:tcPr>
            <w:tcW w:w="69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lang w:val="en-IN" w:eastAsia="en-IN"/>
              </w:rPr>
              <w:t> </w:t>
            </w:r>
          </w:p>
        </w:tc>
        <w:tc>
          <w:tcPr>
            <w:tcW w:w="716" w:type="pct"/>
            <w:shd w:val="clear" w:color="000000" w:fill="FFFFFF"/>
            <w:noWrap/>
            <w:vAlign w:val="center"/>
            <w:hideMark/>
          </w:tcPr>
          <w:p w:rsidR="004C74C2" w:rsidRPr="00F82CEF" w:rsidRDefault="004C74C2" w:rsidP="0015232B">
            <w:pPr>
              <w:spacing w:before="0"/>
              <w:jc w:val="right"/>
              <w:rPr>
                <w:lang w:val="en-IN" w:eastAsia="en-IN"/>
              </w:rPr>
            </w:pPr>
          </w:p>
        </w:tc>
      </w:tr>
      <w:tr w:rsidR="004C74C2" w:rsidRPr="00F82CEF" w:rsidTr="00F82CEF">
        <w:trPr>
          <w:trHeight w:val="300"/>
        </w:trPr>
        <w:tc>
          <w:tcPr>
            <w:tcW w:w="1275" w:type="pct"/>
            <w:shd w:val="clear" w:color="000000" w:fill="FFFFFF"/>
            <w:vAlign w:val="center"/>
            <w:hideMark/>
          </w:tcPr>
          <w:p w:rsidR="004C74C2" w:rsidRPr="00F82CEF" w:rsidRDefault="003A6B3B" w:rsidP="0015232B">
            <w:pPr>
              <w:spacing w:before="0"/>
              <w:jc w:val="left"/>
              <w:rPr>
                <w:lang w:val="en-IN" w:eastAsia="en-IN"/>
              </w:rPr>
            </w:pPr>
            <w:r w:rsidRPr="00F82CEF">
              <w:rPr>
                <w:sz w:val="22"/>
                <w:szCs w:val="22"/>
                <w:lang w:val="en-IN" w:eastAsia="en-IN"/>
              </w:rPr>
              <w:t xml:space="preserve">  a. Plant &amp; Machinery</w:t>
            </w:r>
          </w:p>
        </w:tc>
        <w:tc>
          <w:tcPr>
            <w:tcW w:w="547"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144.44</w:t>
            </w:r>
          </w:p>
        </w:tc>
        <w:tc>
          <w:tcPr>
            <w:tcW w:w="592"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10.85</w:t>
            </w:r>
          </w:p>
        </w:tc>
        <w:tc>
          <w:tcPr>
            <w:tcW w:w="638" w:type="pct"/>
            <w:shd w:val="clear" w:color="000000" w:fill="FFFFFF"/>
            <w:noWrap/>
            <w:vAlign w:val="center"/>
            <w:hideMark/>
          </w:tcPr>
          <w:p w:rsidR="004C74C2" w:rsidRPr="00F82CEF" w:rsidRDefault="004C74C2" w:rsidP="0015232B">
            <w:pPr>
              <w:spacing w:before="0"/>
              <w:jc w:val="right"/>
              <w:rPr>
                <w:lang w:val="en-IN" w:eastAsia="en-IN"/>
              </w:rPr>
            </w:pPr>
          </w:p>
        </w:tc>
        <w:tc>
          <w:tcPr>
            <w:tcW w:w="53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155.29</w:t>
            </w:r>
          </w:p>
        </w:tc>
        <w:tc>
          <w:tcPr>
            <w:tcW w:w="69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4.74%</w:t>
            </w:r>
          </w:p>
        </w:tc>
        <w:tc>
          <w:tcPr>
            <w:tcW w:w="71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7.10</w:t>
            </w:r>
          </w:p>
        </w:tc>
      </w:tr>
      <w:tr w:rsidR="004C74C2" w:rsidRPr="00F82CEF" w:rsidTr="00F82CEF">
        <w:trPr>
          <w:trHeight w:val="600"/>
        </w:trPr>
        <w:tc>
          <w:tcPr>
            <w:tcW w:w="1275" w:type="pct"/>
            <w:shd w:val="clear" w:color="000000" w:fill="FFFFFF"/>
            <w:vAlign w:val="center"/>
            <w:hideMark/>
          </w:tcPr>
          <w:p w:rsidR="004C74C2" w:rsidRPr="00F82CEF" w:rsidRDefault="003A6B3B" w:rsidP="0015232B">
            <w:pPr>
              <w:spacing w:before="0"/>
              <w:jc w:val="left"/>
              <w:rPr>
                <w:lang w:val="en-IN" w:eastAsia="en-IN"/>
              </w:rPr>
            </w:pPr>
            <w:r w:rsidRPr="00F82CEF">
              <w:rPr>
                <w:sz w:val="22"/>
                <w:szCs w:val="22"/>
                <w:lang w:val="en-IN" w:eastAsia="en-IN"/>
              </w:rPr>
              <w:t xml:space="preserve">  b. Lines, Cables, Networks etc.</w:t>
            </w:r>
          </w:p>
        </w:tc>
        <w:tc>
          <w:tcPr>
            <w:tcW w:w="547"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361.34</w:t>
            </w:r>
          </w:p>
        </w:tc>
        <w:tc>
          <w:tcPr>
            <w:tcW w:w="592"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3.28</w:t>
            </w:r>
          </w:p>
        </w:tc>
        <w:tc>
          <w:tcPr>
            <w:tcW w:w="638" w:type="pct"/>
            <w:shd w:val="clear" w:color="000000" w:fill="FFFFFF"/>
            <w:noWrap/>
            <w:vAlign w:val="center"/>
            <w:hideMark/>
          </w:tcPr>
          <w:p w:rsidR="004C74C2" w:rsidRPr="00F82CEF" w:rsidRDefault="004C74C2" w:rsidP="0015232B">
            <w:pPr>
              <w:spacing w:before="0"/>
              <w:jc w:val="right"/>
              <w:rPr>
                <w:lang w:val="en-IN" w:eastAsia="en-IN"/>
              </w:rPr>
            </w:pPr>
          </w:p>
        </w:tc>
        <w:tc>
          <w:tcPr>
            <w:tcW w:w="53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364.62</w:t>
            </w:r>
          </w:p>
        </w:tc>
        <w:tc>
          <w:tcPr>
            <w:tcW w:w="69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4.74%</w:t>
            </w:r>
          </w:p>
        </w:tc>
        <w:tc>
          <w:tcPr>
            <w:tcW w:w="71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17.21</w:t>
            </w:r>
          </w:p>
        </w:tc>
      </w:tr>
      <w:tr w:rsidR="004C74C2" w:rsidRPr="00F82CEF" w:rsidTr="00F82CEF">
        <w:trPr>
          <w:trHeight w:val="300"/>
        </w:trPr>
        <w:tc>
          <w:tcPr>
            <w:tcW w:w="1275" w:type="pct"/>
            <w:shd w:val="clear" w:color="000000" w:fill="FFFFFF"/>
            <w:vAlign w:val="center"/>
            <w:hideMark/>
          </w:tcPr>
          <w:p w:rsidR="004C74C2" w:rsidRPr="00F82CEF" w:rsidRDefault="003A6B3B" w:rsidP="0015232B">
            <w:pPr>
              <w:spacing w:before="0"/>
              <w:jc w:val="left"/>
              <w:rPr>
                <w:lang w:val="en-IN" w:eastAsia="en-IN"/>
              </w:rPr>
            </w:pPr>
            <w:r w:rsidRPr="00F82CEF">
              <w:rPr>
                <w:sz w:val="22"/>
                <w:szCs w:val="22"/>
                <w:lang w:val="en-IN" w:eastAsia="en-IN"/>
              </w:rPr>
              <w:t xml:space="preserve">  c. Office Equipments</w:t>
            </w:r>
          </w:p>
        </w:tc>
        <w:tc>
          <w:tcPr>
            <w:tcW w:w="547"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5.95</w:t>
            </w:r>
          </w:p>
        </w:tc>
        <w:tc>
          <w:tcPr>
            <w:tcW w:w="592"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0.21</w:t>
            </w:r>
          </w:p>
        </w:tc>
        <w:tc>
          <w:tcPr>
            <w:tcW w:w="638" w:type="pct"/>
            <w:shd w:val="clear" w:color="000000" w:fill="FFFFFF"/>
            <w:noWrap/>
            <w:vAlign w:val="center"/>
            <w:hideMark/>
          </w:tcPr>
          <w:p w:rsidR="004C74C2" w:rsidRPr="00F82CEF" w:rsidRDefault="004C74C2" w:rsidP="0015232B">
            <w:pPr>
              <w:spacing w:before="0"/>
              <w:jc w:val="right"/>
              <w:rPr>
                <w:lang w:val="en-IN" w:eastAsia="en-IN"/>
              </w:rPr>
            </w:pPr>
          </w:p>
        </w:tc>
        <w:tc>
          <w:tcPr>
            <w:tcW w:w="53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6.15</w:t>
            </w:r>
          </w:p>
        </w:tc>
        <w:tc>
          <w:tcPr>
            <w:tcW w:w="69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4.74%</w:t>
            </w:r>
          </w:p>
        </w:tc>
        <w:tc>
          <w:tcPr>
            <w:tcW w:w="71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0.29</w:t>
            </w:r>
          </w:p>
        </w:tc>
      </w:tr>
      <w:tr w:rsidR="004C74C2" w:rsidRPr="00F82CEF" w:rsidTr="00F82CEF">
        <w:trPr>
          <w:trHeight w:val="300"/>
        </w:trPr>
        <w:tc>
          <w:tcPr>
            <w:tcW w:w="1275" w:type="pct"/>
            <w:shd w:val="clear" w:color="000000" w:fill="FFFFFF"/>
            <w:vAlign w:val="center"/>
            <w:hideMark/>
          </w:tcPr>
          <w:p w:rsidR="004C74C2" w:rsidRPr="00F82CEF" w:rsidRDefault="003A6B3B" w:rsidP="0015232B">
            <w:pPr>
              <w:spacing w:before="0"/>
              <w:jc w:val="left"/>
              <w:rPr>
                <w:lang w:val="en-IN" w:eastAsia="en-IN"/>
              </w:rPr>
            </w:pPr>
            <w:r w:rsidRPr="00F82CEF">
              <w:rPr>
                <w:sz w:val="22"/>
                <w:szCs w:val="22"/>
                <w:lang w:val="en-IN" w:eastAsia="en-IN"/>
              </w:rPr>
              <w:t xml:space="preserve">  d. Computers</w:t>
            </w:r>
          </w:p>
        </w:tc>
        <w:tc>
          <w:tcPr>
            <w:tcW w:w="547"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2.87</w:t>
            </w:r>
          </w:p>
        </w:tc>
        <w:tc>
          <w:tcPr>
            <w:tcW w:w="592"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0.48</w:t>
            </w:r>
          </w:p>
        </w:tc>
        <w:tc>
          <w:tcPr>
            <w:tcW w:w="638" w:type="pct"/>
            <w:shd w:val="clear" w:color="000000" w:fill="FFFFFF"/>
            <w:noWrap/>
            <w:vAlign w:val="center"/>
            <w:hideMark/>
          </w:tcPr>
          <w:p w:rsidR="004C74C2" w:rsidRPr="00F82CEF" w:rsidRDefault="004C74C2" w:rsidP="0015232B">
            <w:pPr>
              <w:spacing w:before="0"/>
              <w:jc w:val="right"/>
              <w:rPr>
                <w:lang w:val="en-IN" w:eastAsia="en-IN"/>
              </w:rPr>
            </w:pPr>
          </w:p>
        </w:tc>
        <w:tc>
          <w:tcPr>
            <w:tcW w:w="53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3.35</w:t>
            </w:r>
          </w:p>
        </w:tc>
        <w:tc>
          <w:tcPr>
            <w:tcW w:w="69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4.74%</w:t>
            </w:r>
          </w:p>
        </w:tc>
        <w:tc>
          <w:tcPr>
            <w:tcW w:w="71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0.15</w:t>
            </w:r>
          </w:p>
        </w:tc>
      </w:tr>
      <w:tr w:rsidR="004C74C2" w:rsidRPr="00F82CEF" w:rsidTr="00F82CEF">
        <w:trPr>
          <w:trHeight w:val="300"/>
        </w:trPr>
        <w:tc>
          <w:tcPr>
            <w:tcW w:w="1275" w:type="pct"/>
            <w:shd w:val="clear" w:color="000000" w:fill="FFFFFF"/>
            <w:vAlign w:val="center"/>
            <w:hideMark/>
          </w:tcPr>
          <w:p w:rsidR="004C74C2" w:rsidRPr="00F82CEF" w:rsidRDefault="003A6B3B" w:rsidP="0015232B">
            <w:pPr>
              <w:spacing w:before="0"/>
              <w:jc w:val="left"/>
              <w:rPr>
                <w:lang w:val="en-IN" w:eastAsia="en-IN"/>
              </w:rPr>
            </w:pPr>
            <w:r w:rsidRPr="00F82CEF">
              <w:rPr>
                <w:sz w:val="22"/>
                <w:szCs w:val="22"/>
                <w:lang w:val="en-IN" w:eastAsia="en-IN"/>
              </w:rPr>
              <w:t>Furniture &amp; Fixtures</w:t>
            </w:r>
          </w:p>
        </w:tc>
        <w:tc>
          <w:tcPr>
            <w:tcW w:w="547"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1.12</w:t>
            </w:r>
          </w:p>
        </w:tc>
        <w:tc>
          <w:tcPr>
            <w:tcW w:w="592"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0.15</w:t>
            </w:r>
          </w:p>
        </w:tc>
        <w:tc>
          <w:tcPr>
            <w:tcW w:w="638" w:type="pct"/>
            <w:shd w:val="clear" w:color="000000" w:fill="FFFFFF"/>
            <w:noWrap/>
            <w:vAlign w:val="center"/>
            <w:hideMark/>
          </w:tcPr>
          <w:p w:rsidR="004C74C2" w:rsidRPr="00F82CEF" w:rsidRDefault="004C74C2" w:rsidP="0015232B">
            <w:pPr>
              <w:spacing w:before="0"/>
              <w:jc w:val="right"/>
              <w:rPr>
                <w:lang w:val="en-IN" w:eastAsia="en-IN"/>
              </w:rPr>
            </w:pPr>
          </w:p>
        </w:tc>
        <w:tc>
          <w:tcPr>
            <w:tcW w:w="53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1.27</w:t>
            </w:r>
          </w:p>
        </w:tc>
        <w:tc>
          <w:tcPr>
            <w:tcW w:w="69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4.74%</w:t>
            </w:r>
          </w:p>
        </w:tc>
        <w:tc>
          <w:tcPr>
            <w:tcW w:w="71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0.06</w:t>
            </w:r>
          </w:p>
        </w:tc>
      </w:tr>
      <w:tr w:rsidR="004C74C2" w:rsidRPr="00F82CEF" w:rsidTr="00F82CEF">
        <w:trPr>
          <w:trHeight w:val="300"/>
        </w:trPr>
        <w:tc>
          <w:tcPr>
            <w:tcW w:w="1275" w:type="pct"/>
            <w:shd w:val="clear" w:color="000000" w:fill="FFFFFF"/>
            <w:vAlign w:val="center"/>
            <w:hideMark/>
          </w:tcPr>
          <w:p w:rsidR="004C74C2" w:rsidRPr="00F82CEF" w:rsidRDefault="003A6B3B" w:rsidP="0015232B">
            <w:pPr>
              <w:spacing w:before="0"/>
              <w:jc w:val="left"/>
              <w:rPr>
                <w:lang w:val="en-IN" w:eastAsia="en-IN"/>
              </w:rPr>
            </w:pPr>
            <w:r w:rsidRPr="00F82CEF">
              <w:rPr>
                <w:sz w:val="22"/>
                <w:szCs w:val="22"/>
                <w:lang w:val="en-IN" w:eastAsia="en-IN"/>
              </w:rPr>
              <w:t>Vehicles</w:t>
            </w:r>
          </w:p>
        </w:tc>
        <w:tc>
          <w:tcPr>
            <w:tcW w:w="547"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3.34</w:t>
            </w:r>
          </w:p>
        </w:tc>
        <w:tc>
          <w:tcPr>
            <w:tcW w:w="592"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0.11</w:t>
            </w:r>
          </w:p>
        </w:tc>
        <w:tc>
          <w:tcPr>
            <w:tcW w:w="638" w:type="pct"/>
            <w:shd w:val="clear" w:color="000000" w:fill="FFFFFF"/>
            <w:noWrap/>
            <w:vAlign w:val="center"/>
            <w:hideMark/>
          </w:tcPr>
          <w:p w:rsidR="004C74C2" w:rsidRPr="00F82CEF" w:rsidRDefault="004C74C2" w:rsidP="0015232B">
            <w:pPr>
              <w:spacing w:before="0"/>
              <w:jc w:val="right"/>
              <w:rPr>
                <w:lang w:val="en-IN" w:eastAsia="en-IN"/>
              </w:rPr>
            </w:pPr>
          </w:p>
        </w:tc>
        <w:tc>
          <w:tcPr>
            <w:tcW w:w="53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3.45</w:t>
            </w:r>
          </w:p>
        </w:tc>
        <w:tc>
          <w:tcPr>
            <w:tcW w:w="69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4.74%</w:t>
            </w:r>
          </w:p>
        </w:tc>
        <w:tc>
          <w:tcPr>
            <w:tcW w:w="716" w:type="pct"/>
            <w:shd w:val="clear" w:color="000000" w:fill="FFFFFF"/>
            <w:noWrap/>
            <w:vAlign w:val="center"/>
            <w:hideMark/>
          </w:tcPr>
          <w:p w:rsidR="004C74C2" w:rsidRPr="00F82CEF" w:rsidRDefault="003A6B3B" w:rsidP="0015232B">
            <w:pPr>
              <w:spacing w:before="0"/>
              <w:jc w:val="right"/>
              <w:rPr>
                <w:lang w:val="en-IN" w:eastAsia="en-IN"/>
              </w:rPr>
            </w:pPr>
            <w:r w:rsidRPr="00F82CEF">
              <w:rPr>
                <w:sz w:val="22"/>
                <w:szCs w:val="22"/>
              </w:rPr>
              <w:t>0.16</w:t>
            </w:r>
          </w:p>
        </w:tc>
      </w:tr>
      <w:tr w:rsidR="004C74C2" w:rsidRPr="00F82CEF" w:rsidTr="00F82CEF">
        <w:trPr>
          <w:trHeight w:val="300"/>
        </w:trPr>
        <w:tc>
          <w:tcPr>
            <w:tcW w:w="1275" w:type="pct"/>
            <w:shd w:val="clear" w:color="000000" w:fill="FFFFFF"/>
            <w:vAlign w:val="center"/>
            <w:hideMark/>
          </w:tcPr>
          <w:p w:rsidR="004C74C2" w:rsidRPr="00F82CEF" w:rsidRDefault="003A6B3B" w:rsidP="0015232B">
            <w:pPr>
              <w:spacing w:before="0"/>
              <w:jc w:val="left"/>
              <w:rPr>
                <w:b/>
                <w:lang w:val="en-IN" w:eastAsia="en-IN"/>
              </w:rPr>
            </w:pPr>
            <w:r w:rsidRPr="00F82CEF">
              <w:rPr>
                <w:b/>
                <w:sz w:val="22"/>
                <w:szCs w:val="22"/>
                <w:lang w:val="en-IN" w:eastAsia="en-IN"/>
              </w:rPr>
              <w:t>Grand Total</w:t>
            </w:r>
          </w:p>
        </w:tc>
        <w:tc>
          <w:tcPr>
            <w:tcW w:w="547" w:type="pct"/>
            <w:shd w:val="clear" w:color="000000" w:fill="FFFFFF"/>
            <w:noWrap/>
            <w:vAlign w:val="center"/>
            <w:hideMark/>
          </w:tcPr>
          <w:p w:rsidR="004C74C2" w:rsidRPr="00F82CEF" w:rsidRDefault="003A6B3B" w:rsidP="0015232B">
            <w:pPr>
              <w:spacing w:before="0"/>
              <w:jc w:val="right"/>
              <w:rPr>
                <w:b/>
                <w:lang w:val="en-IN" w:eastAsia="en-IN"/>
              </w:rPr>
            </w:pPr>
            <w:r w:rsidRPr="00F82CEF">
              <w:rPr>
                <w:b/>
                <w:sz w:val="22"/>
                <w:szCs w:val="22"/>
              </w:rPr>
              <w:t>547.03</w:t>
            </w:r>
          </w:p>
        </w:tc>
        <w:tc>
          <w:tcPr>
            <w:tcW w:w="592" w:type="pct"/>
            <w:shd w:val="clear" w:color="000000" w:fill="FFFFFF"/>
            <w:noWrap/>
            <w:vAlign w:val="center"/>
            <w:hideMark/>
          </w:tcPr>
          <w:p w:rsidR="004C74C2" w:rsidRPr="00F82CEF" w:rsidRDefault="003A6B3B" w:rsidP="0015232B">
            <w:pPr>
              <w:spacing w:before="0"/>
              <w:jc w:val="right"/>
              <w:rPr>
                <w:b/>
                <w:lang w:val="en-IN" w:eastAsia="en-IN"/>
              </w:rPr>
            </w:pPr>
            <w:r w:rsidRPr="00F82CEF">
              <w:rPr>
                <w:b/>
                <w:sz w:val="22"/>
                <w:szCs w:val="22"/>
              </w:rPr>
              <w:t>15.84</w:t>
            </w:r>
          </w:p>
        </w:tc>
        <w:tc>
          <w:tcPr>
            <w:tcW w:w="638" w:type="pct"/>
            <w:shd w:val="clear" w:color="000000" w:fill="FFFFFF"/>
            <w:noWrap/>
            <w:vAlign w:val="center"/>
            <w:hideMark/>
          </w:tcPr>
          <w:p w:rsidR="004C74C2" w:rsidRPr="00F82CEF" w:rsidRDefault="003A6B3B" w:rsidP="0015232B">
            <w:pPr>
              <w:spacing w:before="0"/>
              <w:jc w:val="right"/>
              <w:rPr>
                <w:b/>
                <w:lang w:val="en-IN" w:eastAsia="en-IN"/>
              </w:rPr>
            </w:pPr>
            <w:r w:rsidRPr="00F82CEF">
              <w:rPr>
                <w:b/>
                <w:sz w:val="22"/>
                <w:szCs w:val="22"/>
              </w:rPr>
              <w:t>-</w:t>
            </w:r>
          </w:p>
        </w:tc>
        <w:tc>
          <w:tcPr>
            <w:tcW w:w="536" w:type="pct"/>
            <w:shd w:val="clear" w:color="000000" w:fill="FFFFFF"/>
            <w:noWrap/>
            <w:vAlign w:val="center"/>
            <w:hideMark/>
          </w:tcPr>
          <w:p w:rsidR="004C74C2" w:rsidRPr="00F82CEF" w:rsidRDefault="003A6B3B" w:rsidP="0015232B">
            <w:pPr>
              <w:spacing w:before="0"/>
              <w:jc w:val="right"/>
              <w:rPr>
                <w:b/>
                <w:lang w:val="en-IN" w:eastAsia="en-IN"/>
              </w:rPr>
            </w:pPr>
            <w:r w:rsidRPr="00F82CEF">
              <w:rPr>
                <w:b/>
                <w:sz w:val="22"/>
                <w:szCs w:val="22"/>
              </w:rPr>
              <w:t>562.88</w:t>
            </w:r>
          </w:p>
        </w:tc>
        <w:tc>
          <w:tcPr>
            <w:tcW w:w="696" w:type="pct"/>
            <w:shd w:val="clear" w:color="000000" w:fill="FFFFFF"/>
            <w:noWrap/>
            <w:vAlign w:val="center"/>
            <w:hideMark/>
          </w:tcPr>
          <w:p w:rsidR="004C74C2" w:rsidRPr="00F82CEF" w:rsidRDefault="004C74C2" w:rsidP="0015232B">
            <w:pPr>
              <w:spacing w:before="0"/>
              <w:jc w:val="right"/>
              <w:rPr>
                <w:b/>
                <w:lang w:val="en-IN" w:eastAsia="en-IN"/>
              </w:rPr>
            </w:pPr>
          </w:p>
        </w:tc>
        <w:tc>
          <w:tcPr>
            <w:tcW w:w="716" w:type="pct"/>
            <w:shd w:val="clear" w:color="000000" w:fill="FFFFFF"/>
            <w:noWrap/>
            <w:vAlign w:val="center"/>
            <w:hideMark/>
          </w:tcPr>
          <w:p w:rsidR="004C74C2" w:rsidRPr="00F82CEF" w:rsidRDefault="003A6B3B" w:rsidP="0015232B">
            <w:pPr>
              <w:spacing w:before="0"/>
              <w:jc w:val="right"/>
              <w:rPr>
                <w:b/>
                <w:lang w:val="en-IN" w:eastAsia="en-IN"/>
              </w:rPr>
            </w:pPr>
            <w:r w:rsidRPr="00F82CEF">
              <w:rPr>
                <w:b/>
                <w:sz w:val="22"/>
                <w:szCs w:val="22"/>
              </w:rPr>
              <w:t>26.30</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regards the Commission’s query regarding source-wise of funding of capitalization, the Petitioner submitted that the Commission in the True up Order dated 21</w:t>
      </w:r>
      <w:r w:rsidRPr="00B53423">
        <w:rPr>
          <w:vertAlign w:val="superscript"/>
        </w:rPr>
        <w:t>st</w:t>
      </w:r>
      <w:r w:rsidRPr="00B53423">
        <w:t xml:space="preserve"> May, 2013 for FY 2000-01 to 2007-08 and in the suo-motu Tariff Order dated 31</w:t>
      </w:r>
      <w:r w:rsidRPr="00B53423">
        <w:rPr>
          <w:vertAlign w:val="superscript"/>
        </w:rPr>
        <w:t>st</w:t>
      </w:r>
      <w:r w:rsidRPr="00B53423">
        <w:t xml:space="preserve"> May, 2013 for FY 2013-14 had considered a normative tariff approach wherein it had considered a normative gearing of 70:30 wherein 70% of the capital expenditure undertaken in any year was considered to be financed through loan and balance 30% has been considered to be financed through equity contributions. The Petitioner further submitted that in its aforesaid Orders the portion of capital expenditure financed through consumer contributions, capital subsidies and grants was separated by the Commission as the depreciation and interest thereon would not be charged to the consumers.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The Petitioner added that since it is agreeable to this normative approach approved by the Commission hence no deviation in this approach has been sought by it.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It was further observed that the Petitioner had not reduced the depreciation charged on assets created out of consumer contributions, capital grants and subsidies. In this regards the Commission vide its deficiency note  sought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2011-12 were filed by the it. The Petitioner further submitted that subsequent to the principle being established by the Commission, it is agreeable to this methodology and has submitted the revised Table depicting the allowable depreciation as shown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ind w:left="720"/>
        <w:jc w:val="center"/>
      </w:pPr>
      <w:bookmarkStart w:id="547" w:name="_Toc399626396"/>
      <w:r w:rsidRPr="00B53423">
        <w:rPr>
          <w:rFonts w:asciiTheme="minorHAnsi" w:hAnsiTheme="minorHAnsi" w:cstheme="minorHAnsi"/>
          <w:b/>
          <w:caps/>
        </w:rPr>
        <w:t xml:space="preserve">Table </w:t>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STYLEREF 1 \s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7</w:t>
      </w:r>
      <w:r w:rsidR="005D68E7" w:rsidRPr="00B53423">
        <w:rPr>
          <w:rFonts w:asciiTheme="minorHAnsi" w:hAnsiTheme="minorHAnsi" w:cstheme="minorHAnsi"/>
          <w:b/>
          <w:caps/>
        </w:rPr>
        <w:fldChar w:fldCharType="end"/>
      </w:r>
      <w:r w:rsidRPr="00B53423">
        <w:rPr>
          <w:rFonts w:asciiTheme="minorHAnsi" w:hAnsiTheme="minorHAnsi" w:cstheme="minorHAnsi"/>
          <w:b/>
          <w:caps/>
        </w:rPr>
        <w:noBreakHyphen/>
      </w:r>
      <w:r w:rsidR="005D68E7" w:rsidRPr="00B53423">
        <w:rPr>
          <w:rFonts w:asciiTheme="minorHAnsi" w:hAnsiTheme="minorHAnsi" w:cstheme="minorHAnsi"/>
          <w:b/>
          <w:caps/>
        </w:rPr>
        <w:fldChar w:fldCharType="begin"/>
      </w:r>
      <w:r w:rsidRPr="00B53423">
        <w:rPr>
          <w:rFonts w:asciiTheme="minorHAnsi" w:hAnsiTheme="minorHAnsi" w:cstheme="minorHAnsi"/>
          <w:b/>
          <w:caps/>
        </w:rPr>
        <w:instrText xml:space="preserve"> SEQ Table \* ARABIC \s 1 </w:instrText>
      </w:r>
      <w:r w:rsidR="005D68E7" w:rsidRPr="00B53423">
        <w:rPr>
          <w:rFonts w:asciiTheme="minorHAnsi" w:hAnsiTheme="minorHAnsi" w:cstheme="minorHAnsi"/>
          <w:b/>
          <w:caps/>
        </w:rPr>
        <w:fldChar w:fldCharType="separate"/>
      </w:r>
      <w:r w:rsidR="00847C1B">
        <w:rPr>
          <w:rFonts w:asciiTheme="minorHAnsi" w:hAnsiTheme="minorHAnsi" w:cstheme="minorHAnsi"/>
          <w:b/>
          <w:caps/>
          <w:noProof/>
        </w:rPr>
        <w:t>15</w:t>
      </w:r>
      <w:r w:rsidR="005D68E7" w:rsidRPr="00B53423">
        <w:rPr>
          <w:rFonts w:asciiTheme="minorHAnsi" w:hAnsiTheme="minorHAnsi" w:cstheme="minorHAnsi"/>
          <w:b/>
          <w:caps/>
        </w:rPr>
        <w:fldChar w:fldCharType="end"/>
      </w:r>
      <w:r w:rsidRPr="00B53423">
        <w:rPr>
          <w:rFonts w:asciiTheme="minorHAnsi" w:hAnsiTheme="minorHAnsi" w:cstheme="minorHAnsi"/>
          <w:b/>
          <w:caps/>
        </w:rPr>
        <w:t xml:space="preserve">: Revised allowable Depreciation submitted by the Petitioner </w:t>
      </w:r>
      <w:r w:rsidRPr="00B53423">
        <w:rPr>
          <w:rFonts w:asciiTheme="minorHAnsi" w:hAnsiTheme="minorHAnsi" w:cstheme="minorHAnsi"/>
          <w:b/>
        </w:rPr>
        <w:t>(Rs. Crore)</w:t>
      </w:r>
      <w:bookmarkEnd w:id="547"/>
    </w:p>
    <w:tbl>
      <w:tblPr>
        <w:tblW w:w="7052" w:type="dxa"/>
        <w:jc w:val="center"/>
        <w:tblInd w:w="-24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703"/>
        <w:gridCol w:w="1349"/>
      </w:tblGrid>
      <w:tr w:rsidR="004C74C2" w:rsidRPr="00B53423" w:rsidTr="009268E4">
        <w:trPr>
          <w:trHeight w:val="300"/>
          <w:jc w:val="center"/>
        </w:trPr>
        <w:tc>
          <w:tcPr>
            <w:tcW w:w="5703" w:type="dxa"/>
            <w:shd w:val="clear" w:color="auto" w:fill="DBE5F1" w:themeFill="accent1" w:themeFillTint="33"/>
            <w:noWrap/>
            <w:vAlign w:val="center"/>
            <w:hideMark/>
          </w:tcPr>
          <w:p w:rsidR="004C74C2" w:rsidRPr="00B53423" w:rsidRDefault="004C74C2" w:rsidP="0015232B">
            <w:pPr>
              <w:spacing w:before="0" w:line="240" w:lineRule="auto"/>
              <w:jc w:val="center"/>
              <w:rPr>
                <w:b/>
                <w:bCs/>
              </w:rPr>
            </w:pPr>
            <w:r w:rsidRPr="00B53423">
              <w:rPr>
                <w:b/>
                <w:bCs/>
              </w:rPr>
              <w:t>Particulars</w:t>
            </w:r>
          </w:p>
        </w:tc>
        <w:tc>
          <w:tcPr>
            <w:tcW w:w="1349" w:type="dxa"/>
            <w:shd w:val="clear" w:color="auto" w:fill="DBE5F1" w:themeFill="accent1" w:themeFillTint="33"/>
            <w:noWrap/>
            <w:vAlign w:val="center"/>
            <w:hideMark/>
          </w:tcPr>
          <w:p w:rsidR="004C74C2" w:rsidRPr="00B53423" w:rsidRDefault="004C74C2" w:rsidP="0015232B">
            <w:pPr>
              <w:spacing w:before="0" w:line="240" w:lineRule="auto"/>
              <w:jc w:val="center"/>
              <w:rPr>
                <w:b/>
                <w:bCs/>
              </w:rPr>
            </w:pPr>
            <w:r w:rsidRPr="00B53423">
              <w:rPr>
                <w:b/>
                <w:bCs/>
              </w:rPr>
              <w:t>FY 2011-12</w:t>
            </w:r>
          </w:p>
        </w:tc>
      </w:tr>
      <w:tr w:rsidR="004C74C2" w:rsidRPr="00B53423" w:rsidTr="009268E4">
        <w:trPr>
          <w:trHeight w:val="300"/>
          <w:jc w:val="center"/>
        </w:trPr>
        <w:tc>
          <w:tcPr>
            <w:tcW w:w="5703" w:type="dxa"/>
            <w:shd w:val="clear" w:color="auto" w:fill="auto"/>
            <w:noWrap/>
            <w:vAlign w:val="center"/>
            <w:hideMark/>
          </w:tcPr>
          <w:p w:rsidR="004C74C2" w:rsidRPr="00B53423" w:rsidRDefault="004C74C2" w:rsidP="0015232B">
            <w:pPr>
              <w:spacing w:before="0" w:line="240" w:lineRule="auto"/>
              <w:rPr>
                <w:color w:val="000000"/>
              </w:rPr>
            </w:pPr>
            <w:r w:rsidRPr="00B53423">
              <w:rPr>
                <w:color w:val="000000"/>
              </w:rPr>
              <w:t>Gross Allowable Depreciation</w:t>
            </w:r>
          </w:p>
        </w:tc>
        <w:tc>
          <w:tcPr>
            <w:tcW w:w="1349" w:type="dxa"/>
            <w:shd w:val="clear" w:color="auto" w:fill="auto"/>
            <w:noWrap/>
            <w:hideMark/>
          </w:tcPr>
          <w:p w:rsidR="004C74C2" w:rsidRPr="00B53423" w:rsidRDefault="004C74C2" w:rsidP="0015232B">
            <w:pPr>
              <w:spacing w:before="0" w:line="240" w:lineRule="auto"/>
              <w:ind w:right="192"/>
              <w:jc w:val="right"/>
              <w:rPr>
                <w:color w:val="000000"/>
              </w:rPr>
            </w:pPr>
            <w:r w:rsidRPr="00B53423">
              <w:rPr>
                <w:rFonts w:cs="Calibri"/>
                <w:color w:val="000000"/>
              </w:rPr>
              <w:t>26.30</w:t>
            </w:r>
          </w:p>
        </w:tc>
      </w:tr>
      <w:tr w:rsidR="004C74C2" w:rsidRPr="00B53423" w:rsidTr="009268E4">
        <w:trPr>
          <w:trHeight w:val="300"/>
          <w:jc w:val="center"/>
        </w:trPr>
        <w:tc>
          <w:tcPr>
            <w:tcW w:w="5703" w:type="dxa"/>
            <w:shd w:val="clear" w:color="auto" w:fill="auto"/>
            <w:noWrap/>
            <w:vAlign w:val="center"/>
            <w:hideMark/>
          </w:tcPr>
          <w:p w:rsidR="004C74C2" w:rsidRPr="00B53423" w:rsidRDefault="004C74C2" w:rsidP="0015232B">
            <w:pPr>
              <w:spacing w:before="0" w:line="240" w:lineRule="auto"/>
              <w:rPr>
                <w:color w:val="000000"/>
              </w:rPr>
            </w:pPr>
            <w:r w:rsidRPr="00B53423">
              <w:rPr>
                <w:color w:val="000000"/>
              </w:rPr>
              <w:t>Less: Depreciation on account of Consumer Contribution, Subsidies and Grants</w:t>
            </w:r>
          </w:p>
        </w:tc>
        <w:tc>
          <w:tcPr>
            <w:tcW w:w="1349" w:type="dxa"/>
            <w:shd w:val="clear" w:color="auto" w:fill="auto"/>
            <w:noWrap/>
            <w:hideMark/>
          </w:tcPr>
          <w:p w:rsidR="004C74C2" w:rsidRPr="00B53423" w:rsidRDefault="004C74C2" w:rsidP="0015232B">
            <w:pPr>
              <w:spacing w:before="0" w:line="240" w:lineRule="auto"/>
              <w:ind w:right="192"/>
              <w:jc w:val="right"/>
              <w:rPr>
                <w:color w:val="000000"/>
              </w:rPr>
            </w:pPr>
            <w:r w:rsidRPr="00B53423">
              <w:rPr>
                <w:rFonts w:cs="Calibri"/>
                <w:color w:val="000000"/>
              </w:rPr>
              <w:t>9.66</w:t>
            </w:r>
          </w:p>
        </w:tc>
      </w:tr>
      <w:tr w:rsidR="004C74C2" w:rsidRPr="00B53423" w:rsidTr="009268E4">
        <w:trPr>
          <w:trHeight w:val="300"/>
          <w:jc w:val="center"/>
        </w:trPr>
        <w:tc>
          <w:tcPr>
            <w:tcW w:w="5703" w:type="dxa"/>
            <w:shd w:val="clear" w:color="auto" w:fill="auto"/>
            <w:noWrap/>
            <w:vAlign w:val="center"/>
            <w:hideMark/>
          </w:tcPr>
          <w:p w:rsidR="004C74C2" w:rsidRPr="00B53423" w:rsidRDefault="004C74C2" w:rsidP="0015232B">
            <w:pPr>
              <w:spacing w:before="0" w:line="240" w:lineRule="auto"/>
              <w:rPr>
                <w:color w:val="000000"/>
              </w:rPr>
            </w:pPr>
            <w:r w:rsidRPr="00B53423">
              <w:rPr>
                <w:color w:val="000000"/>
              </w:rPr>
              <w:t>Net Allowable Depreciation</w:t>
            </w:r>
          </w:p>
        </w:tc>
        <w:tc>
          <w:tcPr>
            <w:tcW w:w="1349" w:type="dxa"/>
            <w:shd w:val="clear" w:color="auto" w:fill="auto"/>
            <w:noWrap/>
            <w:hideMark/>
          </w:tcPr>
          <w:p w:rsidR="004C74C2" w:rsidRPr="00B53423" w:rsidRDefault="004C74C2" w:rsidP="0015232B">
            <w:pPr>
              <w:spacing w:before="0" w:line="240" w:lineRule="auto"/>
              <w:ind w:right="192"/>
              <w:jc w:val="right"/>
            </w:pPr>
            <w:r w:rsidRPr="00B53423">
              <w:rPr>
                <w:rFonts w:cs="Calibri"/>
                <w:color w:val="000000"/>
              </w:rPr>
              <w:t>16.64</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asked the Petitioner to confirm that the cumulative depreciation in FY 2011-12 is less than 90% of GFA for all assets, since assets cannot be depreciated beyond 90% of GFA in accordance with the Distribution Tariff Regulations, 2006 which the Petitioner confirmed in the reply to deficiency note.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detailed in para</w:t>
      </w:r>
      <w:r w:rsidR="00DB2D36" w:rsidRPr="00B53423">
        <w:t xml:space="preserve"> </w:t>
      </w:r>
      <w:fldSimple w:instr=" REF _Ref396854043 \r \h  \* MERGEFORMAT ">
        <w:r w:rsidR="00847C1B">
          <w:t>4.6.10</w:t>
        </w:r>
      </w:fldSimple>
      <w:r w:rsidRPr="00B53423">
        <w:t xml:space="preserve"> the Commission has considered the same philosophy as adopted by the Petitioner. After scrutinising the Audited Accounts for FY 2011-12 as submitted by the Petitioner, the net entitlement towards depreciation expenses claimed by the Petitioner and that approved by the Commission for Truing-up of FY 2011-12 is shown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ind w:left="450"/>
        <w:jc w:val="center"/>
        <w:rPr>
          <w:rFonts w:asciiTheme="minorHAnsi" w:hAnsiTheme="minorHAnsi" w:cstheme="minorHAnsi"/>
          <w:b/>
        </w:rPr>
      </w:pPr>
      <w:bookmarkStart w:id="548" w:name="_Toc399626397"/>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16</w:t>
      </w:r>
      <w:r w:rsidR="005D68E7" w:rsidRPr="00B53423">
        <w:rPr>
          <w:rFonts w:asciiTheme="minorHAnsi" w:hAnsiTheme="minorHAnsi" w:cstheme="minorHAnsi"/>
          <w:b/>
        </w:rPr>
        <w:fldChar w:fldCharType="end"/>
      </w:r>
      <w:r w:rsidRPr="00B53423">
        <w:rPr>
          <w:rFonts w:asciiTheme="minorHAnsi" w:hAnsiTheme="minorHAnsi" w:cstheme="minorHAnsi"/>
          <w:b/>
        </w:rPr>
        <w:t>: DEPRECIATION EXPENSES FOR FY 2011-12 (Rs. Crore)</w:t>
      </w:r>
      <w:bookmarkEnd w:id="548"/>
    </w:p>
    <w:tbl>
      <w:tblPr>
        <w:tblW w:w="8782" w:type="dxa"/>
        <w:tblInd w:w="103" w:type="dxa"/>
        <w:tblLook w:val="04A0"/>
      </w:tblPr>
      <w:tblGrid>
        <w:gridCol w:w="3498"/>
        <w:gridCol w:w="1177"/>
        <w:gridCol w:w="1719"/>
        <w:gridCol w:w="1177"/>
        <w:gridCol w:w="1211"/>
      </w:tblGrid>
      <w:tr w:rsidR="004C74C2" w:rsidRPr="00B53423" w:rsidTr="009268E4">
        <w:trPr>
          <w:trHeight w:val="900"/>
          <w:tblHeader/>
        </w:trPr>
        <w:tc>
          <w:tcPr>
            <w:tcW w:w="3513" w:type="dxa"/>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181"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726"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81"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181"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513" w:type="dxa"/>
            <w:tcBorders>
              <w:top w:val="nil"/>
              <w:left w:val="dotted" w:sz="4" w:space="0" w:color="auto"/>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Gross Allowable Depreciation</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25.00</w:t>
            </w:r>
          </w:p>
        </w:tc>
        <w:tc>
          <w:tcPr>
            <w:tcW w:w="1726"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547"/>
              <w:jc w:val="right"/>
              <w:rPr>
                <w:rFonts w:cs="Calibri"/>
                <w:color w:val="000000"/>
              </w:rPr>
            </w:pPr>
            <w:r w:rsidRPr="00B53423">
              <w:rPr>
                <w:rFonts w:cs="Calibri"/>
                <w:color w:val="000000"/>
              </w:rPr>
              <w:t>16.12</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08"/>
              <w:jc w:val="right"/>
              <w:rPr>
                <w:rFonts w:cs="Calibri"/>
                <w:color w:val="000000"/>
              </w:rPr>
            </w:pPr>
            <w:r w:rsidRPr="00B53423">
              <w:rPr>
                <w:rFonts w:cs="Calibri"/>
                <w:color w:val="000000"/>
              </w:rPr>
              <w:t>26.30</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19"/>
              <w:jc w:val="right"/>
              <w:rPr>
                <w:rFonts w:cs="Calibri"/>
                <w:color w:val="000000"/>
              </w:rPr>
            </w:pPr>
            <w:r w:rsidRPr="00B53423">
              <w:rPr>
                <w:rFonts w:cs="Calibri"/>
                <w:color w:val="000000"/>
              </w:rPr>
              <w:t>26.30</w:t>
            </w:r>
          </w:p>
        </w:tc>
      </w:tr>
      <w:tr w:rsidR="004C74C2" w:rsidRPr="00B53423" w:rsidTr="009268E4">
        <w:trPr>
          <w:trHeight w:val="1200"/>
        </w:trPr>
        <w:tc>
          <w:tcPr>
            <w:tcW w:w="3513" w:type="dxa"/>
            <w:tcBorders>
              <w:top w:val="nil"/>
              <w:left w:val="dotted" w:sz="4" w:space="0" w:color="auto"/>
              <w:bottom w:val="dotted" w:sz="4" w:space="0" w:color="auto"/>
              <w:right w:val="dotted" w:sz="4" w:space="0" w:color="auto"/>
            </w:tcBorders>
            <w:shd w:val="clear" w:color="auto" w:fill="auto"/>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Equivalent amount of depreciation on assets acquired out of the consumer contribution and GoUP Subsidy</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4.00</w:t>
            </w:r>
          </w:p>
        </w:tc>
        <w:tc>
          <w:tcPr>
            <w:tcW w:w="1726"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547"/>
              <w:jc w:val="right"/>
              <w:rPr>
                <w:rFonts w:cs="Calibri"/>
                <w:color w:val="000000"/>
              </w:rPr>
            </w:pPr>
            <w:r w:rsidRPr="00B53423">
              <w:rPr>
                <w:rFonts w:cs="Calibri"/>
                <w:color w:val="000000"/>
              </w:rPr>
              <w:t>0.00</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08"/>
              <w:jc w:val="right"/>
              <w:rPr>
                <w:rFonts w:cs="Calibri"/>
                <w:color w:val="000000"/>
              </w:rPr>
            </w:pPr>
            <w:r w:rsidRPr="00B53423">
              <w:rPr>
                <w:rFonts w:cs="Calibri"/>
                <w:color w:val="000000"/>
              </w:rPr>
              <w:t>9.66</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19"/>
              <w:jc w:val="right"/>
              <w:rPr>
                <w:rFonts w:cs="Calibri"/>
                <w:color w:val="000000"/>
              </w:rPr>
            </w:pPr>
            <w:r w:rsidRPr="00B53423">
              <w:rPr>
                <w:rFonts w:cs="Calibri"/>
                <w:color w:val="000000"/>
              </w:rPr>
              <w:t>9.66</w:t>
            </w:r>
          </w:p>
        </w:tc>
      </w:tr>
      <w:tr w:rsidR="004C74C2" w:rsidRPr="00B53423" w:rsidTr="009268E4">
        <w:trPr>
          <w:trHeight w:val="300"/>
        </w:trPr>
        <w:tc>
          <w:tcPr>
            <w:tcW w:w="3513" w:type="dxa"/>
            <w:tcBorders>
              <w:top w:val="nil"/>
              <w:left w:val="dotted" w:sz="4" w:space="0" w:color="auto"/>
              <w:bottom w:val="dotted" w:sz="4" w:space="0" w:color="auto"/>
              <w:right w:val="dotted" w:sz="4" w:space="0" w:color="auto"/>
            </w:tcBorders>
            <w:shd w:val="clear" w:color="auto" w:fill="auto"/>
            <w:noWrap/>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Allowable Depreciation</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45"/>
              <w:jc w:val="right"/>
              <w:rPr>
                <w:rFonts w:cs="Calibri"/>
                <w:color w:val="000000"/>
              </w:rPr>
            </w:pPr>
            <w:r w:rsidRPr="00B53423">
              <w:rPr>
                <w:rFonts w:cs="Calibri"/>
                <w:color w:val="000000"/>
              </w:rPr>
              <w:t>21.00</w:t>
            </w:r>
          </w:p>
        </w:tc>
        <w:tc>
          <w:tcPr>
            <w:tcW w:w="1726"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547"/>
              <w:jc w:val="right"/>
              <w:rPr>
                <w:rFonts w:cs="Calibri"/>
                <w:color w:val="000000"/>
              </w:rPr>
            </w:pPr>
            <w:r w:rsidRPr="00B53423">
              <w:rPr>
                <w:rFonts w:cs="Calibri"/>
                <w:color w:val="000000"/>
              </w:rPr>
              <w:t>16.12</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08"/>
              <w:jc w:val="right"/>
              <w:rPr>
                <w:rFonts w:cs="Calibri"/>
                <w:color w:val="000000"/>
              </w:rPr>
            </w:pPr>
            <w:r w:rsidRPr="00B53423">
              <w:rPr>
                <w:rFonts w:cs="Calibri"/>
                <w:color w:val="000000"/>
              </w:rPr>
              <w:t>16.64</w:t>
            </w:r>
          </w:p>
        </w:tc>
        <w:tc>
          <w:tcPr>
            <w:tcW w:w="1181" w:type="dxa"/>
            <w:tcBorders>
              <w:top w:val="nil"/>
              <w:left w:val="nil"/>
              <w:bottom w:val="dotted" w:sz="4" w:space="0" w:color="auto"/>
              <w:right w:val="dotted" w:sz="4" w:space="0" w:color="auto"/>
            </w:tcBorders>
            <w:shd w:val="clear" w:color="auto" w:fill="auto"/>
            <w:noWrap/>
            <w:hideMark/>
          </w:tcPr>
          <w:p w:rsidR="004C74C2" w:rsidRPr="00B53423" w:rsidRDefault="004C74C2" w:rsidP="0015232B">
            <w:pPr>
              <w:spacing w:before="0" w:line="240" w:lineRule="auto"/>
              <w:ind w:right="119"/>
              <w:jc w:val="right"/>
              <w:rPr>
                <w:rFonts w:cs="Calibri"/>
                <w:color w:val="000000"/>
              </w:rPr>
            </w:pPr>
            <w:r w:rsidRPr="00B53423">
              <w:rPr>
                <w:rFonts w:cs="Calibri"/>
                <w:color w:val="000000"/>
              </w:rPr>
              <w:t>16.</w:t>
            </w:r>
            <w:r w:rsidR="000C4812" w:rsidRPr="00B53423">
              <w:rPr>
                <w:rFonts w:cs="Calibri"/>
                <w:color w:val="000000"/>
              </w:rPr>
              <w:t>64</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549" w:name="_Toc399626209"/>
      <w:r w:rsidRPr="00B53423">
        <w:t>PRIOR PERIOD EXPENSES</w:t>
      </w:r>
      <w:bookmarkEnd w:id="549"/>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there are certain expenses and incomes which are omitted to be accounted for in one or more financial years.  The Petitioner further submitted that its financial statements are prepared in compliance with Generally Accepted Accounting Principles (GAAP) and Accounting Standards issued by Accounting Standards Board of Institute of Chartered Accountants of India. The Petitioner added that the Accounting Standards (AS 5) (Revised) on ‘Net Profit or Loss for the Period, Prior Period Items and Changes in Accounting Policies’ provides that when such omissions or errors are detected they should be accounted for in the relevant year in which they are detected as stated below:</w:t>
      </w:r>
    </w:p>
    <w:p w:rsidR="004C74C2" w:rsidRPr="00B53423" w:rsidRDefault="004C74C2" w:rsidP="0015232B">
      <w:pPr>
        <w:pStyle w:val="Heading3"/>
        <w:keepNext w:val="0"/>
        <w:numPr>
          <w:ilvl w:val="0"/>
          <w:numId w:val="0"/>
        </w:numPr>
        <w:ind w:left="720"/>
        <w:rPr>
          <w:i/>
        </w:rPr>
      </w:pPr>
    </w:p>
    <w:p w:rsidR="004C74C2" w:rsidRPr="00B53423" w:rsidRDefault="004C74C2" w:rsidP="0015232B">
      <w:pPr>
        <w:pStyle w:val="Heading3"/>
        <w:keepNext w:val="0"/>
        <w:numPr>
          <w:ilvl w:val="0"/>
          <w:numId w:val="0"/>
        </w:numPr>
        <w:ind w:left="1440"/>
        <w:rPr>
          <w:i/>
        </w:rPr>
      </w:pPr>
      <w:r w:rsidRPr="00B53423">
        <w:rPr>
          <w:i/>
        </w:rPr>
        <w:t>“Prior period items are income or expenses which arise in the current period as a result of errors or omissions in the preparation of the financial statements of one or more prior periods”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accordingly it has accounted for such transactions in the True-up computations strictly as per its Audited Accounts.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audited financial statements for FY 2011-12, there has been recognition of Rs. 1.21 Crore of prior period items. The Petitioner further submitted the detailed break-up of the prior period items for FY 2011-12 as per Audited Accounts as shown in the Table below:</w:t>
      </w:r>
    </w:p>
    <w:p w:rsidR="004C74C2" w:rsidRPr="00B53423" w:rsidRDefault="004C74C2" w:rsidP="0015232B">
      <w:pPr>
        <w:spacing w:before="240"/>
        <w:ind w:left="450"/>
        <w:jc w:val="center"/>
        <w:rPr>
          <w:rFonts w:asciiTheme="minorHAnsi" w:hAnsiTheme="minorHAnsi" w:cstheme="minorHAnsi"/>
          <w:b/>
        </w:rPr>
      </w:pPr>
      <w:bookmarkStart w:id="550" w:name="_Toc399626398"/>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17</w:t>
      </w:r>
      <w:r w:rsidR="005D68E7" w:rsidRPr="00B53423">
        <w:rPr>
          <w:rFonts w:asciiTheme="minorHAnsi" w:hAnsiTheme="minorHAnsi" w:cstheme="minorHAnsi"/>
          <w:b/>
        </w:rPr>
        <w:fldChar w:fldCharType="end"/>
      </w:r>
      <w:r w:rsidRPr="00B53423">
        <w:rPr>
          <w:rFonts w:asciiTheme="minorHAnsi" w:hAnsiTheme="minorHAnsi" w:cstheme="minorHAnsi"/>
          <w:b/>
        </w:rPr>
        <w:t>: BREAK UP OF PRIOR PERIOD EXPENSES</w:t>
      </w:r>
      <w:r w:rsidR="00856959" w:rsidRPr="00B53423">
        <w:rPr>
          <w:rFonts w:asciiTheme="minorHAnsi" w:hAnsiTheme="minorHAnsi" w:cstheme="minorHAnsi"/>
          <w:b/>
        </w:rPr>
        <w:t xml:space="preserve"> / INCOMES</w:t>
      </w:r>
      <w:r w:rsidRPr="00B53423">
        <w:rPr>
          <w:rFonts w:asciiTheme="minorHAnsi" w:hAnsiTheme="minorHAnsi" w:cstheme="minorHAnsi"/>
          <w:b/>
        </w:rPr>
        <w:t xml:space="preserve"> (Rs. Crore)</w:t>
      </w:r>
      <w:bookmarkEnd w:id="550"/>
    </w:p>
    <w:tbl>
      <w:tblPr>
        <w:tblW w:w="7580" w:type="dxa"/>
        <w:jc w:val="center"/>
        <w:tblInd w:w="-22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40"/>
        <w:gridCol w:w="2340"/>
      </w:tblGrid>
      <w:tr w:rsidR="004C74C2" w:rsidRPr="00B53423" w:rsidTr="009268E4">
        <w:trPr>
          <w:trHeight w:val="300"/>
          <w:tblHeader/>
          <w:jc w:val="center"/>
        </w:trPr>
        <w:tc>
          <w:tcPr>
            <w:tcW w:w="5240" w:type="dxa"/>
            <w:shd w:val="clear" w:color="auto" w:fill="DBE5F1" w:themeFill="accent1" w:themeFillTint="33"/>
            <w:vAlign w:val="center"/>
            <w:hideMark/>
          </w:tcPr>
          <w:p w:rsidR="004C74C2" w:rsidRPr="00B53423" w:rsidRDefault="004C74C2" w:rsidP="0015232B">
            <w:pPr>
              <w:spacing w:before="0"/>
              <w:jc w:val="center"/>
              <w:rPr>
                <w:rFonts w:cs="Calibri"/>
                <w:b/>
                <w:color w:val="000000"/>
                <w:lang w:val="en-IN" w:eastAsia="en-IN"/>
              </w:rPr>
            </w:pPr>
            <w:r w:rsidRPr="00B53423">
              <w:rPr>
                <w:rFonts w:cs="Calibri"/>
                <w:b/>
                <w:color w:val="000000"/>
                <w:lang w:val="en-US" w:eastAsia="en-IN"/>
              </w:rPr>
              <w:t>Particulars</w:t>
            </w:r>
          </w:p>
        </w:tc>
        <w:tc>
          <w:tcPr>
            <w:tcW w:w="2340" w:type="dxa"/>
            <w:shd w:val="clear" w:color="auto" w:fill="DBE5F1" w:themeFill="accent1" w:themeFillTint="33"/>
            <w:noWrap/>
            <w:vAlign w:val="center"/>
            <w:hideMark/>
          </w:tcPr>
          <w:p w:rsidR="004C74C2" w:rsidRPr="00B53423" w:rsidRDefault="004C74C2" w:rsidP="0015232B">
            <w:pPr>
              <w:spacing w:before="0"/>
              <w:jc w:val="center"/>
              <w:rPr>
                <w:rFonts w:cs="Calibri"/>
                <w:b/>
                <w:color w:val="000000"/>
                <w:lang w:val="en-IN" w:eastAsia="en-IN"/>
              </w:rPr>
            </w:pPr>
            <w:r w:rsidRPr="00B53423">
              <w:rPr>
                <w:rFonts w:cs="Calibri"/>
                <w:b/>
                <w:color w:val="000000"/>
                <w:lang w:val="en-IN" w:eastAsia="en-IN"/>
              </w:rPr>
              <w:t>FY 2011-12</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cs="Calibri"/>
                <w:color w:val="000000"/>
                <w:lang w:val="en-IN" w:eastAsia="en-IN"/>
              </w:rPr>
            </w:pPr>
            <w:r w:rsidRPr="00B53423">
              <w:rPr>
                <w:rFonts w:cs="Calibri"/>
                <w:color w:val="000000"/>
                <w:lang w:val="en-US" w:eastAsia="en-IN"/>
              </w:rPr>
              <w:t>Employee Salary Arrears</w:t>
            </w:r>
          </w:p>
        </w:tc>
        <w:tc>
          <w:tcPr>
            <w:tcW w:w="2340" w:type="dxa"/>
            <w:shd w:val="clear" w:color="000000" w:fill="FFFFFF"/>
            <w:noWrap/>
            <w:vAlign w:val="center"/>
            <w:hideMark/>
          </w:tcPr>
          <w:p w:rsidR="004C74C2" w:rsidRPr="00B53423" w:rsidRDefault="004C74C2" w:rsidP="0015232B">
            <w:pPr>
              <w:spacing w:before="0"/>
              <w:ind w:right="816"/>
              <w:jc w:val="right"/>
              <w:rPr>
                <w:rFonts w:cs="Calibri"/>
                <w:color w:val="000000"/>
                <w:lang w:val="en-IN" w:eastAsia="en-IN"/>
              </w:rPr>
            </w:pPr>
            <w:r w:rsidRPr="00B53423">
              <w:rPr>
                <w:rFonts w:cs="Calibri"/>
                <w:color w:val="000000"/>
                <w:lang w:val="en-US" w:eastAsia="en-IN"/>
              </w:rPr>
              <w:t>0.14</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cs="Calibri"/>
                <w:color w:val="000000"/>
                <w:lang w:val="en-IN" w:eastAsia="en-IN"/>
              </w:rPr>
            </w:pPr>
            <w:r w:rsidRPr="00B53423">
              <w:rPr>
                <w:rFonts w:cs="Calibri"/>
                <w:color w:val="000000"/>
                <w:lang w:val="en-IN" w:eastAsia="en-IN"/>
              </w:rPr>
              <w:t>Dearness allowance</w:t>
            </w:r>
          </w:p>
        </w:tc>
        <w:tc>
          <w:tcPr>
            <w:tcW w:w="2340" w:type="dxa"/>
            <w:shd w:val="clear" w:color="000000" w:fill="FFFFFF"/>
            <w:noWrap/>
            <w:vAlign w:val="center"/>
            <w:hideMark/>
          </w:tcPr>
          <w:p w:rsidR="004C74C2" w:rsidRPr="00B53423" w:rsidRDefault="004C74C2" w:rsidP="0015232B">
            <w:pPr>
              <w:spacing w:before="0"/>
              <w:ind w:right="816"/>
              <w:jc w:val="right"/>
              <w:rPr>
                <w:rFonts w:cs="Calibri"/>
                <w:color w:val="000000"/>
                <w:lang w:val="en-IN" w:eastAsia="en-IN"/>
              </w:rPr>
            </w:pPr>
            <w:r w:rsidRPr="00B53423">
              <w:rPr>
                <w:rFonts w:cs="Calibri"/>
                <w:color w:val="000000"/>
                <w:lang w:val="en-IN" w:eastAsia="en-IN"/>
              </w:rPr>
              <w:t>0.72</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cs="Calibri"/>
                <w:color w:val="000000"/>
                <w:lang w:val="en-IN" w:eastAsia="en-IN"/>
              </w:rPr>
            </w:pPr>
            <w:r w:rsidRPr="00B53423">
              <w:rPr>
                <w:rFonts w:cs="Calibri"/>
                <w:color w:val="000000"/>
                <w:lang w:val="en-IN" w:eastAsia="en-IN"/>
              </w:rPr>
              <w:t>Prior period depreciation</w:t>
            </w:r>
          </w:p>
        </w:tc>
        <w:tc>
          <w:tcPr>
            <w:tcW w:w="2340" w:type="dxa"/>
            <w:shd w:val="clear" w:color="000000" w:fill="FFFFFF"/>
            <w:noWrap/>
            <w:vAlign w:val="center"/>
            <w:hideMark/>
          </w:tcPr>
          <w:p w:rsidR="004C74C2" w:rsidRPr="00B53423" w:rsidRDefault="004C74C2" w:rsidP="0015232B">
            <w:pPr>
              <w:spacing w:before="0"/>
              <w:ind w:right="816"/>
              <w:jc w:val="right"/>
              <w:rPr>
                <w:rFonts w:cs="Calibri"/>
                <w:color w:val="000000"/>
                <w:lang w:val="en-IN" w:eastAsia="en-IN"/>
              </w:rPr>
            </w:pPr>
            <w:r w:rsidRPr="00B53423">
              <w:rPr>
                <w:rFonts w:cs="Calibri"/>
                <w:color w:val="000000"/>
                <w:lang w:val="en-IN" w:eastAsia="en-IN"/>
              </w:rPr>
              <w:t>0.03</w:t>
            </w:r>
          </w:p>
        </w:tc>
      </w:tr>
      <w:tr w:rsidR="004C74C2" w:rsidRPr="00B53423" w:rsidTr="009268E4">
        <w:trPr>
          <w:trHeight w:val="300"/>
          <w:jc w:val="center"/>
        </w:trPr>
        <w:tc>
          <w:tcPr>
            <w:tcW w:w="5240" w:type="dxa"/>
            <w:shd w:val="clear" w:color="auto" w:fill="auto"/>
            <w:noWrap/>
            <w:vAlign w:val="bottom"/>
            <w:hideMark/>
          </w:tcPr>
          <w:p w:rsidR="004C74C2" w:rsidRPr="00B53423" w:rsidRDefault="004C74C2" w:rsidP="0015232B">
            <w:pPr>
              <w:spacing w:before="0"/>
              <w:jc w:val="left"/>
              <w:rPr>
                <w:rFonts w:asciiTheme="minorHAnsi" w:hAnsiTheme="minorHAnsi" w:cs="Calibri"/>
                <w:bCs/>
                <w:color w:val="000000"/>
                <w:lang w:val="en-IN" w:eastAsia="en-IN"/>
              </w:rPr>
            </w:pPr>
            <w:r w:rsidRPr="00B53423">
              <w:rPr>
                <w:rFonts w:asciiTheme="minorHAnsi" w:hAnsiTheme="minorHAnsi" w:cs="Calibri"/>
                <w:bCs/>
                <w:color w:val="000000"/>
                <w:lang w:val="en-IN" w:eastAsia="en-IN"/>
              </w:rPr>
              <w:t>Operating expenses</w:t>
            </w:r>
          </w:p>
        </w:tc>
        <w:tc>
          <w:tcPr>
            <w:tcW w:w="2340" w:type="dxa"/>
            <w:shd w:val="clear" w:color="000000" w:fill="FFFFFF"/>
            <w:noWrap/>
            <w:vAlign w:val="center"/>
            <w:hideMark/>
          </w:tcPr>
          <w:p w:rsidR="004C74C2" w:rsidRPr="00B53423" w:rsidRDefault="004C74C2" w:rsidP="0015232B">
            <w:pPr>
              <w:spacing w:before="0"/>
              <w:ind w:right="816"/>
              <w:jc w:val="right"/>
              <w:rPr>
                <w:rFonts w:cs="Calibri"/>
                <w:bCs/>
                <w:color w:val="000000"/>
                <w:lang w:val="en-IN" w:eastAsia="en-IN"/>
              </w:rPr>
            </w:pPr>
            <w:r w:rsidRPr="00B53423">
              <w:rPr>
                <w:rFonts w:cs="Calibri"/>
                <w:bCs/>
                <w:color w:val="000000"/>
                <w:lang w:val="en-IN" w:eastAsia="en-IN"/>
              </w:rPr>
              <w:t>0.32</w:t>
            </w:r>
          </w:p>
        </w:tc>
      </w:tr>
      <w:tr w:rsidR="004C74C2" w:rsidRPr="00B53423" w:rsidTr="009268E4">
        <w:trPr>
          <w:trHeight w:val="300"/>
          <w:jc w:val="center"/>
        </w:trPr>
        <w:tc>
          <w:tcPr>
            <w:tcW w:w="5240" w:type="dxa"/>
            <w:shd w:val="clear" w:color="000000" w:fill="FFFFFF"/>
            <w:noWrap/>
            <w:vAlign w:val="bottom"/>
            <w:hideMark/>
          </w:tcPr>
          <w:p w:rsidR="004C74C2" w:rsidRPr="00B53423" w:rsidRDefault="004C74C2" w:rsidP="0015232B">
            <w:pPr>
              <w:spacing w:before="0"/>
              <w:jc w:val="left"/>
              <w:rPr>
                <w:rFonts w:asciiTheme="minorHAnsi" w:hAnsiTheme="minorHAnsi" w:cs="Calibri"/>
                <w:b/>
                <w:bCs/>
                <w:color w:val="000000"/>
                <w:lang w:val="en-IN" w:eastAsia="en-IN"/>
              </w:rPr>
            </w:pPr>
            <w:r w:rsidRPr="00B53423">
              <w:rPr>
                <w:rFonts w:asciiTheme="minorHAnsi" w:hAnsiTheme="minorHAnsi" w:cs="Calibri"/>
                <w:b/>
                <w:bCs/>
                <w:color w:val="000000"/>
                <w:lang w:val="en-US" w:eastAsia="en-IN"/>
              </w:rPr>
              <w:t>Net Prior Period Expenditure</w:t>
            </w:r>
          </w:p>
        </w:tc>
        <w:tc>
          <w:tcPr>
            <w:tcW w:w="2340" w:type="dxa"/>
            <w:shd w:val="clear" w:color="000000" w:fill="FFFFFF"/>
            <w:noWrap/>
            <w:vAlign w:val="center"/>
            <w:hideMark/>
          </w:tcPr>
          <w:p w:rsidR="004C74C2" w:rsidRPr="00B53423" w:rsidRDefault="004C74C2" w:rsidP="0015232B">
            <w:pPr>
              <w:spacing w:before="0"/>
              <w:ind w:right="816"/>
              <w:jc w:val="right"/>
              <w:rPr>
                <w:rFonts w:cs="Calibri"/>
                <w:b/>
                <w:bCs/>
                <w:color w:val="000000"/>
                <w:lang w:val="en-IN" w:eastAsia="en-IN"/>
              </w:rPr>
            </w:pPr>
            <w:r w:rsidRPr="00B53423">
              <w:rPr>
                <w:rFonts w:cs="Calibri"/>
                <w:b/>
                <w:bCs/>
                <w:color w:val="000000"/>
                <w:lang w:val="en-IN" w:eastAsia="en-IN"/>
              </w:rPr>
              <w:t>1.21</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regards the prior period expenses</w:t>
      </w:r>
      <w:r w:rsidR="003E399E" w:rsidRPr="00B53423">
        <w:t xml:space="preserve"> / incomes</w:t>
      </w:r>
      <w:r w:rsidRPr="00B53423">
        <w:t xml:space="preserve"> the Commission vide its deficiency note has asked the Petitioner to submit the detailed breakup of prior period expenses</w:t>
      </w:r>
      <w:r w:rsidR="003E399E" w:rsidRPr="00B53423">
        <w:t xml:space="preserve"> / incomes</w:t>
      </w:r>
      <w:r w:rsidRPr="00B53423">
        <w:t xml:space="preserve"> along with the details of years to which they pertain and the justification for not booking such amount in the annual account of the respective years. In its reply the Petitioner has submitted the year wise breakup of prior period expenses</w:t>
      </w:r>
      <w:r w:rsidR="003E399E" w:rsidRPr="00B53423">
        <w:t xml:space="preserve"> / incomes</w:t>
      </w:r>
      <w:r w:rsidRPr="00B53423">
        <w:t xml:space="preserve"> however the submission does not provide clarification regarding the heads under which these expenses have been booked.</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As discussed in detail in Para </w:t>
      </w:r>
      <w:fldSimple w:instr=" REF _Ref396854096 \r \h  \* MERGEFORMAT ">
        <w:r w:rsidR="00847C1B">
          <w:t>4.7.6</w:t>
        </w:r>
      </w:fldSimple>
      <w:r w:rsidRPr="00B53423">
        <w:t>, the Commission has not allowed any claims towards prior period expenses. The summary of the prior period expenses approved in the Tariff Order, claimed by the Petitioner and that approved by the Petitioner in this Order for Truing up of FY 2011-12 is shown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ind w:left="450"/>
        <w:jc w:val="center"/>
        <w:rPr>
          <w:rFonts w:asciiTheme="minorHAnsi" w:hAnsiTheme="minorHAnsi" w:cstheme="minorHAnsi"/>
          <w:b/>
        </w:rPr>
      </w:pPr>
      <w:bookmarkStart w:id="551" w:name="_Toc399626399"/>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18</w:t>
      </w:r>
      <w:r w:rsidR="005D68E7" w:rsidRPr="00B53423">
        <w:rPr>
          <w:rFonts w:asciiTheme="minorHAnsi" w:hAnsiTheme="minorHAnsi" w:cstheme="minorHAnsi"/>
          <w:b/>
        </w:rPr>
        <w:fldChar w:fldCharType="end"/>
      </w:r>
      <w:r w:rsidRPr="00B53423">
        <w:rPr>
          <w:rFonts w:asciiTheme="minorHAnsi" w:hAnsiTheme="minorHAnsi" w:cstheme="minorHAnsi"/>
          <w:b/>
        </w:rPr>
        <w:t>: PRIOR PERIOD EXPENSES</w:t>
      </w:r>
      <w:r w:rsidR="00F03A0C" w:rsidRPr="00B53423">
        <w:rPr>
          <w:rFonts w:asciiTheme="minorHAnsi" w:hAnsiTheme="minorHAnsi" w:cstheme="minorHAnsi"/>
          <w:b/>
        </w:rPr>
        <w:t xml:space="preserve"> / INCOMES</w:t>
      </w:r>
      <w:r w:rsidRPr="00B53423">
        <w:rPr>
          <w:rFonts w:asciiTheme="minorHAnsi" w:hAnsiTheme="minorHAnsi" w:cstheme="minorHAnsi"/>
          <w:b/>
        </w:rPr>
        <w:t xml:space="preserve"> FOR FY 2011-12 (Rs. Crore)</w:t>
      </w:r>
      <w:bookmarkEnd w:id="551"/>
    </w:p>
    <w:tbl>
      <w:tblPr>
        <w:tblW w:w="8500" w:type="dxa"/>
        <w:tblInd w:w="103" w:type="dxa"/>
        <w:tblLook w:val="04A0"/>
      </w:tblPr>
      <w:tblGrid>
        <w:gridCol w:w="3620"/>
        <w:gridCol w:w="1220"/>
        <w:gridCol w:w="1220"/>
        <w:gridCol w:w="1220"/>
        <w:gridCol w:w="1220"/>
      </w:tblGrid>
      <w:tr w:rsidR="004C74C2" w:rsidRPr="00B53423" w:rsidTr="009268E4">
        <w:trPr>
          <w:trHeight w:val="900"/>
        </w:trPr>
        <w:tc>
          <w:tcPr>
            <w:tcW w:w="3620" w:type="dxa"/>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62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 xml:space="preserve">Prior Period </w:t>
            </w:r>
            <w:r w:rsidR="00856959" w:rsidRPr="00B53423">
              <w:rPr>
                <w:rFonts w:cs="Calibri"/>
                <w:color w:val="000000"/>
                <w:lang w:val="en-US"/>
              </w:rPr>
              <w:t xml:space="preserve">Expenses </w:t>
            </w:r>
          </w:p>
        </w:tc>
        <w:tc>
          <w:tcPr>
            <w:tcW w:w="122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center"/>
              <w:rPr>
                <w:rFonts w:ascii="Arial" w:hAnsi="Arial" w:cs="Arial"/>
                <w:sz w:val="20"/>
                <w:szCs w:val="20"/>
              </w:rPr>
            </w:pPr>
            <w:r w:rsidRPr="00B53423">
              <w:rPr>
                <w:rFonts w:ascii="Arial" w:hAnsi="Arial" w:cs="Arial"/>
                <w:sz w:val="20"/>
                <w:szCs w:val="20"/>
              </w:rPr>
              <w:t>0.00</w:t>
            </w:r>
          </w:p>
        </w:tc>
        <w:tc>
          <w:tcPr>
            <w:tcW w:w="122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center"/>
              <w:rPr>
                <w:rFonts w:ascii="Arial" w:hAnsi="Arial" w:cs="Arial"/>
                <w:sz w:val="20"/>
                <w:szCs w:val="20"/>
              </w:rPr>
            </w:pPr>
            <w:r w:rsidRPr="00B53423">
              <w:rPr>
                <w:rFonts w:ascii="Arial" w:hAnsi="Arial" w:cs="Arial"/>
                <w:sz w:val="20"/>
                <w:szCs w:val="20"/>
              </w:rPr>
              <w:t>1.21</w:t>
            </w:r>
          </w:p>
        </w:tc>
        <w:tc>
          <w:tcPr>
            <w:tcW w:w="122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center"/>
              <w:rPr>
                <w:rFonts w:ascii="Arial" w:hAnsi="Arial" w:cs="Arial"/>
                <w:sz w:val="20"/>
                <w:szCs w:val="20"/>
              </w:rPr>
            </w:pPr>
            <w:r w:rsidRPr="00B53423">
              <w:rPr>
                <w:rFonts w:ascii="Arial" w:hAnsi="Arial" w:cs="Arial"/>
                <w:sz w:val="20"/>
                <w:szCs w:val="20"/>
              </w:rPr>
              <w:t>1.21</w:t>
            </w:r>
          </w:p>
        </w:tc>
        <w:tc>
          <w:tcPr>
            <w:tcW w:w="122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center"/>
              <w:rPr>
                <w:rFonts w:ascii="Arial" w:hAnsi="Arial" w:cs="Arial"/>
                <w:sz w:val="20"/>
                <w:szCs w:val="20"/>
              </w:rPr>
            </w:pPr>
            <w:r w:rsidRPr="00B53423">
              <w:rPr>
                <w:rFonts w:ascii="Arial" w:hAnsi="Arial" w:cs="Arial"/>
                <w:sz w:val="20"/>
                <w:szCs w:val="20"/>
              </w:rPr>
              <w:t>0.00</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Further, as directed in the Para </w:t>
      </w:r>
      <w:fldSimple w:instr=" REF _Ref396854112 \r \h  \* MERGEFORMAT ">
        <w:r w:rsidR="00847C1B">
          <w:t>4.7.8</w:t>
        </w:r>
      </w:fldSimple>
      <w:r w:rsidRPr="00B53423">
        <w:t xml:space="preserve"> the Petitioner is directed to submit a separate Petition for approval of prior period expenses / incomes for the Commission’s consideration.</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pPr>
      <w:bookmarkStart w:id="552" w:name="_Toc399626210"/>
      <w:r w:rsidRPr="00B53423">
        <w:t>OTHER EXPENSES</w:t>
      </w:r>
      <w:bookmarkEnd w:id="552"/>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there are certain other expenses which cannot be claimed under any specific head of the ARR. The Petitioner further submitted that such minor expenses have been bundled together under the nomenclature of ‘Other Miscellaneous Expenses’ and the impact of such expenses is only Rs. 2.80 Crore in FY 2011-12 towards On Line Billing Charges.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As discussed in detail in Para </w:t>
      </w:r>
      <w:fldSimple w:instr=" REF _Ref396854156 \r \h  \* MERGEFORMAT ">
        <w:r w:rsidR="00847C1B">
          <w:t>4.8.2</w:t>
        </w:r>
      </w:fldSimple>
      <w:r w:rsidRPr="00B53423">
        <w:t xml:space="preserve"> the Commission has not considered such expenses for admissibility in the True-up. The summary of other expenses approved in the Tariff Order, claimed by the Petitioner and approved by the Commission in this Order for Truing up of FY 2011-12 is shown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ind w:left="450"/>
        <w:jc w:val="center"/>
        <w:rPr>
          <w:rFonts w:asciiTheme="minorHAnsi" w:hAnsiTheme="minorHAnsi" w:cstheme="minorHAnsi"/>
          <w:b/>
        </w:rPr>
      </w:pPr>
      <w:bookmarkStart w:id="553" w:name="_Toc399626400"/>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19</w:t>
      </w:r>
      <w:r w:rsidR="005D68E7" w:rsidRPr="00B53423">
        <w:rPr>
          <w:rFonts w:asciiTheme="minorHAnsi" w:hAnsiTheme="minorHAnsi" w:cstheme="minorHAnsi"/>
          <w:b/>
        </w:rPr>
        <w:fldChar w:fldCharType="end"/>
      </w:r>
      <w:r w:rsidRPr="00B53423">
        <w:rPr>
          <w:rFonts w:asciiTheme="minorHAnsi" w:hAnsiTheme="minorHAnsi" w:cstheme="minorHAnsi"/>
          <w:b/>
        </w:rPr>
        <w:t>: OTHER EXPENSES FOR FY 2011-12 (Rs. Crore)</w:t>
      </w:r>
      <w:bookmarkEnd w:id="553"/>
    </w:p>
    <w:tbl>
      <w:tblPr>
        <w:tblW w:w="8140"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25"/>
        <w:gridCol w:w="1055"/>
        <w:gridCol w:w="1220"/>
        <w:gridCol w:w="1220"/>
        <w:gridCol w:w="1220"/>
      </w:tblGrid>
      <w:tr w:rsidR="004C74C2" w:rsidRPr="00B53423" w:rsidTr="00856959">
        <w:trPr>
          <w:trHeight w:val="900"/>
          <w:tblHeader/>
        </w:trPr>
        <w:tc>
          <w:tcPr>
            <w:tcW w:w="3425" w:type="dxa"/>
            <w:shd w:val="clear" w:color="000000" w:fill="DBE5F1"/>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055" w:type="dxa"/>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20" w:type="dxa"/>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20" w:type="dxa"/>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20" w:type="dxa"/>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425" w:type="dxa"/>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Online Billing Charges</w:t>
            </w:r>
          </w:p>
        </w:tc>
        <w:tc>
          <w:tcPr>
            <w:tcW w:w="1055"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p>
        </w:tc>
        <w:tc>
          <w:tcPr>
            <w:tcW w:w="1220"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2.80</w:t>
            </w:r>
          </w:p>
        </w:tc>
        <w:tc>
          <w:tcPr>
            <w:tcW w:w="1220"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2.80</w:t>
            </w:r>
          </w:p>
        </w:tc>
        <w:tc>
          <w:tcPr>
            <w:tcW w:w="1220"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0.00</w:t>
            </w:r>
          </w:p>
        </w:tc>
      </w:tr>
      <w:tr w:rsidR="004C74C2" w:rsidRPr="00B53423" w:rsidTr="009268E4">
        <w:trPr>
          <w:trHeight w:val="300"/>
        </w:trPr>
        <w:tc>
          <w:tcPr>
            <w:tcW w:w="3425" w:type="dxa"/>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w:t>
            </w:r>
          </w:p>
        </w:tc>
        <w:tc>
          <w:tcPr>
            <w:tcW w:w="1055" w:type="dxa"/>
            <w:shd w:val="clear" w:color="auto" w:fill="auto"/>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0.00</w:t>
            </w:r>
          </w:p>
        </w:tc>
        <w:tc>
          <w:tcPr>
            <w:tcW w:w="1220" w:type="dxa"/>
            <w:shd w:val="clear" w:color="auto" w:fill="auto"/>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2.80</w:t>
            </w:r>
          </w:p>
        </w:tc>
        <w:tc>
          <w:tcPr>
            <w:tcW w:w="1220" w:type="dxa"/>
            <w:shd w:val="clear" w:color="auto" w:fill="auto"/>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2.80</w:t>
            </w:r>
          </w:p>
        </w:tc>
        <w:tc>
          <w:tcPr>
            <w:tcW w:w="1220" w:type="dxa"/>
            <w:shd w:val="clear" w:color="auto" w:fill="auto"/>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0.00</w:t>
            </w:r>
          </w:p>
        </w:tc>
      </w:tr>
    </w:tbl>
    <w:p w:rsidR="004C74C2" w:rsidRPr="00B53423" w:rsidRDefault="004C74C2" w:rsidP="0015232B">
      <w:pPr>
        <w:pStyle w:val="Heading2"/>
        <w:keepNext w:val="0"/>
        <w:numPr>
          <w:ilvl w:val="0"/>
          <w:numId w:val="0"/>
        </w:numPr>
        <w:ind w:left="432"/>
      </w:pPr>
    </w:p>
    <w:p w:rsidR="004C74C2" w:rsidRPr="00B53423" w:rsidRDefault="004C74C2" w:rsidP="0015232B">
      <w:pPr>
        <w:pStyle w:val="Heading2"/>
        <w:keepNext w:val="0"/>
        <w:numPr>
          <w:ilvl w:val="0"/>
          <w:numId w:val="0"/>
        </w:numPr>
        <w:ind w:left="450"/>
      </w:pPr>
    </w:p>
    <w:p w:rsidR="004C74C2" w:rsidRPr="00B53423" w:rsidRDefault="004C74C2" w:rsidP="0015232B">
      <w:pPr>
        <w:pStyle w:val="Heading2"/>
        <w:keepNext w:val="0"/>
        <w:ind w:left="720" w:hanging="1080"/>
      </w:pPr>
      <w:bookmarkStart w:id="554" w:name="_Toc399626211"/>
      <w:r w:rsidRPr="00B53423">
        <w:t>PROVISION FOR BAD AND DOUBTFUL DEBT</w:t>
      </w:r>
      <w:bookmarkEnd w:id="554"/>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Commission has not allowed any amounts towards Provision for Bad and Doubtful Debts in the Tariff Order dated 19</w:t>
      </w:r>
      <w:r w:rsidRPr="00B53423">
        <w:rPr>
          <w:vertAlign w:val="superscript"/>
        </w:rPr>
        <w:t>th</w:t>
      </w:r>
      <w:r w:rsidRPr="00B53423">
        <w:t xml:space="preserve"> October, 2012 in Petition No. 751 / 2011 and 798 / 2012 for FY 2011-12 even though the Distribution Tariff Regulations, 2006 provide for allowing 2% provision in respect of revenue receivables.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such expenses are legitimate business expenses and are accepted accounting principle even in sectors like Banking where the provisioning of un-collectable dues is considered as a normal commercial practice.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jc w:val="center"/>
      </w:pPr>
      <w:r w:rsidRPr="00B53423">
        <w:t>The Petitioner submitted that it has computed the entitlement towards provision for bad and doubtful debts as 2% of the closing revenue receivables as per Audited Accounts of the relevant financial year for distribution business.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has claimed Rs. 45.86 Crore towards provision for bad and doubtful debts for FY 2011-12.</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As discussed in detail in Para </w:t>
      </w:r>
      <w:fldSimple w:instr=" REF _Ref396852059 \r \h  \* MERGEFORMAT ">
        <w:r w:rsidR="00847C1B">
          <w:t>4.9.10</w:t>
        </w:r>
      </w:fldSimple>
      <w:r w:rsidRPr="00B53423">
        <w:t xml:space="preserve"> due to the absence of proper policy in place for identifying and writing off receivables, the Commission disallows the claims towards provision for bad and doubtful debts.</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ind w:left="450"/>
        <w:rPr>
          <w:rFonts w:asciiTheme="minorHAnsi" w:hAnsiTheme="minorHAnsi" w:cstheme="minorHAnsi"/>
          <w:b/>
        </w:rPr>
      </w:pPr>
      <w:bookmarkStart w:id="555" w:name="_Toc399626401"/>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20</w:t>
      </w:r>
      <w:r w:rsidR="005D68E7" w:rsidRPr="00B53423">
        <w:rPr>
          <w:rFonts w:asciiTheme="minorHAnsi" w:hAnsiTheme="minorHAnsi" w:cstheme="minorHAnsi"/>
          <w:b/>
        </w:rPr>
        <w:fldChar w:fldCharType="end"/>
      </w:r>
      <w:r w:rsidRPr="00B53423">
        <w:rPr>
          <w:rFonts w:asciiTheme="minorHAnsi" w:hAnsiTheme="minorHAnsi" w:cstheme="minorHAnsi"/>
          <w:b/>
        </w:rPr>
        <w:t>: PROVISION FOR BAD AND DOUBTFUL DEBT FOR FY 2011-12 (Rs. Crore)</w:t>
      </w:r>
      <w:bookmarkEnd w:id="555"/>
    </w:p>
    <w:tbl>
      <w:tblPr>
        <w:tblW w:w="8465" w:type="dxa"/>
        <w:tblInd w:w="103" w:type="dxa"/>
        <w:tblLook w:val="04A0"/>
      </w:tblPr>
      <w:tblGrid>
        <w:gridCol w:w="3695"/>
        <w:gridCol w:w="1080"/>
        <w:gridCol w:w="1350"/>
        <w:gridCol w:w="1170"/>
        <w:gridCol w:w="1215"/>
      </w:tblGrid>
      <w:tr w:rsidR="004C74C2" w:rsidRPr="00B53423" w:rsidTr="007D1F39">
        <w:trPr>
          <w:trHeight w:val="900"/>
          <w:tblHeader/>
        </w:trPr>
        <w:tc>
          <w:tcPr>
            <w:tcW w:w="3695" w:type="dxa"/>
            <w:tcBorders>
              <w:top w:val="dotted" w:sz="4" w:space="0" w:color="auto"/>
              <w:left w:val="dotted" w:sz="4" w:space="0" w:color="auto"/>
              <w:bottom w:val="dotted" w:sz="4" w:space="0" w:color="auto"/>
              <w:right w:val="dotted" w:sz="4" w:space="0" w:color="auto"/>
            </w:tcBorders>
            <w:shd w:val="clear" w:color="000000" w:fill="DBE5F1"/>
            <w:noWrap/>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08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35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17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170" w:type="dxa"/>
            <w:tcBorders>
              <w:top w:val="dotted" w:sz="4" w:space="0" w:color="auto"/>
              <w:left w:val="nil"/>
              <w:bottom w:val="dotted" w:sz="4" w:space="0" w:color="auto"/>
              <w:right w:val="dotted" w:sz="4" w:space="0" w:color="auto"/>
            </w:tcBorders>
            <w:shd w:val="clear" w:color="000000" w:fill="DBE5F1"/>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3695"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Provision for Bad and Doubtful Debts</w:t>
            </w:r>
          </w:p>
        </w:tc>
        <w:tc>
          <w:tcPr>
            <w:tcW w:w="108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rPr>
            </w:pPr>
            <w:r w:rsidRPr="00B53423">
              <w:rPr>
                <w:rFonts w:cs="Calibri"/>
                <w:color w:val="000000"/>
              </w:rPr>
              <w:t>0.00</w:t>
            </w:r>
          </w:p>
        </w:tc>
        <w:tc>
          <w:tcPr>
            <w:tcW w:w="135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rPr>
            </w:pPr>
            <w:r w:rsidRPr="00B53423">
              <w:rPr>
                <w:rFonts w:cs="Calibri"/>
                <w:color w:val="000000"/>
              </w:rPr>
              <w:t>7.08</w:t>
            </w:r>
          </w:p>
        </w:tc>
        <w:tc>
          <w:tcPr>
            <w:tcW w:w="117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rPr>
            </w:pPr>
            <w:r w:rsidRPr="00B53423">
              <w:rPr>
                <w:rFonts w:cs="Calibri"/>
                <w:color w:val="000000"/>
              </w:rPr>
              <w:t>45.86</w:t>
            </w:r>
          </w:p>
        </w:tc>
        <w:tc>
          <w:tcPr>
            <w:tcW w:w="117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jc w:val="center"/>
              <w:rPr>
                <w:rFonts w:cs="Calibri"/>
                <w:color w:val="000000"/>
              </w:rPr>
            </w:pPr>
            <w:r w:rsidRPr="00B53423">
              <w:rPr>
                <w:rFonts w:cs="Calibri"/>
                <w:color w:val="000000"/>
              </w:rPr>
              <w:t>0.00</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rPr>
          <w:caps/>
        </w:rPr>
      </w:pPr>
      <w:bookmarkStart w:id="556" w:name="_Toc399626212"/>
      <w:r w:rsidRPr="00B53423">
        <w:rPr>
          <w:caps/>
        </w:rPr>
        <w:t>Return on equity</w:t>
      </w:r>
      <w:bookmarkEnd w:id="556"/>
    </w:p>
    <w:p w:rsidR="004C74C2" w:rsidRPr="00B53423" w:rsidRDefault="004C74C2" w:rsidP="0015232B">
      <w:pPr>
        <w:pStyle w:val="Heading3"/>
        <w:keepNext w:val="0"/>
        <w:numPr>
          <w:ilvl w:val="0"/>
          <w:numId w:val="0"/>
        </w:numPr>
        <w:ind w:left="450"/>
        <w:rPr>
          <w:b/>
        </w:rPr>
      </w:pPr>
    </w:p>
    <w:p w:rsidR="004C74C2" w:rsidRPr="00B53423" w:rsidRDefault="004C74C2" w:rsidP="0015232B">
      <w:pPr>
        <w:pStyle w:val="Heading3"/>
        <w:keepNext w:val="0"/>
        <w:ind w:hanging="1080"/>
        <w:rPr>
          <w:b/>
        </w:rPr>
      </w:pPr>
      <w:r w:rsidRPr="00B53423">
        <w:t>The Petitioner has not claimed any return on equity for the year under review. The Petitioner has stated that it does not want to burden the consumers by proposing return on equity as it will further increase the gap. Hence, , agreeing with the Petitioner’s submission in this regards, the Commission has also not allowed any amounts towards return on equity for FY 2011-12.</w:t>
      </w:r>
    </w:p>
    <w:p w:rsidR="004C74C2" w:rsidRPr="00B53423" w:rsidRDefault="004C74C2" w:rsidP="0015232B">
      <w:pPr>
        <w:pStyle w:val="Heading2"/>
        <w:keepNext w:val="0"/>
        <w:numPr>
          <w:ilvl w:val="0"/>
          <w:numId w:val="0"/>
        </w:numPr>
        <w:ind w:left="450"/>
      </w:pPr>
    </w:p>
    <w:p w:rsidR="004C74C2" w:rsidRPr="00B53423" w:rsidRDefault="004C74C2" w:rsidP="0015232B">
      <w:pPr>
        <w:pStyle w:val="Heading2"/>
        <w:keepNext w:val="0"/>
        <w:ind w:left="720" w:hanging="1080"/>
      </w:pPr>
      <w:bookmarkStart w:id="557" w:name="_Toc399626213"/>
      <w:r w:rsidRPr="00B53423">
        <w:t>REVENUE SIDE TRUING UP</w:t>
      </w:r>
      <w:bookmarkEnd w:id="557"/>
    </w:p>
    <w:p w:rsidR="004C74C2" w:rsidRPr="00B53423" w:rsidRDefault="004C74C2" w:rsidP="0015232B">
      <w:pPr>
        <w:pStyle w:val="Heading2"/>
        <w:keepNext w:val="0"/>
        <w:numPr>
          <w:ilvl w:val="0"/>
          <w:numId w:val="0"/>
        </w:numPr>
        <w:ind w:left="450"/>
      </w:pPr>
    </w:p>
    <w:p w:rsidR="004C74C2" w:rsidRPr="00B53423" w:rsidRDefault="004C74C2" w:rsidP="0015232B">
      <w:pPr>
        <w:pStyle w:val="Heading3"/>
        <w:keepNext w:val="0"/>
        <w:numPr>
          <w:ilvl w:val="0"/>
          <w:numId w:val="0"/>
        </w:numPr>
        <w:ind w:left="450" w:firstLine="270"/>
        <w:rPr>
          <w:b/>
        </w:rPr>
      </w:pPr>
      <w:r w:rsidRPr="00B53423">
        <w:rPr>
          <w:b/>
        </w:rPr>
        <w:t>NON TARIFF INCOMES</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the actual Non Tariff income earned by it in FY 2011-12 is Rs. 6.24 Crore against the projection of Rs. 6.52 Crore approved by the Commission in the Tariff Order dated 19</w:t>
      </w:r>
      <w:r w:rsidRPr="00B53423">
        <w:rPr>
          <w:vertAlign w:val="superscript"/>
        </w:rPr>
        <w:t>th</w:t>
      </w:r>
      <w:r w:rsidRPr="00B53423">
        <w:t xml:space="preserve"> October, 2012 in Petition No. 751 / 2011 and 798 / 2012.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As regards the Commission’s query regarding detailed break-up of Non Tariff Income the Petitioner has submitted as follows:</w:t>
      </w:r>
    </w:p>
    <w:p w:rsidR="004C74C2" w:rsidRPr="00B53423" w:rsidRDefault="004C74C2" w:rsidP="0015232B">
      <w:pPr>
        <w:rPr>
          <w:rFonts w:cs="Arial"/>
          <w:szCs w:val="26"/>
        </w:rPr>
      </w:pPr>
    </w:p>
    <w:p w:rsidR="004C74C2" w:rsidRPr="00B53423" w:rsidRDefault="004C74C2" w:rsidP="0015232B">
      <w:pPr>
        <w:spacing w:before="240"/>
        <w:ind w:left="450"/>
        <w:jc w:val="center"/>
        <w:rPr>
          <w:rFonts w:asciiTheme="minorHAnsi" w:hAnsiTheme="minorHAnsi" w:cstheme="minorHAnsi"/>
          <w:b/>
        </w:rPr>
      </w:pPr>
      <w:bookmarkStart w:id="558" w:name="_Toc399626402"/>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21</w:t>
      </w:r>
      <w:r w:rsidR="005D68E7" w:rsidRPr="00B53423">
        <w:rPr>
          <w:rFonts w:asciiTheme="minorHAnsi" w:hAnsiTheme="minorHAnsi" w:cstheme="minorHAnsi"/>
          <w:b/>
        </w:rPr>
        <w:fldChar w:fldCharType="end"/>
      </w:r>
      <w:r w:rsidRPr="00B53423">
        <w:rPr>
          <w:rFonts w:asciiTheme="minorHAnsi" w:hAnsiTheme="minorHAnsi" w:cstheme="minorHAnsi"/>
          <w:b/>
        </w:rPr>
        <w:t>: NON TARIFF INCOME (Rs. Crore)</w:t>
      </w:r>
      <w:bookmarkEnd w:id="558"/>
    </w:p>
    <w:tbl>
      <w:tblPr>
        <w:tblW w:w="7690" w:type="dxa"/>
        <w:jc w:val="center"/>
        <w:tblInd w:w="-15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584"/>
        <w:gridCol w:w="2106"/>
      </w:tblGrid>
      <w:tr w:rsidR="004C74C2" w:rsidRPr="00B53423" w:rsidTr="009268E4">
        <w:trPr>
          <w:trHeight w:val="300"/>
          <w:tblHeader/>
          <w:jc w:val="center"/>
        </w:trPr>
        <w:tc>
          <w:tcPr>
            <w:tcW w:w="5584" w:type="dxa"/>
            <w:shd w:val="clear" w:color="auto" w:fill="DBE5F1" w:themeFill="accent1" w:themeFillTint="33"/>
            <w:vAlign w:val="center"/>
            <w:hideMark/>
          </w:tcPr>
          <w:p w:rsidR="004C74C2" w:rsidRPr="00B53423" w:rsidRDefault="004C74C2" w:rsidP="0015232B">
            <w:pPr>
              <w:spacing w:before="0" w:line="240" w:lineRule="auto"/>
              <w:jc w:val="center"/>
              <w:rPr>
                <w:b/>
                <w:bCs/>
              </w:rPr>
            </w:pPr>
            <w:r w:rsidRPr="00B53423">
              <w:rPr>
                <w:b/>
                <w:bCs/>
              </w:rPr>
              <w:t>Particulars</w:t>
            </w:r>
          </w:p>
        </w:tc>
        <w:tc>
          <w:tcPr>
            <w:tcW w:w="2106" w:type="dxa"/>
            <w:shd w:val="clear" w:color="auto" w:fill="DBE5F1" w:themeFill="accent1" w:themeFillTint="33"/>
            <w:noWrap/>
            <w:vAlign w:val="center"/>
            <w:hideMark/>
          </w:tcPr>
          <w:p w:rsidR="004C74C2" w:rsidRPr="00B53423" w:rsidRDefault="004C74C2" w:rsidP="0015232B">
            <w:pPr>
              <w:spacing w:before="0" w:line="240" w:lineRule="auto"/>
              <w:jc w:val="center"/>
              <w:rPr>
                <w:b/>
                <w:bCs/>
              </w:rPr>
            </w:pPr>
            <w:r w:rsidRPr="00B53423">
              <w:rPr>
                <w:b/>
                <w:bCs/>
              </w:rPr>
              <w:t>FY 2011-12</w:t>
            </w:r>
          </w:p>
        </w:tc>
      </w:tr>
      <w:tr w:rsidR="004C74C2" w:rsidRPr="00B53423" w:rsidTr="009268E4">
        <w:trPr>
          <w:trHeight w:val="288"/>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Interest from FDR including TDS amount</w:t>
            </w:r>
          </w:p>
        </w:tc>
        <w:tc>
          <w:tcPr>
            <w:tcW w:w="2106" w:type="dxa"/>
            <w:shd w:val="clear" w:color="auto" w:fill="auto"/>
            <w:noWrap/>
            <w:vAlign w:val="center"/>
            <w:hideMark/>
          </w:tcPr>
          <w:p w:rsidR="004C74C2" w:rsidRPr="00B53423" w:rsidRDefault="004C74C2" w:rsidP="0015232B">
            <w:pPr>
              <w:spacing w:before="0" w:line="240" w:lineRule="auto"/>
              <w:ind w:right="601"/>
              <w:jc w:val="right"/>
              <w:rPr>
                <w:color w:val="000000"/>
              </w:rPr>
            </w:pPr>
            <w:r w:rsidRPr="00B53423">
              <w:rPr>
                <w:color w:val="000000"/>
              </w:rPr>
              <w:t>0.88</w:t>
            </w:r>
          </w:p>
        </w:tc>
      </w:tr>
      <w:tr w:rsidR="004C74C2" w:rsidRPr="00B53423" w:rsidTr="009268E4">
        <w:trPr>
          <w:trHeight w:val="144"/>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Reconnection and Disconnection Fees</w:t>
            </w:r>
          </w:p>
        </w:tc>
        <w:tc>
          <w:tcPr>
            <w:tcW w:w="2106" w:type="dxa"/>
            <w:shd w:val="clear" w:color="auto" w:fill="auto"/>
            <w:noWrap/>
            <w:vAlign w:val="center"/>
            <w:hideMark/>
          </w:tcPr>
          <w:p w:rsidR="004C74C2" w:rsidRPr="00B53423" w:rsidRDefault="004C74C2" w:rsidP="0015232B">
            <w:pPr>
              <w:spacing w:before="0" w:line="240" w:lineRule="auto"/>
              <w:ind w:right="601"/>
              <w:jc w:val="right"/>
              <w:rPr>
                <w:color w:val="000000"/>
              </w:rPr>
            </w:pPr>
            <w:r w:rsidRPr="00B53423">
              <w:rPr>
                <w:color w:val="000000"/>
              </w:rPr>
              <w:t>-</w:t>
            </w:r>
          </w:p>
        </w:tc>
      </w:tr>
      <w:tr w:rsidR="004C74C2" w:rsidRPr="00B53423" w:rsidTr="009268E4">
        <w:trPr>
          <w:trHeight w:val="26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Other Recoveries from consumers</w:t>
            </w:r>
          </w:p>
        </w:tc>
        <w:tc>
          <w:tcPr>
            <w:tcW w:w="2106" w:type="dxa"/>
            <w:shd w:val="clear" w:color="auto" w:fill="auto"/>
            <w:noWrap/>
            <w:vAlign w:val="center"/>
            <w:hideMark/>
          </w:tcPr>
          <w:p w:rsidR="004C74C2" w:rsidRPr="00B53423" w:rsidRDefault="004C74C2" w:rsidP="0015232B">
            <w:pPr>
              <w:spacing w:before="0" w:line="240" w:lineRule="auto"/>
              <w:ind w:right="601"/>
              <w:jc w:val="right"/>
              <w:rPr>
                <w:color w:val="000000"/>
              </w:rPr>
            </w:pPr>
            <w:r w:rsidRPr="00B53423">
              <w:rPr>
                <w:color w:val="000000"/>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Recoveries from Theft/Malpractices</w:t>
            </w:r>
          </w:p>
        </w:tc>
        <w:tc>
          <w:tcPr>
            <w:tcW w:w="2106" w:type="dxa"/>
            <w:shd w:val="clear" w:color="auto" w:fill="auto"/>
            <w:noWrap/>
            <w:vAlign w:val="center"/>
            <w:hideMark/>
          </w:tcPr>
          <w:p w:rsidR="004C74C2" w:rsidRPr="00B53423" w:rsidRDefault="004C74C2" w:rsidP="0015232B">
            <w:pPr>
              <w:spacing w:before="0" w:line="240" w:lineRule="auto"/>
              <w:ind w:right="601"/>
              <w:jc w:val="right"/>
              <w:rPr>
                <w:color w:val="000000"/>
              </w:rPr>
            </w:pPr>
            <w:r w:rsidRPr="00B53423">
              <w:rPr>
                <w:color w:val="000000"/>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Other Charges from Consumers</w:t>
            </w:r>
          </w:p>
        </w:tc>
        <w:tc>
          <w:tcPr>
            <w:tcW w:w="2106" w:type="dxa"/>
            <w:shd w:val="clear" w:color="auto" w:fill="auto"/>
            <w:noWrap/>
            <w:vAlign w:val="center"/>
            <w:hideMark/>
          </w:tcPr>
          <w:p w:rsidR="004C74C2" w:rsidRPr="00B53423" w:rsidRDefault="004C74C2" w:rsidP="0015232B">
            <w:pPr>
              <w:spacing w:before="0" w:line="240" w:lineRule="auto"/>
              <w:ind w:right="601"/>
              <w:jc w:val="right"/>
              <w:rPr>
                <w:color w:val="000000"/>
              </w:rPr>
            </w:pPr>
            <w:r w:rsidRPr="00B53423">
              <w:rPr>
                <w:color w:val="000000"/>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Misc Income</w:t>
            </w:r>
          </w:p>
        </w:tc>
        <w:tc>
          <w:tcPr>
            <w:tcW w:w="2106" w:type="dxa"/>
            <w:shd w:val="clear" w:color="auto" w:fill="auto"/>
            <w:noWrap/>
            <w:vAlign w:val="center"/>
            <w:hideMark/>
          </w:tcPr>
          <w:p w:rsidR="004C74C2" w:rsidRPr="00B53423" w:rsidRDefault="004C74C2" w:rsidP="0015232B">
            <w:pPr>
              <w:spacing w:before="0" w:line="240" w:lineRule="auto"/>
              <w:ind w:right="601"/>
              <w:jc w:val="right"/>
              <w:rPr>
                <w:color w:val="000000"/>
              </w:rPr>
            </w:pPr>
            <w:r w:rsidRPr="00B53423">
              <w:rPr>
                <w:color w:val="000000"/>
              </w:rPr>
              <w:t>-</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rFonts w:cs="Arial"/>
                <w:szCs w:val="26"/>
              </w:rPr>
            </w:pPr>
            <w:r w:rsidRPr="00B53423">
              <w:rPr>
                <w:rFonts w:cs="Arial"/>
                <w:szCs w:val="26"/>
              </w:rPr>
              <w:t>Other Non-Operating Income</w:t>
            </w:r>
          </w:p>
        </w:tc>
        <w:tc>
          <w:tcPr>
            <w:tcW w:w="2106" w:type="dxa"/>
            <w:shd w:val="clear" w:color="auto" w:fill="auto"/>
            <w:noWrap/>
            <w:vAlign w:val="center"/>
            <w:hideMark/>
          </w:tcPr>
          <w:p w:rsidR="004C74C2" w:rsidRPr="00B53423" w:rsidRDefault="004C74C2" w:rsidP="0015232B">
            <w:pPr>
              <w:spacing w:before="0" w:line="240" w:lineRule="auto"/>
              <w:ind w:right="601"/>
              <w:jc w:val="right"/>
              <w:rPr>
                <w:color w:val="000000"/>
              </w:rPr>
            </w:pPr>
            <w:r w:rsidRPr="00B53423">
              <w:rPr>
                <w:color w:val="000000"/>
              </w:rPr>
              <w:t>5.36</w:t>
            </w:r>
          </w:p>
        </w:tc>
      </w:tr>
      <w:tr w:rsidR="004C74C2" w:rsidRPr="00B53423" w:rsidTr="009268E4">
        <w:trPr>
          <w:trHeight w:val="300"/>
          <w:jc w:val="center"/>
        </w:trPr>
        <w:tc>
          <w:tcPr>
            <w:tcW w:w="5584" w:type="dxa"/>
            <w:shd w:val="clear" w:color="auto" w:fill="auto"/>
            <w:vAlign w:val="bottom"/>
            <w:hideMark/>
          </w:tcPr>
          <w:p w:rsidR="004C74C2" w:rsidRPr="00B53423" w:rsidRDefault="004C74C2" w:rsidP="0015232B">
            <w:pPr>
              <w:spacing w:before="0" w:line="240" w:lineRule="auto"/>
              <w:rPr>
                <w:b/>
                <w:color w:val="000000"/>
              </w:rPr>
            </w:pPr>
            <w:r w:rsidRPr="00B53423">
              <w:rPr>
                <w:color w:val="000000"/>
              </w:rPr>
              <w:t> </w:t>
            </w:r>
            <w:r w:rsidRPr="00B53423">
              <w:rPr>
                <w:b/>
                <w:color w:val="000000"/>
              </w:rPr>
              <w:t>Total NTI</w:t>
            </w:r>
          </w:p>
        </w:tc>
        <w:tc>
          <w:tcPr>
            <w:tcW w:w="2106" w:type="dxa"/>
            <w:shd w:val="clear" w:color="auto" w:fill="auto"/>
            <w:noWrap/>
            <w:vAlign w:val="center"/>
            <w:hideMark/>
          </w:tcPr>
          <w:p w:rsidR="004C74C2" w:rsidRPr="00B53423" w:rsidRDefault="004C74C2" w:rsidP="0015232B">
            <w:pPr>
              <w:spacing w:before="0" w:line="240" w:lineRule="auto"/>
              <w:ind w:right="601"/>
              <w:jc w:val="right"/>
              <w:rPr>
                <w:b/>
                <w:bCs/>
                <w:color w:val="000000"/>
              </w:rPr>
            </w:pPr>
            <w:r w:rsidRPr="00B53423">
              <w:rPr>
                <w:b/>
                <w:bCs/>
                <w:color w:val="000000"/>
              </w:rPr>
              <w:t>6.24</w:t>
            </w:r>
          </w:p>
        </w:tc>
      </w:tr>
    </w:tbl>
    <w:p w:rsidR="004C74C2" w:rsidRPr="00B53423" w:rsidRDefault="004C74C2" w:rsidP="0015232B">
      <w:pPr>
        <w:spacing w:before="0"/>
        <w:rPr>
          <w:rFonts w:cs="Arial"/>
        </w:rPr>
      </w:pPr>
    </w:p>
    <w:p w:rsidR="004C74C2" w:rsidRPr="00B53423" w:rsidRDefault="004C74C2" w:rsidP="0015232B">
      <w:pPr>
        <w:pStyle w:val="Heading3"/>
        <w:keepNext w:val="0"/>
        <w:ind w:hanging="1080"/>
      </w:pPr>
      <w:r w:rsidRPr="00B53423">
        <w:t>The Commission has accepted the submission of the Petitioner, under this head and has accordingly approved Non Tariff Income of Rs. 6.24 Crore for Truing up of FY 2011-12.</w:t>
      </w:r>
    </w:p>
    <w:p w:rsidR="004C74C2" w:rsidRPr="00B53423" w:rsidRDefault="004C74C2" w:rsidP="0015232B">
      <w:pPr>
        <w:spacing w:before="240"/>
      </w:pPr>
    </w:p>
    <w:p w:rsidR="004C74C2" w:rsidRPr="00B53423" w:rsidRDefault="004C74C2" w:rsidP="0015232B">
      <w:pPr>
        <w:pStyle w:val="Heading3"/>
        <w:keepNext w:val="0"/>
        <w:numPr>
          <w:ilvl w:val="0"/>
          <w:numId w:val="0"/>
        </w:numPr>
        <w:ind w:left="720" w:hanging="90"/>
        <w:rPr>
          <w:b/>
        </w:rPr>
      </w:pPr>
      <w:r w:rsidRPr="00B53423">
        <w:rPr>
          <w:b/>
        </w:rPr>
        <w:t>REVENUE FROM SALE OF POWER</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submitted that in the Tariff Order dated 19</w:t>
      </w:r>
      <w:r w:rsidRPr="00B53423">
        <w:rPr>
          <w:vertAlign w:val="superscript"/>
        </w:rPr>
        <w:t>th</w:t>
      </w:r>
      <w:r w:rsidRPr="00B53423">
        <w:t xml:space="preserve"> October, 2012 in Petition No. 751 / 2011 and 798 / 2012 for FY 2011-12 the Commission had projected revenue from sale of power of Rs. 937.48 Crore for FY 2011-12. The Petitioner further submitted that as per the Audited Accounts the actual revenue from sale of power is Rs. 1016.76 Crore (including Rs. 38.09 Crore towards delayed payment surcharge) towards electricity sales of 2071 MU.</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Commission has accepted the revenue from sale of power as submitted by the Petitioner after verifying the same from the Audited Accounts of FY 2011-12 and has accordingly approved actual revenue of Rs. 1016.76 Crore including delayed payment surcharge towards sales of 2071 MU. The summary of revenue approved in the Tariff Order, that claimed by the Petitioner and that approved by the Commission in this Order for Truing up of FY 2011-12 is shown in the Table below:</w:t>
      </w:r>
    </w:p>
    <w:p w:rsidR="004C74C2" w:rsidRPr="00B53423" w:rsidRDefault="004C74C2" w:rsidP="0015232B">
      <w:pPr>
        <w:rPr>
          <w:rFonts w:cs="Arial"/>
          <w:szCs w:val="26"/>
        </w:rPr>
      </w:pPr>
    </w:p>
    <w:p w:rsidR="004C74C2" w:rsidRPr="00B53423" w:rsidRDefault="004C74C2" w:rsidP="0015232B">
      <w:pPr>
        <w:spacing w:before="240"/>
        <w:ind w:left="450"/>
        <w:jc w:val="center"/>
        <w:rPr>
          <w:rFonts w:asciiTheme="minorHAnsi" w:hAnsiTheme="minorHAnsi" w:cstheme="minorHAnsi"/>
          <w:b/>
        </w:rPr>
      </w:pPr>
      <w:bookmarkStart w:id="559" w:name="_Toc399626403"/>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22</w:t>
      </w:r>
      <w:r w:rsidR="005D68E7" w:rsidRPr="00B53423">
        <w:rPr>
          <w:rFonts w:asciiTheme="minorHAnsi" w:hAnsiTheme="minorHAnsi" w:cstheme="minorHAnsi"/>
          <w:b/>
        </w:rPr>
        <w:fldChar w:fldCharType="end"/>
      </w:r>
      <w:r w:rsidRPr="00B53423">
        <w:rPr>
          <w:rFonts w:asciiTheme="minorHAnsi" w:hAnsiTheme="minorHAnsi" w:cstheme="minorHAnsi"/>
          <w:b/>
        </w:rPr>
        <w:t>: REVENUE FOR FY 2011-12 (Rs. Crore)</w:t>
      </w:r>
      <w:bookmarkEnd w:id="559"/>
    </w:p>
    <w:tbl>
      <w:tblPr>
        <w:tblW w:w="7720" w:type="dxa"/>
        <w:tblInd w:w="103" w:type="dxa"/>
        <w:tblLook w:val="04A0"/>
      </w:tblPr>
      <w:tblGrid>
        <w:gridCol w:w="2760"/>
        <w:gridCol w:w="1240"/>
        <w:gridCol w:w="1240"/>
        <w:gridCol w:w="1240"/>
        <w:gridCol w:w="1240"/>
      </w:tblGrid>
      <w:tr w:rsidR="004C74C2" w:rsidRPr="00B53423" w:rsidTr="00856959">
        <w:trPr>
          <w:trHeight w:val="900"/>
          <w:tblHeader/>
        </w:trPr>
        <w:tc>
          <w:tcPr>
            <w:tcW w:w="276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Particulars</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Tariff Order</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Actuals as per Audited Accounts</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True-up Petition</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Allowable</w:t>
            </w: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Revenue from Tariff</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ind w:right="197"/>
              <w:jc w:val="right"/>
              <w:rPr>
                <w:rFonts w:cs="Calibri"/>
                <w:color w:val="000000"/>
                <w:lang w:val="en-US"/>
              </w:rPr>
            </w:pPr>
            <w:r w:rsidRPr="00B53423">
              <w:rPr>
                <w:rFonts w:cs="Calibri"/>
                <w:color w:val="000000"/>
                <w:lang w:val="en-US"/>
              </w:rPr>
              <w:t>937.00</w:t>
            </w:r>
          </w:p>
          <w:p w:rsidR="004C74C2" w:rsidRPr="00B53423" w:rsidRDefault="004C74C2" w:rsidP="0015232B">
            <w:pPr>
              <w:spacing w:line="240" w:lineRule="auto"/>
              <w:ind w:right="197"/>
              <w:jc w:val="left"/>
              <w:rPr>
                <w:rFonts w:cs="Calibri"/>
                <w:color w:val="000000"/>
                <w:lang w:val="en-US"/>
              </w:rPr>
            </w:pPr>
            <w:r w:rsidRPr="00B53423">
              <w:rPr>
                <w:rFonts w:cs="Calibri"/>
                <w:color w:val="000000"/>
                <w:lang w:val="en-US"/>
              </w:rPr>
              <w:t> </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ind w:right="177"/>
              <w:jc w:val="right"/>
              <w:rPr>
                <w:rFonts w:cs="Calibri"/>
                <w:color w:val="000000"/>
                <w:lang w:val="en-US"/>
              </w:rPr>
            </w:pPr>
            <w:r w:rsidRPr="00B53423">
              <w:rPr>
                <w:rFonts w:cs="Calibri"/>
                <w:color w:val="000000"/>
                <w:lang w:val="en-US"/>
              </w:rPr>
              <w:t>1016.76</w:t>
            </w:r>
          </w:p>
          <w:p w:rsidR="004C74C2" w:rsidRPr="00B53423" w:rsidRDefault="004C74C2" w:rsidP="0015232B">
            <w:pPr>
              <w:spacing w:line="240" w:lineRule="auto"/>
              <w:ind w:right="177"/>
              <w:jc w:val="left"/>
              <w:rPr>
                <w:rFonts w:cs="Calibri"/>
                <w:color w:val="000000"/>
                <w:lang w:val="en-US"/>
              </w:rPr>
            </w:pPr>
            <w:r w:rsidRPr="00B53423">
              <w:rPr>
                <w:rFonts w:cs="Calibri"/>
                <w:color w:val="000000"/>
                <w:lang w:val="en-US"/>
              </w:rPr>
              <w:t> </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ind w:right="157"/>
              <w:jc w:val="right"/>
              <w:rPr>
                <w:rFonts w:cs="Calibri"/>
                <w:color w:val="000000"/>
                <w:lang w:val="en-US"/>
              </w:rPr>
            </w:pPr>
            <w:r w:rsidRPr="00B53423">
              <w:rPr>
                <w:rFonts w:cs="Calibri"/>
                <w:color w:val="000000"/>
                <w:lang w:val="en-US"/>
              </w:rPr>
              <w:t>1016.76</w:t>
            </w:r>
          </w:p>
          <w:p w:rsidR="004C74C2" w:rsidRPr="00B53423" w:rsidRDefault="004C74C2" w:rsidP="0015232B">
            <w:pPr>
              <w:spacing w:line="240" w:lineRule="auto"/>
              <w:ind w:right="157"/>
              <w:jc w:val="left"/>
              <w:rPr>
                <w:rFonts w:cs="Calibri"/>
                <w:color w:val="000000"/>
                <w:lang w:val="en-US"/>
              </w:rPr>
            </w:pPr>
            <w:r w:rsidRPr="00B53423">
              <w:rPr>
                <w:rFonts w:cs="Calibri"/>
                <w:color w:val="000000"/>
                <w:lang w:val="en-US"/>
              </w:rPr>
              <w:t> </w:t>
            </w:r>
          </w:p>
        </w:tc>
        <w:tc>
          <w:tcPr>
            <w:tcW w:w="1240" w:type="dxa"/>
            <w:vMerge w:val="restart"/>
            <w:tcBorders>
              <w:top w:val="nil"/>
              <w:left w:val="nil"/>
              <w:right w:val="dotted" w:sz="4" w:space="0" w:color="auto"/>
            </w:tcBorders>
            <w:shd w:val="clear" w:color="auto" w:fill="auto"/>
            <w:noWrap/>
            <w:vAlign w:val="bottom"/>
            <w:hideMark/>
          </w:tcPr>
          <w:p w:rsidR="004C74C2" w:rsidRPr="00B53423" w:rsidRDefault="004C74C2" w:rsidP="0015232B">
            <w:pPr>
              <w:spacing w:before="0" w:line="240" w:lineRule="auto"/>
              <w:ind w:right="204"/>
              <w:jc w:val="right"/>
              <w:rPr>
                <w:rFonts w:cs="Calibri"/>
                <w:color w:val="000000"/>
                <w:lang w:val="en-US"/>
              </w:rPr>
            </w:pPr>
            <w:r w:rsidRPr="00B53423">
              <w:rPr>
                <w:rFonts w:cs="Calibri"/>
                <w:color w:val="000000"/>
                <w:lang w:val="en-US"/>
              </w:rPr>
              <w:t>1016.76</w:t>
            </w:r>
          </w:p>
          <w:p w:rsidR="004C74C2" w:rsidRPr="00B53423" w:rsidRDefault="004C74C2" w:rsidP="0015232B">
            <w:pPr>
              <w:spacing w:line="240" w:lineRule="auto"/>
              <w:ind w:right="204"/>
              <w:jc w:val="left"/>
              <w:rPr>
                <w:rFonts w:cs="Calibri"/>
                <w:color w:val="000000"/>
                <w:lang w:val="en-US"/>
              </w:rPr>
            </w:pPr>
            <w:r w:rsidRPr="00B53423">
              <w:rPr>
                <w:rFonts w:cs="Calibri"/>
                <w:color w:val="000000"/>
                <w:lang w:val="en-US"/>
              </w:rPr>
              <w:t> </w:t>
            </w: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Delayed Payment Surcharge</w:t>
            </w: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197"/>
              <w:jc w:val="left"/>
              <w:rPr>
                <w:rFonts w:cs="Calibri"/>
                <w:color w:val="000000"/>
                <w:lang w:val="en-US"/>
              </w:rPr>
            </w:pP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177"/>
              <w:jc w:val="left"/>
              <w:rPr>
                <w:rFonts w:cs="Calibri"/>
                <w:color w:val="000000"/>
                <w:lang w:val="en-US"/>
              </w:rPr>
            </w:pP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157"/>
              <w:jc w:val="left"/>
              <w:rPr>
                <w:rFonts w:cs="Calibri"/>
                <w:color w:val="000000"/>
                <w:lang w:val="en-US"/>
              </w:rPr>
            </w:pPr>
          </w:p>
        </w:tc>
        <w:tc>
          <w:tcPr>
            <w:tcW w:w="1240" w:type="dxa"/>
            <w:vMerge/>
            <w:tcBorders>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204"/>
              <w:jc w:val="left"/>
              <w:rPr>
                <w:rFonts w:cs="Calibri"/>
                <w:color w:val="000000"/>
                <w:lang w:val="en-US"/>
              </w:rPr>
            </w:pP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Non Tariff Income</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ind w:right="197"/>
              <w:jc w:val="right"/>
              <w:rPr>
                <w:rFonts w:cs="Calibri"/>
                <w:color w:val="000000"/>
                <w:lang w:val="en-US"/>
              </w:rPr>
            </w:pPr>
            <w:r w:rsidRPr="00B53423">
              <w:rPr>
                <w:rFonts w:cs="Calibri"/>
                <w:color w:val="000000"/>
                <w:lang w:val="en-US"/>
              </w:rPr>
              <w:t>7.00</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ind w:right="177"/>
              <w:jc w:val="right"/>
              <w:rPr>
                <w:rFonts w:cs="Calibri"/>
                <w:color w:val="000000"/>
                <w:lang w:val="en-US"/>
              </w:rPr>
            </w:pPr>
            <w:r w:rsidRPr="00B53423">
              <w:rPr>
                <w:rFonts w:cs="Calibri"/>
                <w:color w:val="000000"/>
                <w:lang w:val="en-US"/>
              </w:rPr>
              <w:t>6.24</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ind w:right="157"/>
              <w:jc w:val="right"/>
              <w:rPr>
                <w:rFonts w:cs="Calibri"/>
                <w:color w:val="000000"/>
                <w:lang w:val="en-US"/>
              </w:rPr>
            </w:pPr>
            <w:r w:rsidRPr="00B53423">
              <w:rPr>
                <w:rFonts w:cs="Calibri"/>
                <w:color w:val="000000"/>
                <w:lang w:val="en-US"/>
              </w:rPr>
              <w:t>6.24</w:t>
            </w:r>
          </w:p>
        </w:tc>
        <w:tc>
          <w:tcPr>
            <w:tcW w:w="1240" w:type="dxa"/>
            <w:tcBorders>
              <w:top w:val="nil"/>
              <w:left w:val="nil"/>
              <w:bottom w:val="dotted" w:sz="4" w:space="0" w:color="auto"/>
              <w:right w:val="dotted" w:sz="4" w:space="0" w:color="auto"/>
            </w:tcBorders>
            <w:shd w:val="clear" w:color="auto" w:fill="auto"/>
            <w:noWrap/>
            <w:vAlign w:val="center"/>
            <w:hideMark/>
          </w:tcPr>
          <w:p w:rsidR="004C74C2" w:rsidRPr="00B53423" w:rsidRDefault="004C74C2" w:rsidP="0015232B">
            <w:pPr>
              <w:spacing w:before="0" w:line="240" w:lineRule="auto"/>
              <w:ind w:right="204"/>
              <w:jc w:val="right"/>
              <w:rPr>
                <w:rFonts w:cs="Calibri"/>
                <w:color w:val="000000"/>
                <w:lang w:val="en-US"/>
              </w:rPr>
            </w:pPr>
            <w:r w:rsidRPr="00B53423">
              <w:rPr>
                <w:rFonts w:cs="Calibri"/>
                <w:color w:val="000000"/>
                <w:lang w:val="en-US"/>
              </w:rPr>
              <w:t>6.24</w:t>
            </w:r>
          </w:p>
        </w:tc>
      </w:tr>
      <w:tr w:rsidR="004C74C2" w:rsidRPr="00B53423" w:rsidTr="009268E4">
        <w:trPr>
          <w:trHeight w:val="300"/>
        </w:trPr>
        <w:tc>
          <w:tcPr>
            <w:tcW w:w="2760" w:type="dxa"/>
            <w:tcBorders>
              <w:top w:val="nil"/>
              <w:left w:val="dotted" w:sz="4" w:space="0" w:color="auto"/>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Revenue</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197"/>
              <w:jc w:val="right"/>
              <w:rPr>
                <w:rFonts w:cs="Calibri"/>
                <w:b/>
                <w:bCs/>
                <w:color w:val="000000"/>
                <w:lang w:val="en-US"/>
              </w:rPr>
            </w:pPr>
            <w:r w:rsidRPr="00B53423">
              <w:rPr>
                <w:rFonts w:cs="Calibri"/>
                <w:b/>
                <w:bCs/>
                <w:color w:val="000000"/>
                <w:lang w:val="en-US"/>
              </w:rPr>
              <w:t>944.00</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177"/>
              <w:jc w:val="right"/>
              <w:rPr>
                <w:rFonts w:cs="Calibri"/>
                <w:b/>
                <w:bCs/>
                <w:color w:val="000000"/>
                <w:lang w:val="en-US"/>
              </w:rPr>
            </w:pPr>
            <w:r w:rsidRPr="00B53423">
              <w:rPr>
                <w:rFonts w:cs="Calibri"/>
                <w:b/>
                <w:bCs/>
                <w:color w:val="000000"/>
                <w:lang w:val="en-US"/>
              </w:rPr>
              <w:t>1023.01</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157"/>
              <w:jc w:val="right"/>
              <w:rPr>
                <w:rFonts w:cs="Calibri"/>
                <w:b/>
                <w:bCs/>
                <w:color w:val="000000"/>
                <w:lang w:val="en-US"/>
              </w:rPr>
            </w:pPr>
            <w:r w:rsidRPr="00B53423">
              <w:rPr>
                <w:rFonts w:cs="Calibri"/>
                <w:b/>
                <w:bCs/>
                <w:color w:val="000000"/>
                <w:lang w:val="en-US"/>
              </w:rPr>
              <w:t>1023.01</w:t>
            </w:r>
          </w:p>
        </w:tc>
        <w:tc>
          <w:tcPr>
            <w:tcW w:w="1240" w:type="dxa"/>
            <w:tcBorders>
              <w:top w:val="nil"/>
              <w:left w:val="nil"/>
              <w:bottom w:val="dotted" w:sz="4" w:space="0" w:color="auto"/>
              <w:right w:val="dotted" w:sz="4" w:space="0" w:color="auto"/>
            </w:tcBorders>
            <w:shd w:val="clear" w:color="auto" w:fill="auto"/>
            <w:noWrap/>
            <w:vAlign w:val="bottom"/>
            <w:hideMark/>
          </w:tcPr>
          <w:p w:rsidR="004C74C2" w:rsidRPr="00B53423" w:rsidRDefault="004C74C2" w:rsidP="0015232B">
            <w:pPr>
              <w:spacing w:before="0" w:line="240" w:lineRule="auto"/>
              <w:ind w:right="204"/>
              <w:jc w:val="right"/>
              <w:rPr>
                <w:rFonts w:cs="Calibri"/>
                <w:b/>
                <w:bCs/>
                <w:color w:val="000000"/>
                <w:lang w:val="en-US"/>
              </w:rPr>
            </w:pPr>
            <w:r w:rsidRPr="00B53423">
              <w:rPr>
                <w:rFonts w:cs="Calibri"/>
                <w:b/>
                <w:bCs/>
                <w:color w:val="000000"/>
                <w:lang w:val="en-US"/>
              </w:rPr>
              <w:t>1023.01</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numPr>
          <w:ilvl w:val="0"/>
          <w:numId w:val="0"/>
        </w:numPr>
        <w:ind w:left="450"/>
      </w:pPr>
    </w:p>
    <w:p w:rsidR="004C74C2" w:rsidRPr="00B53423" w:rsidRDefault="004C74C2" w:rsidP="0015232B">
      <w:pPr>
        <w:pStyle w:val="Heading2"/>
        <w:keepNext w:val="0"/>
        <w:ind w:left="720" w:hanging="1080"/>
        <w:rPr>
          <w:caps/>
        </w:rPr>
      </w:pPr>
      <w:bookmarkStart w:id="560" w:name="_Toc399626214"/>
      <w:r w:rsidRPr="00B53423">
        <w:rPr>
          <w:caps/>
        </w:rPr>
        <w:t>AGGREGATE REVenue requirement and revenue gap/ (surplus) for fY 2011-12 after truing up</w:t>
      </w:r>
      <w:bookmarkEnd w:id="560"/>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Aggregate Revenue Requirement for FY 2011-12 after final Truing-up is summarised in the Table below:</w:t>
      </w:r>
    </w:p>
    <w:p w:rsidR="004C74C2" w:rsidRPr="00B53423" w:rsidRDefault="004C74C2" w:rsidP="0015232B">
      <w:pPr>
        <w:pStyle w:val="Heading3"/>
        <w:keepNext w:val="0"/>
        <w:numPr>
          <w:ilvl w:val="0"/>
          <w:numId w:val="0"/>
        </w:numPr>
        <w:ind w:left="450"/>
      </w:pPr>
    </w:p>
    <w:p w:rsidR="004C74C2" w:rsidRPr="00B53423" w:rsidRDefault="004C74C2" w:rsidP="0015232B">
      <w:pPr>
        <w:spacing w:before="240"/>
        <w:ind w:left="450"/>
        <w:jc w:val="center"/>
        <w:rPr>
          <w:rFonts w:asciiTheme="minorHAnsi" w:hAnsiTheme="minorHAnsi" w:cstheme="minorHAnsi"/>
          <w:b/>
        </w:rPr>
      </w:pPr>
      <w:bookmarkStart w:id="561" w:name="_Toc399626404"/>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7</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23</w:t>
      </w:r>
      <w:r w:rsidR="005D68E7" w:rsidRPr="00B53423">
        <w:rPr>
          <w:rFonts w:asciiTheme="minorHAnsi" w:hAnsiTheme="minorHAnsi" w:cstheme="minorHAnsi"/>
          <w:b/>
        </w:rPr>
        <w:fldChar w:fldCharType="end"/>
      </w:r>
      <w:r w:rsidRPr="00B53423">
        <w:rPr>
          <w:rFonts w:asciiTheme="minorHAnsi" w:hAnsiTheme="minorHAnsi" w:cstheme="minorHAnsi"/>
          <w:b/>
        </w:rPr>
        <w:t>: ARR, REVENUE AND GAP SUMMARY FOR FY 2011-12 (Rs. Crore)</w:t>
      </w:r>
      <w:bookmarkEnd w:id="561"/>
    </w:p>
    <w:tbl>
      <w:tblPr>
        <w:tblW w:w="9005" w:type="dxa"/>
        <w:tblInd w:w="103" w:type="dxa"/>
        <w:tblLayout w:type="fixed"/>
        <w:tblLook w:val="04A0"/>
      </w:tblPr>
      <w:tblGrid>
        <w:gridCol w:w="3785"/>
        <w:gridCol w:w="1260"/>
        <w:gridCol w:w="1440"/>
        <w:gridCol w:w="1260"/>
        <w:gridCol w:w="1260"/>
      </w:tblGrid>
      <w:tr w:rsidR="004C74C2" w:rsidRPr="00B53423" w:rsidTr="00856959">
        <w:trPr>
          <w:trHeight w:val="900"/>
          <w:tblHeader/>
        </w:trPr>
        <w:tc>
          <w:tcPr>
            <w:tcW w:w="3785"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Particulars</w:t>
            </w:r>
          </w:p>
        </w:tc>
        <w:tc>
          <w:tcPr>
            <w:tcW w:w="126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Approved</w:t>
            </w:r>
          </w:p>
        </w:tc>
        <w:tc>
          <w:tcPr>
            <w:tcW w:w="144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Actuals as per Audited Accounts</w:t>
            </w:r>
          </w:p>
        </w:tc>
        <w:tc>
          <w:tcPr>
            <w:tcW w:w="126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True-up Petition</w:t>
            </w:r>
          </w:p>
        </w:tc>
        <w:tc>
          <w:tcPr>
            <w:tcW w:w="1260" w:type="dxa"/>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Allowable</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center"/>
              <w:rPr>
                <w:rFonts w:cs="Calibri"/>
                <w:b/>
                <w:bCs/>
                <w:color w:val="000000"/>
                <w:lang w:val="en-US"/>
              </w:rPr>
            </w:pPr>
            <w:r w:rsidRPr="00B53423">
              <w:rPr>
                <w:rFonts w:cs="Calibri"/>
                <w:b/>
                <w:bCs/>
                <w:color w:val="000000"/>
                <w:lang w:val="en-US"/>
              </w:rPr>
              <w:t>(a)</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(b)</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(c)</w:t>
            </w:r>
          </w:p>
        </w:tc>
        <w:tc>
          <w:tcPr>
            <w:tcW w:w="1260" w:type="dxa"/>
            <w:tcBorders>
              <w:top w:val="nil"/>
              <w:left w:val="nil"/>
              <w:bottom w:val="dotted" w:sz="4" w:space="0" w:color="auto"/>
              <w:right w:val="dotted" w:sz="4" w:space="0" w:color="auto"/>
            </w:tcBorders>
            <w:shd w:val="clear" w:color="000000" w:fill="FFFFFF"/>
            <w:noWrap/>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(d)</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right"/>
              <w:rPr>
                <w:rFonts w:cs="Calibri"/>
                <w:b/>
                <w:bCs/>
                <w:color w:val="000000"/>
                <w:lang w:val="en-US"/>
              </w:rPr>
            </w:pPr>
            <w:r w:rsidRPr="00B53423">
              <w:rPr>
                <w:rFonts w:cs="Calibri"/>
                <w:b/>
                <w:bCs/>
                <w:color w:val="000000"/>
                <w:lang w:val="en-US"/>
              </w:rPr>
              <w:t>(e)</w:t>
            </w:r>
          </w:p>
        </w:tc>
      </w:tr>
      <w:tr w:rsidR="004C74C2" w:rsidRPr="00B53423" w:rsidTr="00856959">
        <w:trPr>
          <w:trHeight w:val="6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Power Purchase Expenses (including Transmission Charges)</w:t>
            </w:r>
          </w:p>
        </w:tc>
        <w:tc>
          <w:tcPr>
            <w:tcW w:w="126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1218.00</w:t>
            </w:r>
          </w:p>
        </w:tc>
        <w:tc>
          <w:tcPr>
            <w:tcW w:w="144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1206.54</w:t>
            </w:r>
          </w:p>
        </w:tc>
        <w:tc>
          <w:tcPr>
            <w:tcW w:w="126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1185.50</w:t>
            </w:r>
          </w:p>
        </w:tc>
        <w:tc>
          <w:tcPr>
            <w:tcW w:w="126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1132.40</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Employee Expenses</w:t>
            </w:r>
          </w:p>
        </w:tc>
        <w:tc>
          <w:tcPr>
            <w:tcW w:w="126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105.30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98.48</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98.48</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98.48</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Repair and Maintenance Expenses</w:t>
            </w:r>
          </w:p>
        </w:tc>
        <w:tc>
          <w:tcPr>
            <w:tcW w:w="126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23.30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25.43</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25.43</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25.43</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A&amp;G Expenses</w:t>
            </w:r>
          </w:p>
        </w:tc>
        <w:tc>
          <w:tcPr>
            <w:tcW w:w="126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16.70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11.19</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11.19</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11.19</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Gross Interest on Long Term Loans</w:t>
            </w:r>
          </w:p>
        </w:tc>
        <w:tc>
          <w:tcPr>
            <w:tcW w:w="126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13.48</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11.21</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1.65</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1.60</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Finance Charges</w:t>
            </w:r>
          </w:p>
        </w:tc>
        <w:tc>
          <w:tcPr>
            <w:tcW w:w="126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7.50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27.96</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27.96</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4.87</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Interest on Working Capital</w:t>
            </w:r>
          </w:p>
        </w:tc>
        <w:tc>
          <w:tcPr>
            <w:tcW w:w="126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11.09</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0.00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12.08</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12.30</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Discount to Consumers</w:t>
            </w:r>
          </w:p>
        </w:tc>
        <w:tc>
          <w:tcPr>
            <w:tcW w:w="126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0.00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0.00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0.00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0.00</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Depreciation</w:t>
            </w:r>
          </w:p>
        </w:tc>
        <w:tc>
          <w:tcPr>
            <w:tcW w:w="1260" w:type="dxa"/>
            <w:tcBorders>
              <w:top w:val="nil"/>
              <w:left w:val="nil"/>
              <w:bottom w:val="dotted" w:sz="4" w:space="0" w:color="auto"/>
              <w:right w:val="dotted" w:sz="4" w:space="0" w:color="auto"/>
            </w:tcBorders>
            <w:shd w:val="clear" w:color="auto" w:fill="auto"/>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21.00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16.12</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16.64</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16.65</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Prior Period Expenses</w:t>
            </w:r>
            <w:r w:rsidR="00D03317" w:rsidRPr="00B53423">
              <w:rPr>
                <w:rFonts w:cs="Calibri"/>
                <w:color w:val="000000"/>
                <w:lang w:val="en-US"/>
              </w:rPr>
              <w:t xml:space="preserve"> / (Incomes)</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0.00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1.21</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1.21</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0.00</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Other Misc Expenses</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0.00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2.80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2.80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0.00</w:t>
            </w:r>
          </w:p>
        </w:tc>
      </w:tr>
      <w:tr w:rsidR="004C74C2" w:rsidRPr="00B53423" w:rsidTr="00856959">
        <w:trPr>
          <w:trHeight w:val="26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Provision for Bad and Doubtful Debts</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0.00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7.08</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45.86</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0.00</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Gross Expenditure</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b/>
                <w:bCs/>
                <w:color w:val="000000"/>
                <w:lang w:val="en-US"/>
              </w:rPr>
            </w:pPr>
            <w:r w:rsidRPr="00B53423">
              <w:rPr>
                <w:rFonts w:asciiTheme="minorHAnsi" w:hAnsiTheme="minorHAnsi" w:cstheme="minorHAnsi"/>
                <w:b/>
                <w:bCs/>
                <w:color w:val="000000"/>
              </w:rPr>
              <w:t>1416.37</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b/>
                <w:bCs/>
                <w:color w:val="000000"/>
                <w:lang w:val="en-US"/>
              </w:rPr>
            </w:pPr>
            <w:r w:rsidRPr="00B53423">
              <w:rPr>
                <w:rFonts w:asciiTheme="minorHAnsi" w:hAnsiTheme="minorHAnsi" w:cstheme="minorHAnsi"/>
                <w:b/>
                <w:bCs/>
                <w:color w:val="000000"/>
              </w:rPr>
              <w:t>1408.02</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b/>
                <w:bCs/>
                <w:color w:val="000000"/>
                <w:lang w:val="en-US"/>
              </w:rPr>
            </w:pPr>
            <w:r w:rsidRPr="00B53423">
              <w:rPr>
                <w:rFonts w:asciiTheme="minorHAnsi" w:hAnsiTheme="minorHAnsi" w:cstheme="minorHAnsi"/>
                <w:b/>
                <w:bCs/>
                <w:color w:val="000000"/>
              </w:rPr>
              <w:t>1428.80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b/>
                <w:bCs/>
                <w:color w:val="000000"/>
                <w:lang w:val="en-US"/>
              </w:rPr>
            </w:pPr>
            <w:r w:rsidRPr="00B53423">
              <w:rPr>
                <w:rFonts w:asciiTheme="minorHAnsi" w:hAnsiTheme="minorHAnsi" w:cstheme="minorHAnsi"/>
                <w:b/>
                <w:bCs/>
                <w:color w:val="000000"/>
              </w:rPr>
              <w:t>1302.91</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Employee Capitalisation</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color w:val="000000"/>
                <w:lang w:val="en-US"/>
              </w:rPr>
            </w:pPr>
            <w:r w:rsidRPr="00B53423">
              <w:rPr>
                <w:rFonts w:asciiTheme="minorHAnsi" w:hAnsiTheme="minorHAnsi" w:cstheme="minorHAnsi"/>
                <w:color w:val="000000"/>
              </w:rPr>
              <w:t>15.48</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color w:val="000000"/>
                <w:lang w:val="en-US"/>
              </w:rPr>
            </w:pPr>
            <w:r w:rsidRPr="00B53423">
              <w:rPr>
                <w:rFonts w:asciiTheme="minorHAnsi" w:hAnsiTheme="minorHAnsi" w:cstheme="minorHAnsi"/>
                <w:color w:val="000000"/>
              </w:rPr>
              <w:t>1.33</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color w:val="000000"/>
                <w:lang w:val="en-US"/>
              </w:rPr>
            </w:pPr>
            <w:r w:rsidRPr="00B53423">
              <w:rPr>
                <w:rFonts w:asciiTheme="minorHAnsi" w:hAnsiTheme="minorHAnsi" w:cstheme="minorHAnsi"/>
                <w:color w:val="000000"/>
              </w:rPr>
              <w:t>1.33</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color w:val="000000"/>
                <w:lang w:val="en-US"/>
              </w:rPr>
            </w:pPr>
            <w:r w:rsidRPr="00B53423">
              <w:rPr>
                <w:rFonts w:asciiTheme="minorHAnsi" w:hAnsiTheme="minorHAnsi" w:cstheme="minorHAnsi"/>
                <w:color w:val="000000"/>
              </w:rPr>
              <w:t>1.33</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A&amp;G Capitalisation</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color w:val="000000"/>
                <w:lang w:val="en-US"/>
              </w:rPr>
            </w:pPr>
            <w:r w:rsidRPr="00B53423">
              <w:rPr>
                <w:rFonts w:asciiTheme="minorHAnsi" w:hAnsiTheme="minorHAnsi" w:cstheme="minorHAnsi"/>
                <w:color w:val="000000"/>
              </w:rPr>
              <w:t>2.50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color w:val="000000"/>
                <w:lang w:val="en-US"/>
              </w:rPr>
            </w:pPr>
            <w:r w:rsidRPr="00B53423">
              <w:rPr>
                <w:rFonts w:asciiTheme="minorHAnsi" w:hAnsiTheme="minorHAnsi" w:cstheme="minorHAnsi"/>
                <w:color w:val="000000"/>
              </w:rPr>
              <w:t>0.01</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color w:val="000000"/>
                <w:lang w:val="en-US"/>
              </w:rPr>
            </w:pPr>
            <w:r w:rsidRPr="00B53423">
              <w:rPr>
                <w:rFonts w:asciiTheme="minorHAnsi" w:hAnsiTheme="minorHAnsi" w:cstheme="minorHAnsi"/>
                <w:color w:val="000000"/>
              </w:rPr>
              <w:t>0.01</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color w:val="000000"/>
                <w:lang w:val="en-US"/>
              </w:rPr>
            </w:pPr>
            <w:r w:rsidRPr="00B53423">
              <w:rPr>
                <w:rFonts w:asciiTheme="minorHAnsi" w:hAnsiTheme="minorHAnsi" w:cstheme="minorHAnsi"/>
                <w:color w:val="000000"/>
              </w:rPr>
              <w:t>0.01</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Interest Capitalisation</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color w:val="000000"/>
                <w:lang w:val="en-US"/>
              </w:rPr>
            </w:pPr>
            <w:r w:rsidRPr="00B53423">
              <w:rPr>
                <w:rFonts w:asciiTheme="minorHAnsi" w:hAnsiTheme="minorHAnsi" w:cstheme="minorHAnsi"/>
                <w:color w:val="000000"/>
              </w:rPr>
              <w:t>0.68</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color w:val="000000"/>
                <w:lang w:val="en-US"/>
              </w:rPr>
            </w:pPr>
            <w:r w:rsidRPr="00B53423">
              <w:rPr>
                <w:rFonts w:asciiTheme="minorHAnsi" w:hAnsiTheme="minorHAnsi" w:cstheme="minorHAnsi"/>
                <w:color w:val="000000"/>
              </w:rPr>
              <w:t>0.00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color w:val="000000"/>
                <w:lang w:val="en-US"/>
              </w:rPr>
            </w:pPr>
            <w:r w:rsidRPr="00B53423">
              <w:rPr>
                <w:rFonts w:asciiTheme="minorHAnsi" w:hAnsiTheme="minorHAnsi" w:cstheme="minorHAnsi"/>
                <w:color w:val="000000"/>
              </w:rPr>
              <w:t>0.00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color w:val="000000"/>
                <w:lang w:val="en-US"/>
              </w:rPr>
            </w:pPr>
            <w:r w:rsidRPr="00B53423">
              <w:rPr>
                <w:rFonts w:asciiTheme="minorHAnsi" w:hAnsiTheme="minorHAnsi" w:cstheme="minorHAnsi"/>
                <w:color w:val="000000"/>
              </w:rPr>
              <w:t>0.00</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Total Capitalisation</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b/>
                <w:bCs/>
                <w:color w:val="000000"/>
                <w:lang w:val="en-US"/>
              </w:rPr>
            </w:pPr>
            <w:r w:rsidRPr="00B53423">
              <w:rPr>
                <w:rFonts w:asciiTheme="minorHAnsi" w:hAnsiTheme="minorHAnsi" w:cstheme="minorHAnsi"/>
                <w:b/>
                <w:bCs/>
                <w:color w:val="000000"/>
              </w:rPr>
              <w:t>18.66</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b/>
                <w:bCs/>
                <w:color w:val="000000"/>
                <w:lang w:val="en-US"/>
              </w:rPr>
            </w:pPr>
            <w:r w:rsidRPr="00B53423">
              <w:rPr>
                <w:rFonts w:asciiTheme="minorHAnsi" w:hAnsiTheme="minorHAnsi" w:cstheme="minorHAnsi"/>
                <w:b/>
                <w:bCs/>
                <w:color w:val="000000"/>
              </w:rPr>
              <w:t>1.34</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b/>
                <w:bCs/>
                <w:color w:val="000000"/>
                <w:lang w:val="en-US"/>
              </w:rPr>
            </w:pPr>
            <w:r w:rsidRPr="00B53423">
              <w:rPr>
                <w:rFonts w:asciiTheme="minorHAnsi" w:hAnsiTheme="minorHAnsi" w:cstheme="minorHAnsi"/>
                <w:b/>
                <w:bCs/>
                <w:color w:val="000000"/>
              </w:rPr>
              <w:t>1.34</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b/>
                <w:bCs/>
                <w:color w:val="000000"/>
                <w:lang w:val="en-US"/>
              </w:rPr>
            </w:pPr>
            <w:r w:rsidRPr="00B53423">
              <w:rPr>
                <w:rFonts w:asciiTheme="minorHAnsi" w:hAnsiTheme="minorHAnsi" w:cstheme="minorHAnsi"/>
                <w:b/>
                <w:bCs/>
                <w:color w:val="000000"/>
              </w:rPr>
              <w:t>1.34</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Expenditure</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b/>
                <w:bCs/>
                <w:color w:val="000000"/>
                <w:lang w:val="en-US"/>
              </w:rPr>
            </w:pPr>
            <w:r w:rsidRPr="00B53423">
              <w:rPr>
                <w:rFonts w:asciiTheme="minorHAnsi" w:hAnsiTheme="minorHAnsi" w:cstheme="minorHAnsi"/>
                <w:b/>
                <w:bCs/>
                <w:color w:val="000000"/>
              </w:rPr>
              <w:t>1397.71</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b/>
                <w:bCs/>
                <w:color w:val="000000"/>
                <w:lang w:val="en-US"/>
              </w:rPr>
            </w:pPr>
            <w:r w:rsidRPr="00B53423">
              <w:rPr>
                <w:rFonts w:asciiTheme="minorHAnsi" w:hAnsiTheme="minorHAnsi" w:cstheme="minorHAnsi"/>
                <w:b/>
                <w:bCs/>
                <w:color w:val="000000"/>
              </w:rPr>
              <w:t>1406.68</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b/>
                <w:bCs/>
                <w:color w:val="000000"/>
                <w:lang w:val="en-US"/>
              </w:rPr>
            </w:pPr>
            <w:r w:rsidRPr="00B53423">
              <w:rPr>
                <w:rFonts w:asciiTheme="minorHAnsi" w:hAnsiTheme="minorHAnsi" w:cstheme="minorHAnsi"/>
                <w:b/>
                <w:bCs/>
                <w:color w:val="000000"/>
              </w:rPr>
              <w:t>1427.46</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b/>
                <w:bCs/>
                <w:color w:val="000000"/>
                <w:lang w:val="en-US"/>
              </w:rPr>
            </w:pPr>
            <w:r w:rsidRPr="00B53423">
              <w:rPr>
                <w:rFonts w:asciiTheme="minorHAnsi" w:hAnsiTheme="minorHAnsi" w:cstheme="minorHAnsi"/>
                <w:b/>
                <w:bCs/>
                <w:color w:val="000000"/>
              </w:rPr>
              <w:t>1301.57</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Add: Return on Equity</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0.00</w:t>
            </w:r>
            <w:r w:rsidR="004C74C2" w:rsidRPr="00B53423">
              <w:rPr>
                <w:rFonts w:asciiTheme="minorHAnsi" w:hAnsiTheme="minorHAnsi" w:cstheme="minorHAnsi"/>
              </w:rPr>
              <w:t> </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0.00</w:t>
            </w:r>
            <w:r w:rsidR="004C74C2" w:rsidRPr="00B53423">
              <w:rPr>
                <w:rFonts w:asciiTheme="minorHAnsi" w:hAnsiTheme="minorHAnsi" w:cstheme="minorHAnsi"/>
              </w:rPr>
              <w:t> </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0.00</w:t>
            </w:r>
            <w:r w:rsidR="004C74C2" w:rsidRPr="00B53423">
              <w:rPr>
                <w:rFonts w:asciiTheme="minorHAnsi" w:hAnsiTheme="minorHAnsi" w:cstheme="minorHAnsi"/>
              </w:rPr>
              <w:t> </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2B3D6B"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0.00</w:t>
            </w:r>
            <w:r w:rsidR="004C74C2" w:rsidRPr="00B53423">
              <w:rPr>
                <w:rFonts w:asciiTheme="minorHAnsi" w:hAnsiTheme="minorHAnsi" w:cstheme="minorHAnsi"/>
              </w:rPr>
              <w:t> </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Less: Non-tariff Incomes</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7.00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6.24</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6.24</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6.24</w:t>
            </w:r>
          </w:p>
        </w:tc>
      </w:tr>
      <w:tr w:rsidR="004C74C2" w:rsidRPr="00B53423" w:rsidTr="00856959">
        <w:trPr>
          <w:trHeight w:val="6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Add: Efficiency Gain</w:t>
            </w:r>
            <w:r w:rsidR="000C4812" w:rsidRPr="00B53423">
              <w:rPr>
                <w:rFonts w:cs="Calibri"/>
                <w:color w:val="000000"/>
                <w:lang w:val="en-US"/>
              </w:rPr>
              <w:t>s</w:t>
            </w:r>
            <w:r w:rsidRPr="00B53423">
              <w:rPr>
                <w:rFonts w:cs="Calibri"/>
                <w:color w:val="000000"/>
                <w:lang w:val="en-US"/>
              </w:rPr>
              <w:t xml:space="preserve"> </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 </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 </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1.50</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13.55</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Annual Revenue Requirement</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b/>
                <w:bCs/>
                <w:color w:val="000000"/>
                <w:lang w:val="en-US"/>
              </w:rPr>
            </w:pPr>
            <w:r w:rsidRPr="00B53423">
              <w:rPr>
                <w:rFonts w:asciiTheme="minorHAnsi" w:hAnsiTheme="minorHAnsi" w:cstheme="minorHAnsi"/>
                <w:b/>
                <w:bCs/>
                <w:color w:val="000000"/>
              </w:rPr>
              <w:t>1390.71</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b/>
                <w:bCs/>
                <w:color w:val="000000"/>
                <w:lang w:val="en-US"/>
              </w:rPr>
            </w:pPr>
            <w:r w:rsidRPr="00B53423">
              <w:rPr>
                <w:rFonts w:asciiTheme="minorHAnsi" w:hAnsiTheme="minorHAnsi" w:cstheme="minorHAnsi"/>
                <w:b/>
                <w:bCs/>
                <w:color w:val="000000"/>
              </w:rPr>
              <w:t>1400.43</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b/>
                <w:bCs/>
                <w:color w:val="000000"/>
                <w:lang w:val="en-US"/>
              </w:rPr>
            </w:pPr>
            <w:r w:rsidRPr="00B53423">
              <w:rPr>
                <w:rFonts w:asciiTheme="minorHAnsi" w:hAnsiTheme="minorHAnsi" w:cstheme="minorHAnsi"/>
                <w:b/>
                <w:bCs/>
                <w:color w:val="000000"/>
              </w:rPr>
              <w:t>1421.22</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b/>
                <w:bCs/>
                <w:color w:val="000000"/>
                <w:lang w:val="en-US"/>
              </w:rPr>
            </w:pPr>
            <w:r w:rsidRPr="00B53423">
              <w:rPr>
                <w:rFonts w:asciiTheme="minorHAnsi" w:hAnsiTheme="minorHAnsi" w:cstheme="minorHAnsi"/>
                <w:b/>
                <w:bCs/>
                <w:color w:val="000000"/>
              </w:rPr>
              <w:t>1308.87</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Revenue from Tariff incl DPS</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lang w:val="en-US"/>
              </w:rPr>
            </w:pPr>
            <w:r w:rsidRPr="00B53423">
              <w:rPr>
                <w:rFonts w:asciiTheme="minorHAnsi" w:hAnsiTheme="minorHAnsi" w:cstheme="minorHAnsi"/>
              </w:rPr>
              <w:t>937.00</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lang w:val="en-US"/>
              </w:rPr>
            </w:pPr>
            <w:r w:rsidRPr="00B53423">
              <w:rPr>
                <w:rFonts w:asciiTheme="minorHAnsi" w:hAnsiTheme="minorHAnsi" w:cstheme="minorHAnsi"/>
              </w:rPr>
              <w:t>1016.76</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lang w:val="en-US"/>
              </w:rPr>
            </w:pPr>
            <w:r w:rsidRPr="00B53423">
              <w:rPr>
                <w:rFonts w:asciiTheme="minorHAnsi" w:hAnsiTheme="minorHAnsi" w:cstheme="minorHAnsi"/>
              </w:rPr>
              <w:t>1016.76</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lang w:val="en-US"/>
              </w:rPr>
            </w:pPr>
            <w:r w:rsidRPr="00B53423">
              <w:rPr>
                <w:rFonts w:asciiTheme="minorHAnsi" w:hAnsiTheme="minorHAnsi" w:cstheme="minorHAnsi"/>
              </w:rPr>
              <w:t>1016.76</w:t>
            </w:r>
          </w:p>
        </w:tc>
      </w:tr>
      <w:tr w:rsidR="004C74C2" w:rsidRPr="00B53423" w:rsidTr="00856959">
        <w:trPr>
          <w:trHeight w:val="300"/>
        </w:trPr>
        <w:tc>
          <w:tcPr>
            <w:tcW w:w="3785" w:type="dxa"/>
            <w:tcBorders>
              <w:top w:val="nil"/>
              <w:left w:val="dotted" w:sz="4" w:space="0" w:color="auto"/>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jc w:val="left"/>
              <w:rPr>
                <w:rFonts w:cs="Calibri"/>
                <w:b/>
                <w:bCs/>
                <w:color w:val="000000"/>
                <w:lang w:val="en-US"/>
              </w:rPr>
            </w:pPr>
            <w:r w:rsidRPr="00B53423">
              <w:rPr>
                <w:rFonts w:cs="Calibri"/>
                <w:b/>
                <w:bCs/>
                <w:color w:val="000000"/>
                <w:lang w:val="en-US"/>
              </w:rPr>
              <w:t>Net Revenue Gap</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134"/>
              <w:jc w:val="right"/>
              <w:rPr>
                <w:rFonts w:asciiTheme="minorHAnsi" w:hAnsiTheme="minorHAnsi" w:cstheme="minorHAnsi"/>
                <w:b/>
                <w:bCs/>
                <w:color w:val="000000"/>
                <w:lang w:val="en-US"/>
              </w:rPr>
            </w:pPr>
            <w:r w:rsidRPr="00B53423">
              <w:rPr>
                <w:rFonts w:asciiTheme="minorHAnsi" w:hAnsiTheme="minorHAnsi" w:cstheme="minorHAnsi"/>
                <w:b/>
                <w:bCs/>
                <w:color w:val="000000"/>
              </w:rPr>
              <w:t>453.71</w:t>
            </w:r>
          </w:p>
        </w:tc>
        <w:tc>
          <w:tcPr>
            <w:tcW w:w="144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tabs>
                <w:tab w:val="left" w:pos="896"/>
              </w:tabs>
              <w:spacing w:before="0" w:line="240" w:lineRule="auto"/>
              <w:ind w:right="252"/>
              <w:jc w:val="right"/>
              <w:rPr>
                <w:rFonts w:asciiTheme="minorHAnsi" w:hAnsiTheme="minorHAnsi" w:cstheme="minorHAnsi"/>
                <w:b/>
                <w:bCs/>
                <w:color w:val="000000"/>
                <w:lang w:val="en-US"/>
              </w:rPr>
            </w:pPr>
            <w:r w:rsidRPr="00B53423">
              <w:rPr>
                <w:rFonts w:asciiTheme="minorHAnsi" w:hAnsiTheme="minorHAnsi" w:cstheme="minorHAnsi"/>
                <w:b/>
                <w:bCs/>
                <w:color w:val="000000"/>
              </w:rPr>
              <w:t>383.67</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2"/>
              <w:jc w:val="right"/>
              <w:rPr>
                <w:rFonts w:asciiTheme="minorHAnsi" w:hAnsiTheme="minorHAnsi" w:cstheme="minorHAnsi"/>
                <w:b/>
                <w:bCs/>
                <w:color w:val="000000"/>
                <w:lang w:val="en-US"/>
              </w:rPr>
            </w:pPr>
            <w:r w:rsidRPr="00B53423">
              <w:rPr>
                <w:rFonts w:asciiTheme="minorHAnsi" w:hAnsiTheme="minorHAnsi" w:cstheme="minorHAnsi"/>
                <w:b/>
                <w:bCs/>
                <w:color w:val="000000"/>
              </w:rPr>
              <w:t>404.46</w:t>
            </w:r>
          </w:p>
        </w:tc>
        <w:tc>
          <w:tcPr>
            <w:tcW w:w="1260" w:type="dxa"/>
            <w:tcBorders>
              <w:top w:val="nil"/>
              <w:left w:val="nil"/>
              <w:bottom w:val="dotted" w:sz="4" w:space="0" w:color="auto"/>
              <w:right w:val="dotted" w:sz="4" w:space="0" w:color="auto"/>
            </w:tcBorders>
            <w:shd w:val="clear" w:color="000000" w:fill="FFFFFF"/>
            <w:vAlign w:val="center"/>
            <w:hideMark/>
          </w:tcPr>
          <w:p w:rsidR="004C74C2" w:rsidRPr="00B53423" w:rsidRDefault="004C74C2" w:rsidP="0015232B">
            <w:pPr>
              <w:spacing w:before="0" w:line="240" w:lineRule="auto"/>
              <w:ind w:right="77"/>
              <w:jc w:val="right"/>
              <w:rPr>
                <w:rFonts w:asciiTheme="minorHAnsi" w:hAnsiTheme="minorHAnsi" w:cstheme="minorHAnsi"/>
                <w:b/>
                <w:bCs/>
                <w:color w:val="000000"/>
                <w:lang w:val="en-US"/>
              </w:rPr>
            </w:pPr>
            <w:r w:rsidRPr="00B53423">
              <w:rPr>
                <w:rFonts w:asciiTheme="minorHAnsi" w:hAnsiTheme="minorHAnsi" w:cstheme="minorHAnsi"/>
                <w:b/>
                <w:bCs/>
                <w:color w:val="000000"/>
              </w:rPr>
              <w:t>292.11</w:t>
            </w:r>
          </w:p>
        </w:tc>
      </w:tr>
    </w:tbl>
    <w:p w:rsidR="004C74C2" w:rsidRPr="00B53423" w:rsidRDefault="004C74C2" w:rsidP="0015232B">
      <w:pPr>
        <w:pStyle w:val="Heading3"/>
        <w:keepNext w:val="0"/>
        <w:numPr>
          <w:ilvl w:val="0"/>
          <w:numId w:val="0"/>
        </w:numPr>
        <w:rPr>
          <w:rFonts w:ascii="Arial" w:hAnsi="Arial" w:cs="Arial"/>
          <w:i/>
          <w:iCs/>
          <w:sz w:val="20"/>
          <w:szCs w:val="20"/>
        </w:rPr>
      </w:pPr>
      <w:r w:rsidRPr="00B53423">
        <w:rPr>
          <w:rFonts w:ascii="Arial" w:hAnsi="Arial" w:cs="Arial"/>
          <w:i/>
          <w:iCs/>
          <w:sz w:val="20"/>
          <w:szCs w:val="20"/>
        </w:rPr>
        <w:t># Apportionment of O&amp;M Expenses of UPPCL has been allowed while computing BST</w:t>
      </w:r>
    </w:p>
    <w:p w:rsidR="004C74C2" w:rsidRPr="00B53423" w:rsidRDefault="004C74C2" w:rsidP="0015232B">
      <w:pPr>
        <w:pStyle w:val="Heading3"/>
        <w:keepNext w:val="0"/>
        <w:numPr>
          <w:ilvl w:val="0"/>
          <w:numId w:val="0"/>
        </w:numPr>
      </w:pPr>
    </w:p>
    <w:p w:rsidR="004C74C2" w:rsidRPr="00B53423" w:rsidRDefault="004C74C2" w:rsidP="0015232B">
      <w:pPr>
        <w:pStyle w:val="Heading3"/>
        <w:keepNext w:val="0"/>
        <w:ind w:hanging="1080"/>
      </w:pPr>
      <w:r w:rsidRPr="00B53423">
        <w:t>The Petitioner requested the Commission to consider the revenue side True-up and expense side True-up as per the aforementioned sections wherein the net revenue gap has been computed at Rs. 402.96 Crore before considering any efficiency gains. The Petitioner further submitted that it is also entitled for efficiency gains of Rs. 1.50 Crore; thereby the net entitlement under the True-up for FY 2011-12 is Rs. 404.46 Crore.</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However, as observed from the above Table against the gap of Rs. 404.46 Crore claimed by the Petitioner for truing up of FY 2011-12, the Commission has worked out the gap of Rs. 292.11 Crore while carrying out the Truing-up on the basis of the Audited Accounts.</w:t>
      </w:r>
    </w:p>
    <w:p w:rsidR="004C74C2" w:rsidRPr="00B53423" w:rsidRDefault="004C74C2" w:rsidP="0015232B"/>
    <w:p w:rsidR="004C74C2" w:rsidRPr="00B53423" w:rsidRDefault="004C74C2" w:rsidP="0015232B">
      <w:pPr>
        <w:spacing w:before="0" w:after="200"/>
        <w:jc w:val="left"/>
        <w:rPr>
          <w:rFonts w:cs="Arial"/>
          <w:b/>
          <w:bCs/>
          <w:color w:val="333399"/>
          <w:kern w:val="32"/>
          <w:szCs w:val="32"/>
        </w:rPr>
      </w:pPr>
      <w:bookmarkStart w:id="562" w:name="_Toc356913012"/>
      <w:r w:rsidRPr="00B53423">
        <w:br w:type="page"/>
      </w:r>
    </w:p>
    <w:p w:rsidR="004C74C2" w:rsidRPr="00B53423" w:rsidRDefault="003A6B3B" w:rsidP="0015232B">
      <w:pPr>
        <w:pStyle w:val="Heading1"/>
        <w:keepNext w:val="0"/>
        <w:numPr>
          <w:ilvl w:val="0"/>
          <w:numId w:val="1"/>
        </w:numPr>
        <w:ind w:left="720" w:hanging="1080"/>
        <w:rPr>
          <w:color w:val="auto"/>
        </w:rPr>
      </w:pPr>
      <w:bookmarkStart w:id="563" w:name="_Toc399626215"/>
      <w:r w:rsidRPr="00B53423">
        <w:rPr>
          <w:color w:val="auto"/>
        </w:rPr>
        <w:t xml:space="preserve">YEAR WISE REVENUE GAPS / (SURPLUS) </w:t>
      </w:r>
      <w:bookmarkEnd w:id="562"/>
      <w:r w:rsidRPr="00B53423">
        <w:rPr>
          <w:color w:val="auto"/>
        </w:rPr>
        <w:t>AND CARRYING COST</w:t>
      </w:r>
      <w:bookmarkEnd w:id="563"/>
    </w:p>
    <w:p w:rsidR="004C74C2" w:rsidRPr="00B53423" w:rsidRDefault="004C74C2" w:rsidP="0015232B">
      <w:pPr>
        <w:pStyle w:val="Heading2"/>
        <w:keepNext w:val="0"/>
        <w:numPr>
          <w:ilvl w:val="0"/>
          <w:numId w:val="0"/>
        </w:numPr>
        <w:ind w:left="576"/>
      </w:pPr>
    </w:p>
    <w:p w:rsidR="004C74C2" w:rsidRPr="00B53423" w:rsidRDefault="004C74C2" w:rsidP="0015232B">
      <w:pPr>
        <w:pStyle w:val="Heading2"/>
        <w:keepNext w:val="0"/>
        <w:ind w:left="720" w:hanging="1080"/>
      </w:pPr>
      <w:bookmarkStart w:id="564" w:name="_Toc399626216"/>
      <w:r w:rsidRPr="00B53423">
        <w:t>APPROVED REVENUE GAP / (SURPLUS)</w:t>
      </w:r>
      <w:bookmarkEnd w:id="564"/>
    </w:p>
    <w:p w:rsidR="004C74C2" w:rsidRPr="00B53423" w:rsidRDefault="004C74C2" w:rsidP="0015232B">
      <w:pPr>
        <w:pStyle w:val="Heading2"/>
        <w:keepNext w:val="0"/>
        <w:numPr>
          <w:ilvl w:val="0"/>
          <w:numId w:val="0"/>
        </w:numPr>
        <w:ind w:left="720"/>
      </w:pPr>
    </w:p>
    <w:p w:rsidR="004C74C2" w:rsidRPr="00B53423" w:rsidRDefault="004C74C2" w:rsidP="0015232B">
      <w:pPr>
        <w:pStyle w:val="Heading3"/>
        <w:keepNext w:val="0"/>
        <w:ind w:hanging="1080"/>
      </w:pPr>
      <w:r w:rsidRPr="00B53423">
        <w:t>The Commission has detailed the Truing-up exercise of KESCO in the aforementioned Sections. The overall revenue gaps / (surplus) of the Petitioner  over the period FY 2008-09 to FY 2011-12 combined together is depicted in the Table below:</w:t>
      </w:r>
    </w:p>
    <w:p w:rsidR="004C74C2" w:rsidRPr="00B53423" w:rsidRDefault="004C74C2" w:rsidP="0015232B">
      <w:pPr>
        <w:pStyle w:val="Heading3"/>
        <w:keepNext w:val="0"/>
        <w:numPr>
          <w:ilvl w:val="0"/>
          <w:numId w:val="0"/>
        </w:numPr>
        <w:ind w:left="720"/>
      </w:pPr>
    </w:p>
    <w:p w:rsidR="004C74C2" w:rsidRPr="00B53423" w:rsidRDefault="004C74C2" w:rsidP="0015232B">
      <w:pPr>
        <w:pStyle w:val="Caption"/>
        <w:spacing w:after="0" w:line="276" w:lineRule="auto"/>
        <w:jc w:val="center"/>
        <w:rPr>
          <w:rFonts w:asciiTheme="minorHAnsi" w:hAnsiTheme="minorHAnsi" w:cstheme="minorHAnsi"/>
          <w:szCs w:val="24"/>
        </w:rPr>
      </w:pPr>
      <w:bookmarkStart w:id="565" w:name="_Toc356913211"/>
      <w:bookmarkStart w:id="566" w:name="_Toc399626405"/>
      <w:r w:rsidRPr="00B53423">
        <w:rPr>
          <w:rFonts w:asciiTheme="minorHAnsi" w:hAnsiTheme="minorHAnsi" w:cstheme="minorHAnsi"/>
          <w:szCs w:val="24"/>
        </w:rPr>
        <w:t xml:space="preserve">Table </w:t>
      </w:r>
      <w:r w:rsidR="005D68E7" w:rsidRPr="00B53423">
        <w:rPr>
          <w:rFonts w:asciiTheme="minorHAnsi" w:hAnsiTheme="minorHAnsi" w:cstheme="minorHAnsi"/>
          <w:szCs w:val="24"/>
        </w:rPr>
        <w:fldChar w:fldCharType="begin"/>
      </w:r>
      <w:r w:rsidRPr="00B53423">
        <w:rPr>
          <w:rFonts w:asciiTheme="minorHAnsi" w:hAnsiTheme="minorHAnsi" w:cstheme="minorHAnsi"/>
          <w:szCs w:val="24"/>
        </w:rPr>
        <w:instrText xml:space="preserve"> STYLEREF 1 \s </w:instrText>
      </w:r>
      <w:r w:rsidR="005D68E7" w:rsidRPr="00B53423">
        <w:rPr>
          <w:rFonts w:asciiTheme="minorHAnsi" w:hAnsiTheme="minorHAnsi" w:cstheme="minorHAnsi"/>
          <w:szCs w:val="24"/>
        </w:rPr>
        <w:fldChar w:fldCharType="separate"/>
      </w:r>
      <w:r w:rsidR="00847C1B">
        <w:rPr>
          <w:rFonts w:asciiTheme="minorHAnsi" w:hAnsiTheme="minorHAnsi" w:cstheme="minorHAnsi"/>
          <w:noProof/>
          <w:szCs w:val="24"/>
        </w:rPr>
        <w:t>8</w:t>
      </w:r>
      <w:r w:rsidR="005D68E7" w:rsidRPr="00B53423">
        <w:rPr>
          <w:rFonts w:asciiTheme="minorHAnsi" w:hAnsiTheme="minorHAnsi" w:cstheme="minorHAnsi"/>
          <w:szCs w:val="24"/>
        </w:rPr>
        <w:fldChar w:fldCharType="end"/>
      </w:r>
      <w:r w:rsidRPr="00B53423">
        <w:rPr>
          <w:rFonts w:asciiTheme="minorHAnsi" w:hAnsiTheme="minorHAnsi" w:cstheme="minorHAnsi"/>
          <w:szCs w:val="24"/>
        </w:rPr>
        <w:noBreakHyphen/>
      </w:r>
      <w:r w:rsidR="005D68E7" w:rsidRPr="00B53423">
        <w:rPr>
          <w:rFonts w:asciiTheme="minorHAnsi" w:hAnsiTheme="minorHAnsi" w:cstheme="minorHAnsi"/>
          <w:szCs w:val="24"/>
        </w:rPr>
        <w:fldChar w:fldCharType="begin"/>
      </w:r>
      <w:r w:rsidRPr="00B53423">
        <w:rPr>
          <w:rFonts w:asciiTheme="minorHAnsi" w:hAnsiTheme="minorHAnsi" w:cstheme="minorHAnsi"/>
          <w:szCs w:val="24"/>
        </w:rPr>
        <w:instrText xml:space="preserve"> SEQ Table \* ARABIC \s 1 </w:instrText>
      </w:r>
      <w:r w:rsidR="005D68E7" w:rsidRPr="00B53423">
        <w:rPr>
          <w:rFonts w:asciiTheme="minorHAnsi" w:hAnsiTheme="minorHAnsi" w:cstheme="minorHAnsi"/>
          <w:szCs w:val="24"/>
        </w:rPr>
        <w:fldChar w:fldCharType="separate"/>
      </w:r>
      <w:r w:rsidR="00847C1B">
        <w:rPr>
          <w:rFonts w:asciiTheme="minorHAnsi" w:hAnsiTheme="minorHAnsi" w:cstheme="minorHAnsi"/>
          <w:noProof/>
          <w:szCs w:val="24"/>
        </w:rPr>
        <w:t>1</w:t>
      </w:r>
      <w:r w:rsidR="005D68E7" w:rsidRPr="00B53423">
        <w:rPr>
          <w:rFonts w:asciiTheme="minorHAnsi" w:hAnsiTheme="minorHAnsi" w:cstheme="minorHAnsi"/>
          <w:szCs w:val="24"/>
        </w:rPr>
        <w:fldChar w:fldCharType="end"/>
      </w:r>
      <w:r w:rsidRPr="00B53423">
        <w:rPr>
          <w:rFonts w:asciiTheme="minorHAnsi" w:hAnsiTheme="minorHAnsi" w:cstheme="minorHAnsi"/>
          <w:szCs w:val="24"/>
        </w:rPr>
        <w:t xml:space="preserve">: YEAR WISE REVENUE GAPS / (SURPLUS) </w:t>
      </w:r>
      <w:bookmarkEnd w:id="565"/>
      <w:r w:rsidRPr="00B53423">
        <w:rPr>
          <w:rFonts w:asciiTheme="minorHAnsi" w:hAnsiTheme="minorHAnsi" w:cstheme="minorHAnsi"/>
          <w:szCs w:val="24"/>
        </w:rPr>
        <w:t>(Rs. Crores)</w:t>
      </w:r>
      <w:bookmarkEnd w:id="566"/>
    </w:p>
    <w:tbl>
      <w:tblPr>
        <w:tblW w:w="5000" w:type="pct"/>
        <w:tblLook w:val="04A0"/>
      </w:tblPr>
      <w:tblGrid>
        <w:gridCol w:w="1988"/>
        <w:gridCol w:w="1711"/>
        <w:gridCol w:w="1756"/>
        <w:gridCol w:w="1715"/>
        <w:gridCol w:w="1715"/>
      </w:tblGrid>
      <w:tr w:rsidR="004C74C2" w:rsidRPr="00B53423" w:rsidTr="009268E4">
        <w:trPr>
          <w:trHeight w:val="658"/>
          <w:tblHeader/>
        </w:trPr>
        <w:tc>
          <w:tcPr>
            <w:tcW w:w="1119"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b/>
                <w:bCs/>
                <w:lang w:val="en-IN" w:eastAsia="en-IN"/>
              </w:rPr>
            </w:pPr>
            <w:r w:rsidRPr="00B53423">
              <w:rPr>
                <w:b/>
                <w:bCs/>
                <w:lang w:val="en-IN" w:eastAsia="en-IN"/>
              </w:rPr>
              <w:t>Year</w:t>
            </w:r>
          </w:p>
        </w:tc>
        <w:tc>
          <w:tcPr>
            <w:tcW w:w="963" w:type="pct"/>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b/>
                <w:bCs/>
                <w:lang w:val="en-IN" w:eastAsia="en-IN"/>
              </w:rPr>
            </w:pPr>
            <w:r w:rsidRPr="00B53423">
              <w:rPr>
                <w:b/>
                <w:bCs/>
                <w:lang w:val="en-IN" w:eastAsia="en-IN"/>
              </w:rPr>
              <w:t>Tariff Order</w:t>
            </w:r>
          </w:p>
        </w:tc>
        <w:tc>
          <w:tcPr>
            <w:tcW w:w="988" w:type="pct"/>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b/>
                <w:bCs/>
                <w:lang w:val="en-IN" w:eastAsia="en-IN"/>
              </w:rPr>
            </w:pPr>
            <w:r w:rsidRPr="00B53423">
              <w:rPr>
                <w:b/>
                <w:bCs/>
                <w:lang w:val="en-IN" w:eastAsia="en-IN"/>
              </w:rPr>
              <w:t>Actual as per Audited Accounts</w:t>
            </w:r>
          </w:p>
        </w:tc>
        <w:tc>
          <w:tcPr>
            <w:tcW w:w="965" w:type="pct"/>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b/>
                <w:bCs/>
                <w:lang w:val="en-IN" w:eastAsia="en-IN"/>
              </w:rPr>
            </w:pPr>
            <w:r w:rsidRPr="00B53423">
              <w:rPr>
                <w:b/>
                <w:bCs/>
                <w:lang w:val="en-IN" w:eastAsia="en-IN"/>
              </w:rPr>
              <w:t>True-up Petition</w:t>
            </w:r>
          </w:p>
        </w:tc>
        <w:tc>
          <w:tcPr>
            <w:tcW w:w="966" w:type="pct"/>
            <w:tcBorders>
              <w:top w:val="dotted" w:sz="4" w:space="0" w:color="auto"/>
              <w:left w:val="nil"/>
              <w:bottom w:val="dotted" w:sz="4" w:space="0" w:color="auto"/>
              <w:right w:val="dotted" w:sz="4" w:space="0" w:color="auto"/>
            </w:tcBorders>
            <w:shd w:val="clear" w:color="000000" w:fill="DBE5F1"/>
            <w:vAlign w:val="center"/>
            <w:hideMark/>
          </w:tcPr>
          <w:p w:rsidR="004C74C2" w:rsidRPr="00B53423" w:rsidRDefault="004C74C2" w:rsidP="0015232B">
            <w:pPr>
              <w:spacing w:before="0" w:line="240" w:lineRule="auto"/>
              <w:jc w:val="center"/>
              <w:rPr>
                <w:b/>
                <w:bCs/>
                <w:lang w:val="en-IN" w:eastAsia="en-IN"/>
              </w:rPr>
            </w:pPr>
            <w:r w:rsidRPr="00B53423">
              <w:rPr>
                <w:b/>
                <w:bCs/>
                <w:lang w:val="en-IN" w:eastAsia="en-IN"/>
              </w:rPr>
              <w:t>Approved</w:t>
            </w:r>
          </w:p>
        </w:tc>
      </w:tr>
      <w:tr w:rsidR="004C74C2" w:rsidRPr="00B53423" w:rsidTr="009268E4">
        <w:trPr>
          <w:trHeight w:val="300"/>
        </w:trPr>
        <w:tc>
          <w:tcPr>
            <w:tcW w:w="1119" w:type="pct"/>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rPr>
                <w:rFonts w:cs="Calibri"/>
                <w:color w:val="000000"/>
              </w:rPr>
            </w:pPr>
            <w:r w:rsidRPr="00B53423">
              <w:rPr>
                <w:rFonts w:cs="Calibri"/>
                <w:color w:val="000000"/>
              </w:rPr>
              <w:t>FY 2008-09</w:t>
            </w:r>
          </w:p>
        </w:tc>
        <w:tc>
          <w:tcPr>
            <w:tcW w:w="963"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33"/>
              <w:jc w:val="right"/>
              <w:rPr>
                <w:rFonts w:cs="Calibri"/>
                <w:color w:val="000000"/>
              </w:rPr>
            </w:pPr>
            <w:r w:rsidRPr="00B53423">
              <w:rPr>
                <w:rFonts w:cs="Calibri"/>
                <w:color w:val="000000"/>
              </w:rPr>
              <w:t xml:space="preserve"> 0.00 </w:t>
            </w:r>
          </w:p>
        </w:tc>
        <w:tc>
          <w:tcPr>
            <w:tcW w:w="988"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79"/>
              <w:jc w:val="right"/>
              <w:rPr>
                <w:rFonts w:cs="Calibri"/>
                <w:color w:val="000000"/>
              </w:rPr>
            </w:pPr>
            <w:r w:rsidRPr="00B53423">
              <w:rPr>
                <w:rFonts w:cs="Calibri"/>
                <w:color w:val="000000"/>
              </w:rPr>
              <w:t xml:space="preserve"> 81.34 </w:t>
            </w:r>
          </w:p>
        </w:tc>
        <w:tc>
          <w:tcPr>
            <w:tcW w:w="965"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84"/>
              <w:jc w:val="right"/>
              <w:rPr>
                <w:rFonts w:cs="Calibri"/>
                <w:color w:val="000000"/>
              </w:rPr>
            </w:pPr>
            <w:r w:rsidRPr="00B53423">
              <w:rPr>
                <w:rFonts w:cs="Calibri"/>
                <w:color w:val="000000"/>
              </w:rPr>
              <w:t xml:space="preserve"> 73.46 </w:t>
            </w:r>
          </w:p>
        </w:tc>
        <w:tc>
          <w:tcPr>
            <w:tcW w:w="966"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89"/>
              <w:jc w:val="right"/>
              <w:rPr>
                <w:rFonts w:cs="Calibri"/>
                <w:color w:val="000000"/>
              </w:rPr>
            </w:pPr>
            <w:r w:rsidRPr="00B53423">
              <w:rPr>
                <w:rFonts w:cs="Calibri"/>
                <w:color w:val="000000"/>
              </w:rPr>
              <w:t xml:space="preserve"> 52.38 </w:t>
            </w:r>
          </w:p>
        </w:tc>
      </w:tr>
      <w:tr w:rsidR="004C74C2" w:rsidRPr="00B53423" w:rsidTr="009268E4">
        <w:trPr>
          <w:trHeight w:val="300"/>
        </w:trPr>
        <w:tc>
          <w:tcPr>
            <w:tcW w:w="1119" w:type="pct"/>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rPr>
                <w:rFonts w:cs="Calibri"/>
                <w:color w:val="000000"/>
              </w:rPr>
            </w:pPr>
            <w:r w:rsidRPr="00B53423">
              <w:rPr>
                <w:rFonts w:cs="Calibri"/>
                <w:color w:val="000000"/>
              </w:rPr>
              <w:t>FY 2009-10</w:t>
            </w:r>
          </w:p>
        </w:tc>
        <w:tc>
          <w:tcPr>
            <w:tcW w:w="963"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33"/>
              <w:jc w:val="right"/>
              <w:rPr>
                <w:rFonts w:cs="Calibri"/>
                <w:color w:val="000000"/>
              </w:rPr>
            </w:pPr>
            <w:r w:rsidRPr="00B53423">
              <w:rPr>
                <w:rFonts w:cs="Calibri"/>
                <w:color w:val="000000"/>
              </w:rPr>
              <w:t xml:space="preserve">  (71.95)</w:t>
            </w:r>
          </w:p>
        </w:tc>
        <w:tc>
          <w:tcPr>
            <w:tcW w:w="988"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79"/>
              <w:jc w:val="right"/>
              <w:rPr>
                <w:rFonts w:cs="Calibri"/>
                <w:color w:val="000000"/>
              </w:rPr>
            </w:pPr>
            <w:r w:rsidRPr="00B53423">
              <w:rPr>
                <w:rFonts w:cs="Calibri"/>
                <w:color w:val="000000"/>
              </w:rPr>
              <w:t xml:space="preserve"> 155.08 </w:t>
            </w:r>
          </w:p>
        </w:tc>
        <w:tc>
          <w:tcPr>
            <w:tcW w:w="965"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84"/>
              <w:jc w:val="right"/>
              <w:rPr>
                <w:rFonts w:cs="Calibri"/>
                <w:color w:val="000000"/>
              </w:rPr>
            </w:pPr>
            <w:r w:rsidRPr="00B53423">
              <w:rPr>
                <w:rFonts w:cs="Calibri"/>
                <w:color w:val="000000"/>
              </w:rPr>
              <w:t xml:space="preserve">  44.30 </w:t>
            </w:r>
          </w:p>
        </w:tc>
        <w:tc>
          <w:tcPr>
            <w:tcW w:w="966"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89"/>
              <w:jc w:val="right"/>
              <w:rPr>
                <w:rFonts w:cs="Calibri"/>
                <w:color w:val="000000"/>
              </w:rPr>
            </w:pPr>
            <w:r w:rsidRPr="00B53423">
              <w:rPr>
                <w:rFonts w:cs="Calibri"/>
                <w:color w:val="000000"/>
              </w:rPr>
              <w:t xml:space="preserve"> 73.15 </w:t>
            </w:r>
          </w:p>
        </w:tc>
      </w:tr>
      <w:tr w:rsidR="004C74C2" w:rsidRPr="00B53423" w:rsidTr="009268E4">
        <w:trPr>
          <w:trHeight w:val="300"/>
        </w:trPr>
        <w:tc>
          <w:tcPr>
            <w:tcW w:w="1119" w:type="pct"/>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rPr>
                <w:rFonts w:cs="Calibri"/>
                <w:color w:val="000000"/>
              </w:rPr>
            </w:pPr>
            <w:r w:rsidRPr="00B53423">
              <w:rPr>
                <w:rFonts w:cs="Calibri"/>
                <w:color w:val="000000"/>
              </w:rPr>
              <w:t>FY 2010-11</w:t>
            </w:r>
          </w:p>
        </w:tc>
        <w:tc>
          <w:tcPr>
            <w:tcW w:w="963"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33"/>
              <w:jc w:val="right"/>
              <w:rPr>
                <w:rFonts w:cs="Calibri"/>
                <w:color w:val="000000"/>
              </w:rPr>
            </w:pPr>
            <w:r w:rsidRPr="00B53423">
              <w:rPr>
                <w:rFonts w:cs="Calibri"/>
                <w:color w:val="000000"/>
              </w:rPr>
              <w:t xml:space="preserve">   74.72 </w:t>
            </w:r>
          </w:p>
        </w:tc>
        <w:tc>
          <w:tcPr>
            <w:tcW w:w="988"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79"/>
              <w:jc w:val="right"/>
              <w:rPr>
                <w:rFonts w:cs="Calibri"/>
                <w:color w:val="000000"/>
              </w:rPr>
            </w:pPr>
            <w:r w:rsidRPr="00B53423">
              <w:rPr>
                <w:rFonts w:cs="Calibri"/>
                <w:color w:val="000000"/>
              </w:rPr>
              <w:t xml:space="preserve"> 181.77 </w:t>
            </w:r>
          </w:p>
        </w:tc>
        <w:tc>
          <w:tcPr>
            <w:tcW w:w="965"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84"/>
              <w:jc w:val="right"/>
              <w:rPr>
                <w:rFonts w:cs="Calibri"/>
                <w:color w:val="000000"/>
              </w:rPr>
            </w:pPr>
            <w:r w:rsidRPr="00B53423">
              <w:rPr>
                <w:rFonts w:cs="Calibri"/>
                <w:color w:val="000000"/>
              </w:rPr>
              <w:t xml:space="preserve"> 198.39 </w:t>
            </w:r>
          </w:p>
        </w:tc>
        <w:tc>
          <w:tcPr>
            <w:tcW w:w="966"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89"/>
              <w:jc w:val="right"/>
              <w:rPr>
                <w:rFonts w:cs="Calibri"/>
                <w:color w:val="000000"/>
              </w:rPr>
            </w:pPr>
            <w:r w:rsidRPr="00B53423">
              <w:rPr>
                <w:rFonts w:cs="Calibri"/>
                <w:color w:val="000000"/>
              </w:rPr>
              <w:t xml:space="preserve"> 160.65 </w:t>
            </w:r>
          </w:p>
        </w:tc>
      </w:tr>
      <w:tr w:rsidR="004C74C2" w:rsidRPr="00B53423" w:rsidTr="009268E4">
        <w:trPr>
          <w:trHeight w:val="300"/>
        </w:trPr>
        <w:tc>
          <w:tcPr>
            <w:tcW w:w="1119" w:type="pct"/>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rPr>
                <w:rFonts w:cs="Calibri"/>
                <w:color w:val="000000"/>
              </w:rPr>
            </w:pPr>
            <w:r w:rsidRPr="00B53423">
              <w:rPr>
                <w:rFonts w:cs="Calibri"/>
                <w:color w:val="000000"/>
              </w:rPr>
              <w:t>FY 2011-12</w:t>
            </w:r>
          </w:p>
        </w:tc>
        <w:tc>
          <w:tcPr>
            <w:tcW w:w="963"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33"/>
              <w:jc w:val="right"/>
              <w:rPr>
                <w:rFonts w:cs="Calibri"/>
                <w:color w:val="000000"/>
              </w:rPr>
            </w:pPr>
            <w:r w:rsidRPr="00B53423">
              <w:rPr>
                <w:rFonts w:cs="Calibri"/>
                <w:color w:val="000000"/>
              </w:rPr>
              <w:t xml:space="preserve">   528.43 </w:t>
            </w:r>
          </w:p>
        </w:tc>
        <w:tc>
          <w:tcPr>
            <w:tcW w:w="988"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79"/>
              <w:jc w:val="right"/>
              <w:rPr>
                <w:rFonts w:cs="Calibri"/>
                <w:color w:val="000000"/>
              </w:rPr>
            </w:pPr>
            <w:r w:rsidRPr="00B53423">
              <w:rPr>
                <w:rFonts w:cs="Calibri"/>
                <w:color w:val="000000"/>
              </w:rPr>
              <w:t xml:space="preserve"> 383.84 </w:t>
            </w:r>
          </w:p>
        </w:tc>
        <w:tc>
          <w:tcPr>
            <w:tcW w:w="965"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84"/>
              <w:jc w:val="right"/>
              <w:rPr>
                <w:rFonts w:cs="Calibri"/>
                <w:color w:val="000000"/>
              </w:rPr>
            </w:pPr>
            <w:r w:rsidRPr="00B53423">
              <w:rPr>
                <w:rFonts w:cs="Calibri"/>
                <w:color w:val="000000"/>
              </w:rPr>
              <w:t xml:space="preserve"> 404.45 </w:t>
            </w:r>
          </w:p>
        </w:tc>
        <w:tc>
          <w:tcPr>
            <w:tcW w:w="966"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89"/>
              <w:jc w:val="right"/>
              <w:rPr>
                <w:rFonts w:cs="Calibri"/>
                <w:color w:val="000000"/>
              </w:rPr>
            </w:pPr>
            <w:r w:rsidRPr="00B53423">
              <w:rPr>
                <w:rFonts w:cs="Calibri"/>
                <w:color w:val="000000"/>
              </w:rPr>
              <w:t xml:space="preserve"> 292.11 </w:t>
            </w:r>
          </w:p>
        </w:tc>
      </w:tr>
      <w:tr w:rsidR="004C74C2" w:rsidRPr="00B53423" w:rsidTr="009268E4">
        <w:trPr>
          <w:trHeight w:val="300"/>
        </w:trPr>
        <w:tc>
          <w:tcPr>
            <w:tcW w:w="1119" w:type="pct"/>
            <w:tcBorders>
              <w:top w:val="nil"/>
              <w:left w:val="dotted" w:sz="4" w:space="0" w:color="auto"/>
              <w:bottom w:val="dotted" w:sz="4" w:space="0" w:color="auto"/>
              <w:right w:val="dotted" w:sz="4" w:space="0" w:color="auto"/>
            </w:tcBorders>
            <w:shd w:val="clear" w:color="000000" w:fill="FFFFFF"/>
            <w:vAlign w:val="bottom"/>
            <w:hideMark/>
          </w:tcPr>
          <w:p w:rsidR="004C74C2" w:rsidRPr="00B53423" w:rsidRDefault="004C74C2" w:rsidP="0015232B">
            <w:pPr>
              <w:spacing w:before="0"/>
              <w:rPr>
                <w:rFonts w:cs="Calibri"/>
                <w:b/>
                <w:bCs/>
                <w:color w:val="000000"/>
              </w:rPr>
            </w:pPr>
            <w:r w:rsidRPr="00B53423">
              <w:rPr>
                <w:rFonts w:cs="Calibri"/>
                <w:b/>
                <w:bCs/>
                <w:color w:val="000000"/>
              </w:rPr>
              <w:t>Total</w:t>
            </w:r>
          </w:p>
        </w:tc>
        <w:tc>
          <w:tcPr>
            <w:tcW w:w="963"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33"/>
              <w:jc w:val="right"/>
              <w:rPr>
                <w:rFonts w:cs="Calibri"/>
                <w:b/>
                <w:bCs/>
                <w:color w:val="000000"/>
              </w:rPr>
            </w:pPr>
            <w:r w:rsidRPr="00B53423">
              <w:rPr>
                <w:rFonts w:cs="Calibri"/>
                <w:b/>
                <w:bCs/>
                <w:color w:val="000000"/>
              </w:rPr>
              <w:t>531.21</w:t>
            </w:r>
          </w:p>
        </w:tc>
        <w:tc>
          <w:tcPr>
            <w:tcW w:w="988"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79"/>
              <w:jc w:val="right"/>
              <w:rPr>
                <w:rFonts w:cs="Calibri"/>
                <w:b/>
                <w:bCs/>
                <w:color w:val="000000"/>
              </w:rPr>
            </w:pPr>
            <w:r w:rsidRPr="00B53423">
              <w:rPr>
                <w:rFonts w:cs="Calibri"/>
                <w:b/>
                <w:bCs/>
                <w:color w:val="000000"/>
              </w:rPr>
              <w:t>802.03</w:t>
            </w:r>
          </w:p>
        </w:tc>
        <w:tc>
          <w:tcPr>
            <w:tcW w:w="965"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84"/>
              <w:jc w:val="right"/>
              <w:rPr>
                <w:rFonts w:cs="Calibri"/>
                <w:b/>
                <w:bCs/>
                <w:color w:val="000000"/>
              </w:rPr>
            </w:pPr>
            <w:r w:rsidRPr="00B53423">
              <w:rPr>
                <w:rFonts w:cs="Calibri"/>
                <w:b/>
                <w:bCs/>
                <w:color w:val="000000"/>
              </w:rPr>
              <w:t>720.60</w:t>
            </w:r>
          </w:p>
        </w:tc>
        <w:tc>
          <w:tcPr>
            <w:tcW w:w="966" w:type="pct"/>
            <w:tcBorders>
              <w:top w:val="nil"/>
              <w:left w:val="nil"/>
              <w:bottom w:val="dotted" w:sz="4" w:space="0" w:color="auto"/>
              <w:right w:val="dotted" w:sz="4" w:space="0" w:color="auto"/>
            </w:tcBorders>
            <w:shd w:val="clear" w:color="000000" w:fill="FFFFFF"/>
            <w:vAlign w:val="bottom"/>
            <w:hideMark/>
          </w:tcPr>
          <w:p w:rsidR="004C74C2" w:rsidRPr="00B53423" w:rsidRDefault="004C74C2" w:rsidP="0015232B">
            <w:pPr>
              <w:spacing w:before="0"/>
              <w:ind w:right="389"/>
              <w:jc w:val="right"/>
              <w:rPr>
                <w:rFonts w:cs="Calibri"/>
                <w:b/>
                <w:bCs/>
                <w:color w:val="000000"/>
              </w:rPr>
            </w:pPr>
            <w:r w:rsidRPr="00B53423">
              <w:rPr>
                <w:rFonts w:cs="Calibri"/>
                <w:b/>
                <w:bCs/>
                <w:color w:val="000000"/>
              </w:rPr>
              <w:t>578.29</w:t>
            </w:r>
          </w:p>
        </w:tc>
      </w:tr>
    </w:tbl>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 xml:space="preserve">Thus, after final truing up of FY 2008-09 to FY 2011-12, there is a net revenue gap of Rs. 578.29, which the Petitioner is eligible to recover though Tariff.  </w:t>
      </w:r>
    </w:p>
    <w:p w:rsidR="004C74C2" w:rsidRPr="00B53423" w:rsidRDefault="004C74C2" w:rsidP="0015232B">
      <w:pPr>
        <w:spacing w:before="0" w:after="200"/>
        <w:jc w:val="left"/>
        <w:rPr>
          <w:rFonts w:cs="Arial"/>
          <w:b/>
          <w:bCs/>
          <w:color w:val="333399"/>
          <w:kern w:val="32"/>
          <w:szCs w:val="32"/>
        </w:rPr>
      </w:pPr>
      <w:bookmarkStart w:id="567" w:name="_Toc356913014"/>
    </w:p>
    <w:p w:rsidR="004C74C2" w:rsidRPr="00B53423" w:rsidRDefault="004C74C2" w:rsidP="0015232B">
      <w:pPr>
        <w:pStyle w:val="Heading2"/>
        <w:keepNext w:val="0"/>
        <w:ind w:left="720" w:hanging="1080"/>
        <w:rPr>
          <w:caps/>
        </w:rPr>
      </w:pPr>
      <w:bookmarkStart w:id="568" w:name="_Toc399626217"/>
      <w:r w:rsidRPr="00B53423">
        <w:rPr>
          <w:caps/>
        </w:rPr>
        <w:t>CARRYING COST</w:t>
      </w:r>
      <w:bookmarkEnd w:id="567"/>
      <w:bookmarkEnd w:id="568"/>
      <w:r w:rsidRPr="00B53423">
        <w:rPr>
          <w:caps/>
        </w:rPr>
        <w:t xml:space="preserve"> </w:t>
      </w:r>
    </w:p>
    <w:p w:rsidR="004C74C2" w:rsidRPr="00B53423" w:rsidRDefault="004C74C2" w:rsidP="0015232B">
      <w:pPr>
        <w:spacing w:before="0"/>
      </w:pPr>
    </w:p>
    <w:p w:rsidR="004C74C2" w:rsidRPr="00B53423" w:rsidRDefault="004C74C2" w:rsidP="0015232B">
      <w:pPr>
        <w:pStyle w:val="Heading3"/>
        <w:keepNext w:val="0"/>
        <w:ind w:hanging="1080"/>
      </w:pPr>
      <w:r w:rsidRPr="00B53423">
        <w:t xml:space="preserve">The Petitioner has submitted that it is eligible for carrying cost on the under-recovered amount upon final Truing- up; as such amounts are in the nature of deferred payments. To support its contention it has quoted the Hon’ble APTEL’s Judgment in Appeal No. 117 of 2008. </w:t>
      </w:r>
    </w:p>
    <w:p w:rsidR="004C74C2" w:rsidRPr="00B53423" w:rsidRDefault="004C74C2" w:rsidP="0015232B">
      <w:pPr>
        <w:pStyle w:val="Heading3"/>
        <w:keepNext w:val="0"/>
        <w:numPr>
          <w:ilvl w:val="0"/>
          <w:numId w:val="0"/>
        </w:numPr>
        <w:ind w:left="450"/>
      </w:pPr>
    </w:p>
    <w:p w:rsidR="004C74C2" w:rsidRPr="00B53423" w:rsidRDefault="004C74C2" w:rsidP="0015232B">
      <w:pPr>
        <w:pStyle w:val="Heading3"/>
        <w:keepNext w:val="0"/>
        <w:ind w:hanging="1080"/>
      </w:pPr>
      <w:r w:rsidRPr="00B53423">
        <w:t>The Petitioner has computed the carrying cost on the yearly under-recovered amounts based on the applicable SBI PLR rate approved in relevant Tariff Orders of the Commission.</w:t>
      </w:r>
    </w:p>
    <w:p w:rsidR="004C74C2" w:rsidRPr="00B53423" w:rsidRDefault="004C74C2" w:rsidP="0015232B">
      <w:pPr>
        <w:pStyle w:val="ListParagraph"/>
        <w:numPr>
          <w:ilvl w:val="2"/>
          <w:numId w:val="0"/>
        </w:numPr>
        <w:ind w:left="180" w:hanging="180"/>
      </w:pPr>
    </w:p>
    <w:p w:rsidR="004C74C2" w:rsidRPr="00B53423" w:rsidRDefault="004C74C2" w:rsidP="0015232B">
      <w:pPr>
        <w:pStyle w:val="Heading3"/>
        <w:keepNext w:val="0"/>
        <w:ind w:hanging="1080"/>
      </w:pPr>
      <w:r w:rsidRPr="00B53423">
        <w:t>The Petitioner submitted that considering the fact that under the normal Tariff determination exercise for the n</w:t>
      </w:r>
      <w:r w:rsidRPr="00B53423">
        <w:rPr>
          <w:vertAlign w:val="superscript"/>
        </w:rPr>
        <w:t>th</w:t>
      </w:r>
      <w:r w:rsidRPr="00B53423">
        <w:t xml:space="preserve"> year, the Commission carries out the final Truing- up requirement for (n-2</w:t>
      </w:r>
      <w:proofErr w:type="gramStart"/>
      <w:r w:rsidRPr="00B53423">
        <w:t>)</w:t>
      </w:r>
      <w:r w:rsidRPr="00B53423">
        <w:rPr>
          <w:vertAlign w:val="superscript"/>
        </w:rPr>
        <w:t>th</w:t>
      </w:r>
      <w:proofErr w:type="gramEnd"/>
      <w:r w:rsidRPr="00B53423">
        <w:t xml:space="preserve"> year and allows the impact of the same in the Tariff for the n</w:t>
      </w:r>
      <w:r w:rsidRPr="00B53423">
        <w:rPr>
          <w:vertAlign w:val="superscript"/>
        </w:rPr>
        <w:t>th</w:t>
      </w:r>
      <w:r w:rsidRPr="00B53423">
        <w:t xml:space="preserve"> year, it has adopted the same philosophy while computing the carrying cost.</w:t>
      </w:r>
      <w:r w:rsidR="00F126DD" w:rsidRPr="00B53423">
        <w:t xml:space="preserve"> </w:t>
      </w:r>
      <w:r w:rsidRPr="00B53423">
        <w:t>Accordingly, the Petitioner has sought a carrying cost of Rs. 170.17 Crore.</w:t>
      </w:r>
    </w:p>
    <w:p w:rsidR="004C74C2" w:rsidRPr="00B53423" w:rsidRDefault="004C74C2" w:rsidP="0015232B"/>
    <w:p w:rsidR="004C74C2" w:rsidRPr="00B53423" w:rsidRDefault="004C74C2" w:rsidP="0015232B">
      <w:pPr>
        <w:pStyle w:val="Heading3"/>
        <w:keepNext w:val="0"/>
        <w:ind w:hanging="1080"/>
      </w:pPr>
      <w:r w:rsidRPr="00B53423">
        <w:t>The Commission in its Order dated 21</w:t>
      </w:r>
      <w:r w:rsidRPr="00B53423">
        <w:rPr>
          <w:vertAlign w:val="superscript"/>
        </w:rPr>
        <w:t>st</w:t>
      </w:r>
      <w:r w:rsidRPr="00B53423">
        <w:t xml:space="preserve"> May, 2013 in Petition No. 809 of 2012 in the matter of Truing up for FY 2000-01 to FY 2007-08 has ruled as under:</w:t>
      </w:r>
    </w:p>
    <w:p w:rsidR="004C74C2" w:rsidRPr="00B53423" w:rsidRDefault="004C74C2" w:rsidP="0015232B">
      <w:pPr>
        <w:ind w:left="1440"/>
        <w:rPr>
          <w:i/>
        </w:rPr>
      </w:pPr>
    </w:p>
    <w:p w:rsidR="004C74C2" w:rsidRPr="00B53423" w:rsidRDefault="004C74C2" w:rsidP="0015232B">
      <w:pPr>
        <w:ind w:left="1440"/>
        <w:rPr>
          <w:i/>
        </w:rPr>
      </w:pPr>
      <w:r w:rsidRPr="00B53423">
        <w:rPr>
          <w:i/>
        </w:rPr>
        <w:t xml:space="preserve">“There has been an inordinate delay by the distribution companies in filing the True-up Petitions in spite of several directives by this Commission. The distribution companies were constrained to file such petitions only after a judicial pronouncement by the APTEL. It is fairly established that true-up should be regularly conducted and uncontrollable costs should be recovered speedily to ensure that future consumers are not burdened with past costs. The true-up being claimed in this Petition is for a period ranging from 5-12 years back. The onus of such unreasonable delay squarely falls on the Petitioner and is not due to any process of law. </w:t>
      </w:r>
    </w:p>
    <w:p w:rsidR="004C74C2" w:rsidRPr="00B53423" w:rsidRDefault="004C74C2" w:rsidP="0015232B">
      <w:pPr>
        <w:ind w:left="1440"/>
        <w:rPr>
          <w:i/>
        </w:rPr>
      </w:pPr>
      <w:r w:rsidRPr="00B53423">
        <w:rPr>
          <w:i/>
        </w:rPr>
        <w:t xml:space="preserve">The Commission appreciates that the claim of carrying cost is towards revenue gap as a result of legitimate expenditure in the true up. However issue of delayed filing of true up petitions is also pertinent to be considered. </w:t>
      </w:r>
    </w:p>
    <w:p w:rsidR="004C74C2" w:rsidRPr="00B53423" w:rsidRDefault="004C74C2" w:rsidP="0015232B">
      <w:pPr>
        <w:ind w:left="1440"/>
        <w:rPr>
          <w:i/>
        </w:rPr>
      </w:pPr>
      <w:r w:rsidRPr="00B53423">
        <w:rPr>
          <w:i/>
        </w:rPr>
        <w:t>The Commission would decide on the issue of carrying cost while approving the mechanism and time period for recovery of true up amounts as described in Section 13.”</w:t>
      </w:r>
    </w:p>
    <w:p w:rsidR="00463EEA" w:rsidRPr="00B53423" w:rsidRDefault="00463EEA" w:rsidP="0015232B">
      <w:pPr>
        <w:pStyle w:val="Heading3"/>
        <w:keepNext w:val="0"/>
        <w:numPr>
          <w:ilvl w:val="0"/>
          <w:numId w:val="0"/>
        </w:numPr>
        <w:ind w:left="720"/>
      </w:pPr>
    </w:p>
    <w:p w:rsidR="004C74C2" w:rsidRPr="00B53423" w:rsidRDefault="004C74C2" w:rsidP="0015232B">
      <w:pPr>
        <w:pStyle w:val="Heading3"/>
        <w:keepNext w:val="0"/>
        <w:ind w:hanging="1080"/>
      </w:pPr>
      <w:r w:rsidRPr="00B53423">
        <w:t>Further, relevant extract of Section 13 of the aforementioned Order is represented below:</w:t>
      </w:r>
    </w:p>
    <w:p w:rsidR="004C74C2" w:rsidRPr="00B53423" w:rsidRDefault="004C74C2" w:rsidP="0015232B">
      <w:pPr>
        <w:ind w:left="1440"/>
        <w:rPr>
          <w:i/>
        </w:rPr>
      </w:pPr>
      <w:r w:rsidRPr="00B53423">
        <w:rPr>
          <w:i/>
        </w:rPr>
        <w:t>“….The entire amount of net recoverable gap subsequent to final truing up of FY 2000-01 to 2007-08, amounting to Rs. 2,487.93 crores would be adjusted with the amount of the Aggregate Revenue Requirement of the distribution companies namely DVVNL, MVVNL, PVVNL and PuVVNL for the year 2013-14 or that for any other ensuing year or through a separate order, as may be decided by the Commission.</w:t>
      </w:r>
    </w:p>
    <w:p w:rsidR="004C74C2" w:rsidRPr="00B53423" w:rsidRDefault="004C74C2" w:rsidP="0015232B">
      <w:pPr>
        <w:ind w:left="1440"/>
        <w:rPr>
          <w:i/>
        </w:rPr>
      </w:pPr>
      <w:r w:rsidRPr="00B53423">
        <w:rPr>
          <w:i/>
        </w:rPr>
        <w:t xml:space="preserve">……... </w:t>
      </w:r>
    </w:p>
    <w:p w:rsidR="004C74C2" w:rsidRPr="00B53423" w:rsidRDefault="004C74C2" w:rsidP="0015232B">
      <w:pPr>
        <w:ind w:left="1440"/>
        <w:rPr>
          <w:i/>
        </w:rPr>
      </w:pPr>
      <w:r w:rsidRPr="00B53423">
        <w:rPr>
          <w:i/>
        </w:rPr>
        <w:t>The decision of the Commission in this regard will be given in the Tariff Order of the aforementioned distribution companies for the year 2013-14 or that for any other ensuing year or in a separate order.”</w:t>
      </w:r>
    </w:p>
    <w:p w:rsidR="004C74C2" w:rsidRPr="00B53423" w:rsidRDefault="004C74C2" w:rsidP="0015232B">
      <w:pPr>
        <w:ind w:left="720"/>
        <w:rPr>
          <w:i/>
        </w:rPr>
      </w:pPr>
    </w:p>
    <w:p w:rsidR="004C74C2" w:rsidRPr="00B53423" w:rsidRDefault="004C74C2" w:rsidP="0015232B">
      <w:pPr>
        <w:pStyle w:val="Heading3"/>
        <w:keepNext w:val="0"/>
        <w:ind w:hanging="1080"/>
      </w:pPr>
      <w:r w:rsidRPr="00B53423">
        <w:t>UPPCL and other State Distribution Licensees namely DVVNL, PuVVNL, MVVNL and PVNNL have filed an Appeal before the Hon’ble APTEL against the Commission’s decision on this matter. Since, the matter is sub-judice before the Hon’ble ATE, thus the Commission has considered the same philosophy on the issue as mentioned above. Therefore, the Commission has disallowed the Petitioner’s claim of Rs. 170.17 Crore towards carrying cost in the present Order. However, the same shall be reviewed based on the Judgment of the Hon’ble ATE in this regard.</w:t>
      </w:r>
    </w:p>
    <w:p w:rsidR="004C74C2" w:rsidRPr="00B53423" w:rsidRDefault="004C74C2" w:rsidP="0015232B">
      <w:pPr>
        <w:spacing w:before="0" w:after="200"/>
        <w:jc w:val="left"/>
        <w:rPr>
          <w:rFonts w:asciiTheme="minorHAnsi" w:hAnsiTheme="minorHAnsi" w:cstheme="minorHAnsi"/>
          <w:bCs/>
          <w:color w:val="000000"/>
        </w:rPr>
      </w:pPr>
      <w:r w:rsidRPr="00B53423">
        <w:br w:type="page"/>
      </w:r>
    </w:p>
    <w:p w:rsidR="004C74C2" w:rsidRPr="00B53423" w:rsidRDefault="003A6B3B" w:rsidP="0015232B">
      <w:pPr>
        <w:pStyle w:val="Heading1"/>
        <w:keepNext w:val="0"/>
        <w:numPr>
          <w:ilvl w:val="0"/>
          <w:numId w:val="1"/>
        </w:numPr>
        <w:ind w:left="720" w:hanging="1080"/>
        <w:rPr>
          <w:color w:val="auto"/>
        </w:rPr>
      </w:pPr>
      <w:bookmarkStart w:id="569" w:name="_Ref395948907"/>
      <w:bookmarkStart w:id="570" w:name="_Toc399626218"/>
      <w:r w:rsidRPr="00B53423">
        <w:rPr>
          <w:color w:val="auto"/>
        </w:rPr>
        <w:t>ANALYSIS OF ARR FOR FY 2014-15</w:t>
      </w:r>
      <w:bookmarkEnd w:id="569"/>
      <w:bookmarkEnd w:id="570"/>
    </w:p>
    <w:p w:rsidR="00463EEA" w:rsidRPr="00B53423" w:rsidRDefault="00463EEA" w:rsidP="0015232B">
      <w:pPr>
        <w:pStyle w:val="Heading2"/>
        <w:keepNext w:val="0"/>
        <w:ind w:left="720" w:hanging="1080"/>
      </w:pPr>
      <w:bookmarkStart w:id="571" w:name="_Toc399626219"/>
      <w:r w:rsidRPr="00B53423">
        <w:t>INTRODUCTION</w:t>
      </w:r>
      <w:bookmarkEnd w:id="571"/>
    </w:p>
    <w:p w:rsidR="004C74C2" w:rsidRPr="00B53423" w:rsidRDefault="004C74C2" w:rsidP="0015232B">
      <w:pPr>
        <w:pStyle w:val="Heading3"/>
        <w:keepNext w:val="0"/>
        <w:ind w:hanging="1080"/>
      </w:pPr>
      <w:r w:rsidRPr="00B53423">
        <w:t>In this Section, the Commission has undertaken the process of approval of the Annual Revenue Requirements and Tariff determination of the Petitioner in line with provisions of the Distribution Tariff Regulations, 2006.</w:t>
      </w:r>
    </w:p>
    <w:p w:rsidR="004C74C2" w:rsidRPr="00B53423" w:rsidRDefault="004C74C2" w:rsidP="0015232B">
      <w:pPr>
        <w:pStyle w:val="Heading3"/>
        <w:keepNext w:val="0"/>
        <w:numPr>
          <w:ilvl w:val="0"/>
          <w:numId w:val="0"/>
        </w:numPr>
        <w:tabs>
          <w:tab w:val="left" w:pos="864"/>
        </w:tabs>
      </w:pPr>
    </w:p>
    <w:p w:rsidR="004C74C2" w:rsidRPr="00B53423" w:rsidRDefault="004C74C2" w:rsidP="0015232B">
      <w:pPr>
        <w:pStyle w:val="Heading2"/>
        <w:keepNext w:val="0"/>
        <w:ind w:left="720" w:hanging="1080"/>
      </w:pPr>
      <w:bookmarkStart w:id="572" w:name="_Toc356322586"/>
      <w:bookmarkStart w:id="573" w:name="_Toc357733322"/>
      <w:bookmarkStart w:id="574" w:name="_Toc399626220"/>
      <w:r w:rsidRPr="00B53423">
        <w:t>CONSUMPTION PARAMETERS:</w:t>
      </w:r>
      <w:bookmarkEnd w:id="572"/>
      <w:bookmarkEnd w:id="573"/>
      <w:r w:rsidRPr="00B53423">
        <w:t xml:space="preserve"> CONSUMER NUMBERS, CONNECTED LOAD, SALES</w:t>
      </w:r>
      <w:bookmarkEnd w:id="574"/>
    </w:p>
    <w:p w:rsidR="004C74C2" w:rsidRPr="00B53423" w:rsidRDefault="004C74C2" w:rsidP="0015232B">
      <w:pPr>
        <w:pStyle w:val="Heading3"/>
        <w:keepNext w:val="0"/>
        <w:numPr>
          <w:ilvl w:val="0"/>
          <w:numId w:val="0"/>
        </w:numPr>
        <w:tabs>
          <w:tab w:val="left" w:pos="864"/>
        </w:tabs>
      </w:pPr>
    </w:p>
    <w:p w:rsidR="004C74C2" w:rsidRPr="00B53423" w:rsidRDefault="004C74C2" w:rsidP="0015232B">
      <w:pPr>
        <w:pStyle w:val="Heading3"/>
        <w:keepNext w:val="0"/>
        <w:ind w:hanging="1080"/>
      </w:pPr>
      <w:r w:rsidRPr="00B53423">
        <w:t xml:space="preserve">The Petitioner submitted that it has projected category-wise sales based on CAGR of last eight years data and considering factors like available population data, expected conversion of unauthorized connections, connected load factor and specific growth factors and wherever the data was incongruous such incongruity was ignored while projecting the load growth for the ensuing years.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The Petitioner submitted that the forecast projects the specific consumption level (consumption per customer) appropriate for each customer category. The Petitioner submitted that the forecast is based on expected growth relationships to income and price, effect of Demand Side Management and impact of hours of service. </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The Petitioner submitted that the specific consumption level along with the number of consumers in each category gives the sales figure for that particular sub-category and the final detailed calculations estimate the connected load by tariff category. The Petitioner added that the division level forecasts have been consolidated and losses have been added to the sales estimates to determine power purchase requirements.</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The billing determinants including number of consumers, connected load and energy sales for FY 2014-15 as submitted by the Petitioner is shown in the Table below:</w:t>
      </w:r>
    </w:p>
    <w:p w:rsidR="004C74C2" w:rsidRPr="00B53423" w:rsidRDefault="004C74C2" w:rsidP="0015232B">
      <w:pPr>
        <w:pStyle w:val="ListParagraph"/>
        <w:ind w:left="180"/>
      </w:pPr>
    </w:p>
    <w:p w:rsidR="004C74C2" w:rsidRPr="00B53423" w:rsidRDefault="004C74C2" w:rsidP="0015232B">
      <w:pPr>
        <w:pStyle w:val="Heading3"/>
        <w:keepNext w:val="0"/>
        <w:numPr>
          <w:ilvl w:val="0"/>
          <w:numId w:val="0"/>
        </w:numPr>
        <w:ind w:left="720" w:right="589" w:hanging="11"/>
        <w:jc w:val="center"/>
        <w:rPr>
          <w:b/>
        </w:rPr>
      </w:pPr>
      <w:bookmarkStart w:id="575" w:name="_Ref394762136"/>
      <w:bookmarkStart w:id="576" w:name="_Toc399626406"/>
      <w:r w:rsidRPr="00B53423">
        <w:rPr>
          <w:b/>
        </w:rPr>
        <w:t xml:space="preserve">Table </w:t>
      </w:r>
      <w:r w:rsidR="005D68E7" w:rsidRPr="00B53423">
        <w:rPr>
          <w:b/>
        </w:rPr>
        <w:fldChar w:fldCharType="begin"/>
      </w:r>
      <w:r w:rsidRPr="00B53423">
        <w:rPr>
          <w:b/>
        </w:rPr>
        <w:instrText xml:space="preserve"> STYLEREF 1 \s </w:instrText>
      </w:r>
      <w:r w:rsidR="005D68E7" w:rsidRPr="00B53423">
        <w:rPr>
          <w:b/>
        </w:rPr>
        <w:fldChar w:fldCharType="separate"/>
      </w:r>
      <w:r w:rsidR="00847C1B">
        <w:rPr>
          <w:b/>
          <w:noProof/>
        </w:rPr>
        <w:t>9</w:t>
      </w:r>
      <w:r w:rsidR="005D68E7" w:rsidRPr="00B53423">
        <w:rPr>
          <w:b/>
        </w:rPr>
        <w:fldChar w:fldCharType="end"/>
      </w:r>
      <w:r w:rsidRPr="00B53423">
        <w:rPr>
          <w:b/>
        </w:rPr>
        <w:noBreakHyphen/>
      </w:r>
      <w:r w:rsidR="005D68E7" w:rsidRPr="00B53423">
        <w:rPr>
          <w:b/>
        </w:rPr>
        <w:fldChar w:fldCharType="begin"/>
      </w:r>
      <w:r w:rsidRPr="00B53423">
        <w:rPr>
          <w:b/>
        </w:rPr>
        <w:instrText xml:space="preserve"> SEQ Table \* ARABIC \s 1 </w:instrText>
      </w:r>
      <w:r w:rsidR="005D68E7" w:rsidRPr="00B53423">
        <w:rPr>
          <w:b/>
        </w:rPr>
        <w:fldChar w:fldCharType="separate"/>
      </w:r>
      <w:r w:rsidR="00847C1B">
        <w:rPr>
          <w:b/>
          <w:noProof/>
        </w:rPr>
        <w:t>1</w:t>
      </w:r>
      <w:r w:rsidR="005D68E7" w:rsidRPr="00B53423">
        <w:rPr>
          <w:b/>
        </w:rPr>
        <w:fldChar w:fldCharType="end"/>
      </w:r>
      <w:bookmarkEnd w:id="575"/>
      <w:r w:rsidRPr="00B53423">
        <w:rPr>
          <w:b/>
        </w:rPr>
        <w:t>: CONSUMPTION PARAMETERS SUBMITTED BY THE PETITIONER FOR FY 2014-15</w:t>
      </w:r>
      <w:bookmarkEnd w:id="576"/>
    </w:p>
    <w:tbl>
      <w:tblPr>
        <w:tblW w:w="789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80"/>
        <w:gridCol w:w="1477"/>
        <w:gridCol w:w="1456"/>
        <w:gridCol w:w="1477"/>
      </w:tblGrid>
      <w:tr w:rsidR="004C74C2" w:rsidRPr="00B53423" w:rsidTr="009268E4">
        <w:trPr>
          <w:trHeight w:val="300"/>
          <w:tblHeader/>
          <w:jc w:val="center"/>
        </w:trPr>
        <w:tc>
          <w:tcPr>
            <w:tcW w:w="3480" w:type="dxa"/>
            <w:shd w:val="clear" w:color="000000" w:fill="DCE6F1"/>
            <w:noWrap/>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Consumer categories</w:t>
            </w:r>
          </w:p>
        </w:tc>
        <w:tc>
          <w:tcPr>
            <w:tcW w:w="1477" w:type="dxa"/>
            <w:shd w:val="clear" w:color="000000" w:fill="DCE6F1"/>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No. of consumers</w:t>
            </w:r>
          </w:p>
        </w:tc>
        <w:tc>
          <w:tcPr>
            <w:tcW w:w="1456" w:type="dxa"/>
            <w:shd w:val="clear" w:color="000000" w:fill="DCE6F1"/>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Connected load (kW)</w:t>
            </w:r>
          </w:p>
        </w:tc>
        <w:tc>
          <w:tcPr>
            <w:tcW w:w="1477" w:type="dxa"/>
            <w:shd w:val="clear" w:color="000000" w:fill="DCE6F1"/>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Energy sales (MU)</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LMV-1: Domestic</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Cs/>
                <w:lang w:val="en-IN" w:eastAsia="en-IN"/>
              </w:rPr>
            </w:pPr>
            <w:r w:rsidRPr="00B53423">
              <w:rPr>
                <w:rFonts w:asciiTheme="minorHAnsi" w:hAnsiTheme="minorHAnsi" w:cstheme="minorHAnsi"/>
                <w:bCs/>
                <w:lang w:val="en-IN" w:eastAsia="en-IN"/>
              </w:rPr>
              <w:t>518008</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Cs/>
                <w:lang w:val="en-IN" w:eastAsia="en-IN"/>
              </w:rPr>
            </w:pPr>
            <w:r w:rsidRPr="00B53423">
              <w:rPr>
                <w:rFonts w:asciiTheme="minorHAnsi" w:hAnsiTheme="minorHAnsi" w:cstheme="minorHAnsi"/>
                <w:bCs/>
                <w:lang w:val="en-IN" w:eastAsia="en-IN"/>
              </w:rPr>
              <w:t>1149730</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Cs/>
                <w:lang w:val="en-IN" w:eastAsia="en-IN"/>
              </w:rPr>
            </w:pPr>
            <w:r w:rsidRPr="00B53423">
              <w:rPr>
                <w:rFonts w:asciiTheme="minorHAnsi" w:hAnsiTheme="minorHAnsi" w:cstheme="minorHAnsi"/>
                <w:bCs/>
                <w:lang w:val="en-IN" w:eastAsia="en-IN"/>
              </w:rPr>
              <w:t>1300.85</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LMV-2:Non-Domestic</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Cs/>
                <w:lang w:val="en-IN" w:eastAsia="en-IN"/>
              </w:rPr>
            </w:pPr>
            <w:r w:rsidRPr="00B53423">
              <w:rPr>
                <w:rFonts w:asciiTheme="minorHAnsi" w:hAnsiTheme="minorHAnsi" w:cstheme="minorHAnsi"/>
                <w:bCs/>
                <w:lang w:val="en-IN" w:eastAsia="en-IN"/>
              </w:rPr>
              <w:t>106835</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Cs/>
                <w:lang w:val="en-IN" w:eastAsia="en-IN"/>
              </w:rPr>
            </w:pPr>
            <w:r w:rsidRPr="00B53423">
              <w:rPr>
                <w:rFonts w:asciiTheme="minorHAnsi" w:hAnsiTheme="minorHAnsi" w:cstheme="minorHAnsi"/>
                <w:bCs/>
                <w:lang w:val="en-IN" w:eastAsia="en-IN"/>
              </w:rPr>
              <w:t>284756</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Cs/>
                <w:lang w:val="en-IN" w:eastAsia="en-IN"/>
              </w:rPr>
            </w:pPr>
            <w:r w:rsidRPr="00B53423">
              <w:rPr>
                <w:rFonts w:asciiTheme="minorHAnsi" w:hAnsiTheme="minorHAnsi" w:cstheme="minorHAnsi"/>
                <w:bCs/>
                <w:lang w:val="en-IN" w:eastAsia="en-IN"/>
              </w:rPr>
              <w:t>357.22</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 xml:space="preserve">LMV-3: Public Lamps </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Cs/>
                <w:lang w:val="en-IN" w:eastAsia="en-IN"/>
              </w:rPr>
            </w:pPr>
            <w:r w:rsidRPr="00B53423">
              <w:rPr>
                <w:rFonts w:asciiTheme="minorHAnsi" w:hAnsiTheme="minorHAnsi" w:cstheme="minorHAnsi"/>
                <w:bCs/>
                <w:lang w:val="en-IN" w:eastAsia="en-IN"/>
              </w:rPr>
              <w:t>18</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Cs/>
                <w:lang w:val="en-IN" w:eastAsia="en-IN"/>
              </w:rPr>
            </w:pPr>
            <w:r w:rsidRPr="00B53423">
              <w:rPr>
                <w:rFonts w:asciiTheme="minorHAnsi" w:hAnsiTheme="minorHAnsi" w:cstheme="minorHAnsi"/>
                <w:bCs/>
                <w:lang w:val="en-IN" w:eastAsia="en-IN"/>
              </w:rPr>
              <w:t>13768</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Cs/>
                <w:lang w:val="en-IN" w:eastAsia="en-IN"/>
              </w:rPr>
            </w:pPr>
            <w:r w:rsidRPr="00B53423">
              <w:rPr>
                <w:rFonts w:asciiTheme="minorHAnsi" w:hAnsiTheme="minorHAnsi" w:cstheme="minorHAnsi"/>
                <w:bCs/>
                <w:lang w:val="en-IN" w:eastAsia="en-IN"/>
              </w:rPr>
              <w:t>59.48</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LMV-4: Institutions</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Cs/>
                <w:lang w:val="en-IN" w:eastAsia="en-IN"/>
              </w:rPr>
            </w:pPr>
            <w:r w:rsidRPr="00B53423">
              <w:rPr>
                <w:rFonts w:asciiTheme="minorHAnsi" w:hAnsiTheme="minorHAnsi" w:cstheme="minorHAnsi"/>
                <w:bCs/>
                <w:lang w:val="en-IN" w:eastAsia="en-IN"/>
              </w:rPr>
              <w:t>1182</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Cs/>
                <w:lang w:val="en-IN" w:eastAsia="en-IN"/>
              </w:rPr>
            </w:pPr>
            <w:r w:rsidRPr="00B53423">
              <w:rPr>
                <w:rFonts w:asciiTheme="minorHAnsi" w:hAnsiTheme="minorHAnsi" w:cstheme="minorHAnsi"/>
                <w:bCs/>
                <w:lang w:val="en-IN" w:eastAsia="en-IN"/>
              </w:rPr>
              <w:t>14009</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Cs/>
                <w:lang w:val="en-IN" w:eastAsia="en-IN"/>
              </w:rPr>
            </w:pPr>
            <w:r w:rsidRPr="00B53423">
              <w:rPr>
                <w:rFonts w:asciiTheme="minorHAnsi" w:hAnsiTheme="minorHAnsi" w:cstheme="minorHAnsi"/>
                <w:bCs/>
                <w:lang w:val="en-IN" w:eastAsia="en-IN"/>
              </w:rPr>
              <w:t>59.09</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LMV-5: Private Tube Wells</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Cs/>
                <w:lang w:val="en-IN" w:eastAsia="en-IN"/>
              </w:rPr>
            </w:pPr>
            <w:r w:rsidRPr="00B53423">
              <w:rPr>
                <w:rFonts w:asciiTheme="minorHAnsi" w:hAnsiTheme="minorHAnsi" w:cstheme="minorHAnsi"/>
                <w:bCs/>
                <w:lang w:val="en-IN" w:eastAsia="en-IN"/>
              </w:rPr>
              <w:t xml:space="preserve"> 16 </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Cs/>
                <w:lang w:val="en-IN" w:eastAsia="en-IN"/>
              </w:rPr>
            </w:pPr>
            <w:r w:rsidRPr="00B53423">
              <w:rPr>
                <w:rFonts w:asciiTheme="minorHAnsi" w:hAnsiTheme="minorHAnsi" w:cstheme="minorHAnsi"/>
                <w:bCs/>
                <w:lang w:val="en-IN" w:eastAsia="en-IN"/>
              </w:rPr>
              <w:t xml:space="preserve">123 </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Cs/>
                <w:lang w:val="en-IN" w:eastAsia="en-IN"/>
              </w:rPr>
            </w:pPr>
            <w:r w:rsidRPr="00B53423">
              <w:rPr>
                <w:rFonts w:asciiTheme="minorHAnsi" w:hAnsiTheme="minorHAnsi" w:cstheme="minorHAnsi"/>
                <w:bCs/>
                <w:lang w:val="en-IN" w:eastAsia="en-IN"/>
              </w:rPr>
              <w:t xml:space="preserve">0 </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LMV 6: Small and Medium Power</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Cs/>
                <w:lang w:val="en-IN" w:eastAsia="en-IN"/>
              </w:rPr>
            </w:pPr>
            <w:r w:rsidRPr="00B53423">
              <w:rPr>
                <w:rFonts w:asciiTheme="minorHAnsi" w:hAnsiTheme="minorHAnsi" w:cstheme="minorHAnsi"/>
                <w:bCs/>
                <w:lang w:val="en-IN" w:eastAsia="en-IN"/>
              </w:rPr>
              <w:t>10187</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Cs/>
                <w:lang w:val="en-IN" w:eastAsia="en-IN"/>
              </w:rPr>
            </w:pPr>
            <w:r w:rsidRPr="00B53423">
              <w:rPr>
                <w:rFonts w:asciiTheme="minorHAnsi" w:hAnsiTheme="minorHAnsi" w:cstheme="minorHAnsi"/>
                <w:bCs/>
                <w:lang w:val="en-IN" w:eastAsia="en-IN"/>
              </w:rPr>
              <w:t>221095</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Cs/>
                <w:lang w:val="en-IN" w:eastAsia="en-IN"/>
              </w:rPr>
            </w:pPr>
            <w:r w:rsidRPr="00B53423">
              <w:rPr>
                <w:rFonts w:asciiTheme="minorHAnsi" w:hAnsiTheme="minorHAnsi" w:cstheme="minorHAnsi"/>
                <w:bCs/>
                <w:lang w:val="en-IN" w:eastAsia="en-IN"/>
              </w:rPr>
              <w:t>316.57</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 xml:space="preserve">LMV-7: Public Water Works </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Cs/>
                <w:lang w:val="en-IN" w:eastAsia="en-IN"/>
              </w:rPr>
            </w:pPr>
            <w:r w:rsidRPr="00B53423">
              <w:rPr>
                <w:rFonts w:asciiTheme="minorHAnsi" w:hAnsiTheme="minorHAnsi" w:cstheme="minorHAnsi"/>
                <w:bCs/>
                <w:lang w:val="en-IN" w:eastAsia="en-IN"/>
              </w:rPr>
              <w:t>680</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Cs/>
                <w:lang w:val="en-IN" w:eastAsia="en-IN"/>
              </w:rPr>
            </w:pPr>
            <w:r w:rsidRPr="00B53423">
              <w:rPr>
                <w:rFonts w:asciiTheme="minorHAnsi" w:hAnsiTheme="minorHAnsi" w:cstheme="minorHAnsi"/>
                <w:bCs/>
                <w:lang w:val="en-IN" w:eastAsia="en-IN"/>
              </w:rPr>
              <w:t>23259</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Cs/>
                <w:lang w:val="en-IN" w:eastAsia="en-IN"/>
              </w:rPr>
            </w:pPr>
            <w:r w:rsidRPr="00B53423">
              <w:rPr>
                <w:rFonts w:asciiTheme="minorHAnsi" w:hAnsiTheme="minorHAnsi" w:cstheme="minorHAnsi"/>
                <w:bCs/>
                <w:lang w:val="en-IN" w:eastAsia="en-IN"/>
              </w:rPr>
              <w:t>54.87</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LMV-8: State Tube Wells</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color w:val="000000"/>
                <w:lang w:val="en-IN" w:eastAsia="en-IN"/>
              </w:rPr>
            </w:pP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 xml:space="preserve">LMV-9: Temporary Supply </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Cs/>
                <w:lang w:val="en-IN" w:eastAsia="en-IN"/>
              </w:rPr>
            </w:pPr>
            <w:r w:rsidRPr="00B53423">
              <w:rPr>
                <w:rFonts w:asciiTheme="minorHAnsi" w:hAnsiTheme="minorHAnsi" w:cstheme="minorHAnsi"/>
                <w:bCs/>
                <w:lang w:val="en-IN" w:eastAsia="en-IN"/>
              </w:rPr>
              <w:t xml:space="preserve">468 </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Cs/>
                <w:lang w:val="en-IN" w:eastAsia="en-IN"/>
              </w:rPr>
            </w:pPr>
            <w:r w:rsidRPr="00B53423">
              <w:rPr>
                <w:rFonts w:asciiTheme="minorHAnsi" w:hAnsiTheme="minorHAnsi" w:cstheme="minorHAnsi"/>
                <w:bCs/>
                <w:lang w:val="en-IN" w:eastAsia="en-IN"/>
              </w:rPr>
              <w:t xml:space="preserve">1,036 </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Cs/>
                <w:lang w:val="en-IN" w:eastAsia="en-IN"/>
              </w:rPr>
            </w:pPr>
            <w:r w:rsidRPr="00B53423">
              <w:rPr>
                <w:rFonts w:asciiTheme="minorHAnsi" w:hAnsiTheme="minorHAnsi" w:cstheme="minorHAnsi"/>
                <w:bCs/>
                <w:lang w:val="en-IN" w:eastAsia="en-IN"/>
              </w:rPr>
              <w:t>2.00</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LMV-10: Departmental Employees</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Cs/>
                <w:lang w:val="en-IN" w:eastAsia="en-IN"/>
              </w:rPr>
            </w:pPr>
            <w:r w:rsidRPr="00B53423">
              <w:rPr>
                <w:rFonts w:asciiTheme="minorHAnsi" w:hAnsiTheme="minorHAnsi" w:cstheme="minorHAnsi"/>
                <w:bCs/>
                <w:lang w:val="en-IN" w:eastAsia="en-IN"/>
              </w:rPr>
              <w:t>8267</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Cs/>
                <w:lang w:val="en-IN" w:eastAsia="en-IN"/>
              </w:rPr>
            </w:pPr>
            <w:r w:rsidRPr="00B53423">
              <w:rPr>
                <w:rFonts w:asciiTheme="minorHAnsi" w:hAnsiTheme="minorHAnsi" w:cstheme="minorHAnsi"/>
                <w:bCs/>
                <w:lang w:val="en-IN" w:eastAsia="en-IN"/>
              </w:rPr>
              <w:t>28652</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Cs/>
                <w:lang w:val="en-IN" w:eastAsia="en-IN"/>
              </w:rPr>
            </w:pPr>
            <w:r w:rsidRPr="00B53423">
              <w:rPr>
                <w:rFonts w:asciiTheme="minorHAnsi" w:hAnsiTheme="minorHAnsi" w:cstheme="minorHAnsi"/>
                <w:bCs/>
                <w:lang w:val="en-IN" w:eastAsia="en-IN"/>
              </w:rPr>
              <w:t>24.06</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HV-1: Non-Industrial Bulk Loads</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Cs/>
                <w:lang w:val="en-IN" w:eastAsia="en-IN"/>
              </w:rPr>
            </w:pPr>
            <w:r w:rsidRPr="00B53423">
              <w:rPr>
                <w:rFonts w:asciiTheme="minorHAnsi" w:hAnsiTheme="minorHAnsi" w:cstheme="minorHAnsi"/>
                <w:bCs/>
                <w:lang w:val="en-IN" w:eastAsia="en-IN"/>
              </w:rPr>
              <w:t>133</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Cs/>
                <w:lang w:val="en-IN" w:eastAsia="en-IN"/>
              </w:rPr>
            </w:pPr>
            <w:r w:rsidRPr="00B53423">
              <w:rPr>
                <w:rFonts w:asciiTheme="minorHAnsi" w:hAnsiTheme="minorHAnsi" w:cstheme="minorHAnsi"/>
                <w:bCs/>
                <w:lang w:val="en-IN" w:eastAsia="en-IN"/>
              </w:rPr>
              <w:t>51052</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Cs/>
                <w:lang w:val="en-IN" w:eastAsia="en-IN"/>
              </w:rPr>
            </w:pPr>
            <w:r w:rsidRPr="00B53423">
              <w:rPr>
                <w:rFonts w:asciiTheme="minorHAnsi" w:hAnsiTheme="minorHAnsi" w:cstheme="minorHAnsi"/>
                <w:bCs/>
                <w:lang w:val="en-IN" w:eastAsia="en-IN"/>
              </w:rPr>
              <w:t>118.92</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HV-2: Large and Heavy Power</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Cs/>
                <w:lang w:val="en-IN" w:eastAsia="en-IN"/>
              </w:rPr>
            </w:pPr>
            <w:r w:rsidRPr="00B53423">
              <w:rPr>
                <w:rFonts w:asciiTheme="minorHAnsi" w:hAnsiTheme="minorHAnsi" w:cstheme="minorHAnsi"/>
                <w:bCs/>
                <w:lang w:val="en-IN" w:eastAsia="en-IN"/>
              </w:rPr>
              <w:t>554</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Cs/>
                <w:lang w:val="en-IN" w:eastAsia="en-IN"/>
              </w:rPr>
            </w:pPr>
            <w:r w:rsidRPr="00B53423">
              <w:rPr>
                <w:rFonts w:asciiTheme="minorHAnsi" w:hAnsiTheme="minorHAnsi" w:cstheme="minorHAnsi"/>
                <w:bCs/>
                <w:lang w:val="en-IN" w:eastAsia="en-IN"/>
              </w:rPr>
              <w:t>207996</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Cs/>
                <w:lang w:val="en-IN" w:eastAsia="en-IN"/>
              </w:rPr>
            </w:pPr>
            <w:r w:rsidRPr="00B53423">
              <w:rPr>
                <w:rFonts w:asciiTheme="minorHAnsi" w:hAnsiTheme="minorHAnsi" w:cstheme="minorHAnsi"/>
                <w:bCs/>
                <w:lang w:val="en-IN" w:eastAsia="en-IN"/>
              </w:rPr>
              <w:t>417.86</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HV-3: Railway Traction</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color w:val="000000"/>
                <w:lang w:val="en-IN" w:eastAsia="en-IN"/>
              </w:rPr>
            </w:pP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HV-4: Lift Irrigation</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color w:val="000000"/>
                <w:lang w:val="en-IN" w:eastAsia="en-IN"/>
              </w:rPr>
            </w:pP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b/>
                <w:bCs/>
                <w:color w:val="000000"/>
                <w:lang w:val="en-IN" w:eastAsia="en-IN"/>
              </w:rPr>
            </w:pPr>
            <w:r w:rsidRPr="00B53423">
              <w:rPr>
                <w:rFonts w:cs="Calibri"/>
                <w:b/>
                <w:bCs/>
                <w:color w:val="000000"/>
                <w:lang w:val="en-IN" w:eastAsia="en-IN"/>
              </w:rPr>
              <w:t>Sub-total</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
                <w:bCs/>
                <w:lang w:val="en-IN" w:eastAsia="en-IN"/>
              </w:rPr>
            </w:pPr>
            <w:r w:rsidRPr="00B53423">
              <w:rPr>
                <w:rFonts w:asciiTheme="minorHAnsi" w:hAnsiTheme="minorHAnsi" w:cstheme="minorHAnsi"/>
                <w:b/>
                <w:bCs/>
                <w:lang w:val="en-IN" w:eastAsia="en-IN"/>
              </w:rPr>
              <w:t>646348</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
                <w:bCs/>
                <w:lang w:val="en-IN" w:eastAsia="en-IN"/>
              </w:rPr>
            </w:pPr>
            <w:r w:rsidRPr="00B53423">
              <w:rPr>
                <w:rFonts w:asciiTheme="minorHAnsi" w:hAnsiTheme="minorHAnsi" w:cstheme="minorHAnsi"/>
                <w:b/>
                <w:bCs/>
                <w:lang w:val="en-IN" w:eastAsia="en-IN"/>
              </w:rPr>
              <w:t>1995478</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
                <w:bCs/>
                <w:lang w:val="en-IN" w:eastAsia="en-IN"/>
              </w:rPr>
            </w:pPr>
            <w:r w:rsidRPr="00B53423">
              <w:rPr>
                <w:rFonts w:asciiTheme="minorHAnsi" w:hAnsiTheme="minorHAnsi" w:cstheme="minorHAnsi"/>
                <w:b/>
                <w:bCs/>
                <w:lang w:val="en-IN" w:eastAsia="en-IN"/>
              </w:rPr>
              <w:t>2711.23</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Extra state &amp; Bulk</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color w:val="000000"/>
                <w:lang w:val="en-IN" w:eastAsia="en-IN"/>
              </w:rPr>
            </w:pP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cs="Calibri"/>
                <w:b/>
                <w:bCs/>
                <w:color w:val="000000"/>
                <w:lang w:val="en-IN" w:eastAsia="en-IN"/>
              </w:rPr>
            </w:pPr>
            <w:r w:rsidRPr="00B53423">
              <w:rPr>
                <w:rFonts w:cs="Calibri"/>
                <w:b/>
                <w:bCs/>
                <w:color w:val="000000"/>
                <w:lang w:val="en-IN" w:eastAsia="en-IN"/>
              </w:rPr>
              <w:t>Total</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
                <w:bCs/>
                <w:lang w:val="en-IN" w:eastAsia="en-IN"/>
              </w:rPr>
            </w:pPr>
            <w:r w:rsidRPr="00B53423">
              <w:rPr>
                <w:rFonts w:asciiTheme="minorHAnsi" w:hAnsiTheme="minorHAnsi" w:cstheme="minorHAnsi"/>
                <w:b/>
                <w:bCs/>
                <w:lang w:val="en-IN" w:eastAsia="en-IN"/>
              </w:rPr>
              <w:t>646348</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b/>
                <w:bCs/>
                <w:lang w:val="en-IN" w:eastAsia="en-IN"/>
              </w:rPr>
            </w:pPr>
            <w:r w:rsidRPr="00B53423">
              <w:rPr>
                <w:rFonts w:asciiTheme="minorHAnsi" w:hAnsiTheme="minorHAnsi" w:cstheme="minorHAnsi"/>
                <w:b/>
                <w:bCs/>
                <w:lang w:val="en-IN" w:eastAsia="en-IN"/>
              </w:rPr>
              <w:t>1995478</w:t>
            </w:r>
          </w:p>
        </w:tc>
        <w:tc>
          <w:tcPr>
            <w:tcW w:w="1477" w:type="dxa"/>
            <w:shd w:val="clear" w:color="auto" w:fill="auto"/>
            <w:noWrap/>
            <w:vAlign w:val="center"/>
            <w:hideMark/>
          </w:tcPr>
          <w:p w:rsidR="004C74C2" w:rsidRPr="00B53423" w:rsidRDefault="004C74C2" w:rsidP="0015232B">
            <w:pPr>
              <w:spacing w:before="0" w:line="240" w:lineRule="auto"/>
              <w:ind w:right="161"/>
              <w:jc w:val="right"/>
              <w:rPr>
                <w:rFonts w:asciiTheme="minorHAnsi" w:hAnsiTheme="minorHAnsi" w:cstheme="minorHAnsi"/>
                <w:b/>
                <w:bCs/>
                <w:lang w:val="en-IN" w:eastAsia="en-IN"/>
              </w:rPr>
            </w:pPr>
            <w:r w:rsidRPr="00B53423">
              <w:rPr>
                <w:rFonts w:asciiTheme="minorHAnsi" w:hAnsiTheme="minorHAnsi" w:cstheme="minorHAnsi"/>
                <w:b/>
                <w:bCs/>
                <w:lang w:val="en-IN" w:eastAsia="en-IN"/>
              </w:rPr>
              <w:t>2711.23</w:t>
            </w:r>
          </w:p>
        </w:tc>
      </w:tr>
    </w:tbl>
    <w:p w:rsidR="004C74C2" w:rsidRPr="00B53423" w:rsidRDefault="004C74C2" w:rsidP="0015232B">
      <w:pPr>
        <w:pStyle w:val="ListParagraph"/>
        <w:spacing w:before="0"/>
        <w:ind w:left="180"/>
      </w:pPr>
    </w:p>
    <w:p w:rsidR="004C74C2" w:rsidRPr="00B53423" w:rsidRDefault="004C74C2" w:rsidP="0015232B">
      <w:pPr>
        <w:pStyle w:val="Heading3"/>
        <w:keepNext w:val="0"/>
        <w:ind w:hanging="1080"/>
      </w:pPr>
      <w:r w:rsidRPr="00B53423">
        <w:t>The Commission has adopted the same methodology adopted in its suo-motu Tariff Order dated 31</w:t>
      </w:r>
      <w:r w:rsidRPr="00B53423">
        <w:rPr>
          <w:vertAlign w:val="superscript"/>
        </w:rPr>
        <w:t>st</w:t>
      </w:r>
      <w:r w:rsidRPr="00B53423">
        <w:t xml:space="preserve"> May, 2013 for KESCO as illustrated in the following diagram:</w:t>
      </w:r>
    </w:p>
    <w:p w:rsidR="004C74C2" w:rsidRPr="00B53423" w:rsidRDefault="004C74C2" w:rsidP="0015232B">
      <w:pPr>
        <w:pStyle w:val="Heading3"/>
        <w:keepNext w:val="0"/>
        <w:numPr>
          <w:ilvl w:val="0"/>
          <w:numId w:val="0"/>
        </w:numPr>
        <w:ind w:left="720"/>
      </w:pPr>
    </w:p>
    <w:p w:rsidR="004C74C2" w:rsidRPr="00B53423" w:rsidRDefault="004C74C2" w:rsidP="0015232B">
      <w:pPr>
        <w:pStyle w:val="Caption"/>
        <w:jc w:val="center"/>
      </w:pPr>
      <w:bookmarkStart w:id="577" w:name="_Toc337375394"/>
      <w:r w:rsidRPr="00B53423">
        <w:t xml:space="preserve">Figure </w:t>
      </w:r>
      <w:r w:rsidR="005D68E7" w:rsidRPr="00B53423">
        <w:fldChar w:fldCharType="begin"/>
      </w:r>
      <w:r w:rsidRPr="00B53423">
        <w:instrText xml:space="preserve"> SEQ Figure \* ARABIC </w:instrText>
      </w:r>
      <w:r w:rsidR="005D68E7" w:rsidRPr="00B53423">
        <w:fldChar w:fldCharType="separate"/>
      </w:r>
      <w:r w:rsidR="00847C1B">
        <w:rPr>
          <w:noProof/>
        </w:rPr>
        <w:t>1</w:t>
      </w:r>
      <w:r w:rsidR="005D68E7" w:rsidRPr="00B53423">
        <w:fldChar w:fldCharType="end"/>
      </w:r>
      <w:r w:rsidRPr="00B53423">
        <w:t xml:space="preserve">: METHODOLOGY TO FORECAST CONSUMPTION FOR FY </w:t>
      </w:r>
      <w:bookmarkEnd w:id="577"/>
      <w:r w:rsidRPr="00B53423">
        <w:t>2014-15</w:t>
      </w:r>
    </w:p>
    <w:p w:rsidR="004C74C2" w:rsidRPr="00B53423" w:rsidRDefault="004C74C2" w:rsidP="0015232B">
      <w:pPr>
        <w:pStyle w:val="Heading3"/>
        <w:keepNext w:val="0"/>
        <w:numPr>
          <w:ilvl w:val="0"/>
          <w:numId w:val="0"/>
        </w:numPr>
        <w:tabs>
          <w:tab w:val="left" w:pos="864"/>
        </w:tabs>
        <w:jc w:val="center"/>
      </w:pPr>
      <w:r w:rsidRPr="00B53423">
        <w:rPr>
          <w:noProof/>
          <w:lang w:val="en-US"/>
        </w:rPr>
        <w:drawing>
          <wp:inline distT="0" distB="0" distL="0" distR="0">
            <wp:extent cx="5248275" cy="3448050"/>
            <wp:effectExtent l="19050" t="19050" r="28575" b="1905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48275" cy="3448050"/>
                    </a:xfrm>
                    <a:prstGeom prst="rect">
                      <a:avLst/>
                    </a:prstGeom>
                    <a:noFill/>
                    <a:ln w="9525" cmpd="sng">
                      <a:solidFill>
                        <a:srgbClr val="000000"/>
                      </a:solidFill>
                      <a:miter lim="800000"/>
                      <a:headEnd/>
                      <a:tailEnd/>
                    </a:ln>
                    <a:effectLst/>
                  </pic:spPr>
                </pic:pic>
              </a:graphicData>
            </a:graphic>
          </wp:inline>
        </w:drawing>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The following paragraph describes in detail the forecast methodology used by the Commission. </w:t>
      </w:r>
    </w:p>
    <w:p w:rsidR="004C74C2" w:rsidRPr="00B53423" w:rsidRDefault="004C74C2" w:rsidP="0015232B">
      <w:pPr>
        <w:pStyle w:val="Heading3"/>
        <w:keepNext w:val="0"/>
        <w:numPr>
          <w:ilvl w:val="0"/>
          <w:numId w:val="0"/>
        </w:numPr>
        <w:tabs>
          <w:tab w:val="left" w:pos="864"/>
        </w:tabs>
        <w:ind w:left="720"/>
      </w:pPr>
    </w:p>
    <w:p w:rsidR="004C74C2" w:rsidRPr="00B53423" w:rsidRDefault="004C74C2" w:rsidP="0015232B">
      <w:pPr>
        <w:pStyle w:val="Heading3"/>
        <w:keepNext w:val="0"/>
        <w:numPr>
          <w:ilvl w:val="0"/>
          <w:numId w:val="8"/>
        </w:numPr>
        <w:tabs>
          <w:tab w:val="left" w:pos="864"/>
        </w:tabs>
        <w:spacing w:before="120"/>
      </w:pPr>
      <w:r w:rsidRPr="00B53423">
        <w:t xml:space="preserve">As a </w:t>
      </w:r>
      <w:r w:rsidRPr="00B53423">
        <w:rPr>
          <w:b/>
          <w:u w:val="single"/>
        </w:rPr>
        <w:t>first step</w:t>
      </w:r>
      <w:r w:rsidRPr="00B53423">
        <w:t>, historical consumption parameters (for each of the three years between FY 2010-11 and FY 2012-13) were tabulated for each consumer sub-category. These parameters included number of consumers, connected load (kW), sales per consumer (kWh) and sales per kW of connected load (kWh/kW). The Table below provides the source of data for each year:</w:t>
      </w:r>
    </w:p>
    <w:p w:rsidR="004C74C2" w:rsidRPr="00B53423" w:rsidRDefault="004C74C2" w:rsidP="0015232B">
      <w:pPr>
        <w:pStyle w:val="Heading3"/>
        <w:keepNext w:val="0"/>
        <w:numPr>
          <w:ilvl w:val="0"/>
          <w:numId w:val="0"/>
        </w:numPr>
        <w:tabs>
          <w:tab w:val="left" w:pos="864"/>
        </w:tabs>
        <w:ind w:left="720"/>
      </w:pPr>
    </w:p>
    <w:p w:rsidR="004C74C2" w:rsidRPr="00B53423" w:rsidRDefault="004C74C2" w:rsidP="0015232B">
      <w:pPr>
        <w:pStyle w:val="Caption"/>
        <w:jc w:val="center"/>
      </w:pPr>
      <w:bookmarkStart w:id="578" w:name="_Toc338310667"/>
      <w:bookmarkStart w:id="579" w:name="_Toc338419497"/>
      <w:bookmarkStart w:id="580" w:name="_Toc357738725"/>
      <w:bookmarkStart w:id="581" w:name="_Toc399626407"/>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2</w:t>
      </w:r>
      <w:r w:rsidR="005D68E7" w:rsidRPr="00B53423">
        <w:fldChar w:fldCharType="end"/>
      </w:r>
      <w:r w:rsidRPr="00B53423">
        <w:t>: SOURCE OF DATA FOR HISTORICAL PARAMETERS</w:t>
      </w:r>
      <w:bookmarkEnd w:id="578"/>
      <w:bookmarkEnd w:id="579"/>
      <w:bookmarkEnd w:id="580"/>
      <w:bookmarkEnd w:id="581"/>
    </w:p>
    <w:tbl>
      <w:tblPr>
        <w:tblW w:w="4534" w:type="pct"/>
        <w:tblInd w:w="82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682"/>
        <w:gridCol w:w="1479"/>
        <w:gridCol w:w="5896"/>
      </w:tblGrid>
      <w:tr w:rsidR="004C74C2" w:rsidRPr="00B53423" w:rsidTr="009268E4">
        <w:trPr>
          <w:tblHeader/>
        </w:trPr>
        <w:tc>
          <w:tcPr>
            <w:tcW w:w="423"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4C74C2" w:rsidRPr="00B53423" w:rsidRDefault="004C74C2" w:rsidP="0015232B">
            <w:pPr>
              <w:pStyle w:val="Heading3"/>
              <w:keepNext w:val="0"/>
              <w:numPr>
                <w:ilvl w:val="0"/>
                <w:numId w:val="0"/>
              </w:numPr>
              <w:tabs>
                <w:tab w:val="left" w:pos="864"/>
              </w:tabs>
              <w:jc w:val="center"/>
              <w:rPr>
                <w:b/>
              </w:rPr>
            </w:pPr>
            <w:r w:rsidRPr="00B53423">
              <w:rPr>
                <w:b/>
              </w:rPr>
              <w:t>S.No</w:t>
            </w:r>
          </w:p>
        </w:tc>
        <w:tc>
          <w:tcPr>
            <w:tcW w:w="918"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4C74C2" w:rsidRPr="00B53423" w:rsidRDefault="004C74C2" w:rsidP="0015232B">
            <w:pPr>
              <w:pStyle w:val="Heading3"/>
              <w:keepNext w:val="0"/>
              <w:numPr>
                <w:ilvl w:val="0"/>
                <w:numId w:val="0"/>
              </w:numPr>
              <w:tabs>
                <w:tab w:val="left" w:pos="864"/>
              </w:tabs>
              <w:jc w:val="left"/>
              <w:rPr>
                <w:b/>
              </w:rPr>
            </w:pPr>
            <w:r w:rsidRPr="00B53423">
              <w:rPr>
                <w:b/>
              </w:rPr>
              <w:t>Year</w:t>
            </w:r>
          </w:p>
        </w:tc>
        <w:tc>
          <w:tcPr>
            <w:tcW w:w="3659"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4C74C2" w:rsidRPr="00B53423" w:rsidRDefault="004C74C2" w:rsidP="0015232B">
            <w:pPr>
              <w:pStyle w:val="Heading3"/>
              <w:keepNext w:val="0"/>
              <w:numPr>
                <w:ilvl w:val="0"/>
                <w:numId w:val="0"/>
              </w:numPr>
              <w:tabs>
                <w:tab w:val="left" w:pos="864"/>
              </w:tabs>
              <w:jc w:val="left"/>
              <w:rPr>
                <w:b/>
              </w:rPr>
            </w:pPr>
            <w:r w:rsidRPr="00B53423">
              <w:rPr>
                <w:b/>
              </w:rPr>
              <w:t>Source of data</w:t>
            </w:r>
          </w:p>
        </w:tc>
      </w:tr>
      <w:tr w:rsidR="004C74C2" w:rsidRPr="00B53423" w:rsidTr="009268E4">
        <w:tc>
          <w:tcPr>
            <w:tcW w:w="423" w:type="pct"/>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pStyle w:val="Heading3"/>
              <w:keepNext w:val="0"/>
              <w:numPr>
                <w:ilvl w:val="0"/>
                <w:numId w:val="0"/>
              </w:numPr>
              <w:tabs>
                <w:tab w:val="left" w:pos="864"/>
              </w:tabs>
              <w:jc w:val="center"/>
            </w:pPr>
            <w:r w:rsidRPr="00B53423">
              <w:t>1</w:t>
            </w:r>
          </w:p>
        </w:tc>
        <w:tc>
          <w:tcPr>
            <w:tcW w:w="918" w:type="pct"/>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60" w:after="60"/>
              <w:jc w:val="left"/>
              <w:rPr>
                <w:rFonts w:asciiTheme="minorHAnsi" w:hAnsiTheme="minorHAnsi" w:cstheme="minorHAnsi"/>
              </w:rPr>
            </w:pPr>
            <w:r w:rsidRPr="00B53423">
              <w:rPr>
                <w:rFonts w:asciiTheme="minorHAnsi" w:hAnsiTheme="minorHAnsi" w:cstheme="minorHAnsi"/>
              </w:rPr>
              <w:t>FY 2010-11</w:t>
            </w:r>
          </w:p>
        </w:tc>
        <w:tc>
          <w:tcPr>
            <w:tcW w:w="3659" w:type="pct"/>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rPr>
                <w:rFonts w:asciiTheme="minorHAnsi" w:hAnsiTheme="minorHAnsi" w:cstheme="minorHAnsi"/>
                <w:b/>
                <w:bCs/>
                <w:color w:val="333399"/>
                <w:kern w:val="32"/>
              </w:rPr>
            </w:pPr>
            <w:r w:rsidRPr="00B53423">
              <w:rPr>
                <w:rFonts w:asciiTheme="minorHAnsi" w:hAnsiTheme="minorHAnsi" w:cstheme="minorHAnsi"/>
              </w:rPr>
              <w:t>Actuals submitted by Petitioner along with ARR / Tariff Petition for FY 2014-15</w:t>
            </w:r>
          </w:p>
        </w:tc>
      </w:tr>
      <w:tr w:rsidR="004C74C2" w:rsidRPr="00B53423" w:rsidTr="009268E4">
        <w:tc>
          <w:tcPr>
            <w:tcW w:w="423" w:type="pct"/>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pStyle w:val="Heading3"/>
              <w:keepNext w:val="0"/>
              <w:numPr>
                <w:ilvl w:val="0"/>
                <w:numId w:val="0"/>
              </w:numPr>
              <w:tabs>
                <w:tab w:val="left" w:pos="864"/>
              </w:tabs>
              <w:jc w:val="center"/>
            </w:pPr>
            <w:r w:rsidRPr="00B53423">
              <w:t>2</w:t>
            </w:r>
          </w:p>
        </w:tc>
        <w:tc>
          <w:tcPr>
            <w:tcW w:w="918" w:type="pct"/>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60" w:after="60"/>
              <w:jc w:val="left"/>
              <w:rPr>
                <w:rFonts w:asciiTheme="minorHAnsi" w:hAnsiTheme="minorHAnsi" w:cstheme="minorHAnsi"/>
              </w:rPr>
            </w:pPr>
            <w:r w:rsidRPr="00B53423">
              <w:rPr>
                <w:rFonts w:asciiTheme="minorHAnsi" w:hAnsiTheme="minorHAnsi" w:cstheme="minorHAnsi"/>
              </w:rPr>
              <w:t>FY 2011-12</w:t>
            </w:r>
          </w:p>
        </w:tc>
        <w:tc>
          <w:tcPr>
            <w:tcW w:w="3659" w:type="pct"/>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rPr>
                <w:rFonts w:asciiTheme="minorHAnsi" w:hAnsiTheme="minorHAnsi" w:cstheme="minorHAnsi"/>
              </w:rPr>
            </w:pPr>
            <w:r w:rsidRPr="00B53423">
              <w:rPr>
                <w:rFonts w:asciiTheme="minorHAnsi" w:hAnsiTheme="minorHAnsi" w:cstheme="minorHAnsi"/>
              </w:rPr>
              <w:t>Actuals submitted by Petitioner in ARR / Tariff Petition for FY 2014-15.</w:t>
            </w:r>
          </w:p>
        </w:tc>
      </w:tr>
      <w:tr w:rsidR="004C74C2" w:rsidRPr="00B53423" w:rsidTr="009268E4">
        <w:tc>
          <w:tcPr>
            <w:tcW w:w="423" w:type="pct"/>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pStyle w:val="Heading3"/>
              <w:keepNext w:val="0"/>
              <w:numPr>
                <w:ilvl w:val="0"/>
                <w:numId w:val="0"/>
              </w:numPr>
              <w:tabs>
                <w:tab w:val="left" w:pos="864"/>
              </w:tabs>
              <w:jc w:val="center"/>
            </w:pPr>
            <w:r w:rsidRPr="00B53423">
              <w:t>3</w:t>
            </w:r>
          </w:p>
        </w:tc>
        <w:tc>
          <w:tcPr>
            <w:tcW w:w="918" w:type="pct"/>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spacing w:before="60" w:after="60"/>
              <w:jc w:val="left"/>
              <w:rPr>
                <w:rFonts w:asciiTheme="minorHAnsi" w:hAnsiTheme="minorHAnsi" w:cstheme="minorHAnsi"/>
              </w:rPr>
            </w:pPr>
            <w:r w:rsidRPr="00B53423">
              <w:rPr>
                <w:rFonts w:asciiTheme="minorHAnsi" w:hAnsiTheme="minorHAnsi" w:cstheme="minorHAnsi"/>
              </w:rPr>
              <w:t>FY 2012-13</w:t>
            </w:r>
          </w:p>
        </w:tc>
        <w:tc>
          <w:tcPr>
            <w:tcW w:w="3659" w:type="pct"/>
            <w:tcBorders>
              <w:top w:val="dotted" w:sz="4" w:space="0" w:color="auto"/>
              <w:left w:val="dotted" w:sz="4" w:space="0" w:color="auto"/>
              <w:bottom w:val="dotted" w:sz="4" w:space="0" w:color="auto"/>
              <w:right w:val="dotted" w:sz="4" w:space="0" w:color="auto"/>
            </w:tcBorders>
            <w:vAlign w:val="center"/>
            <w:hideMark/>
          </w:tcPr>
          <w:p w:rsidR="004C74C2" w:rsidRPr="00B53423" w:rsidRDefault="004C74C2" w:rsidP="0015232B">
            <w:pPr>
              <w:rPr>
                <w:rFonts w:asciiTheme="minorHAnsi" w:hAnsiTheme="minorHAnsi" w:cstheme="minorHAnsi"/>
              </w:rPr>
            </w:pPr>
            <w:r w:rsidRPr="00B53423">
              <w:rPr>
                <w:rFonts w:asciiTheme="minorHAnsi" w:hAnsiTheme="minorHAnsi" w:cstheme="minorHAnsi"/>
              </w:rPr>
              <w:t>Actuals submitted by Petitioner in ARR / Tariff Petition for FY 2014-15.</w:t>
            </w:r>
          </w:p>
        </w:tc>
      </w:tr>
    </w:tbl>
    <w:p w:rsidR="004C74C2" w:rsidRPr="00B53423" w:rsidRDefault="004C74C2" w:rsidP="0015232B">
      <w:pPr>
        <w:pStyle w:val="Heading3"/>
        <w:keepNext w:val="0"/>
        <w:numPr>
          <w:ilvl w:val="0"/>
          <w:numId w:val="0"/>
        </w:numPr>
        <w:tabs>
          <w:tab w:val="left" w:pos="864"/>
        </w:tabs>
      </w:pPr>
    </w:p>
    <w:p w:rsidR="004C74C2" w:rsidRPr="00B53423" w:rsidRDefault="004C74C2" w:rsidP="0015232B">
      <w:pPr>
        <w:pStyle w:val="Heading3"/>
        <w:keepNext w:val="0"/>
        <w:numPr>
          <w:ilvl w:val="0"/>
          <w:numId w:val="8"/>
        </w:numPr>
        <w:tabs>
          <w:tab w:val="left" w:pos="864"/>
        </w:tabs>
        <w:spacing w:before="120"/>
      </w:pPr>
      <w:r w:rsidRPr="00B53423">
        <w:rPr>
          <w:b/>
          <w:u w:val="single"/>
        </w:rPr>
        <w:t>Secondly</w:t>
      </w:r>
      <w:r w:rsidRPr="00B53423">
        <w:t>, 3-year CAGR was computed for each of the parameter and for each consumer sub-category based on the above set of data.</w:t>
      </w:r>
    </w:p>
    <w:p w:rsidR="004C74C2" w:rsidRPr="00B53423" w:rsidRDefault="004C74C2" w:rsidP="0015232B">
      <w:pPr>
        <w:pStyle w:val="Heading3"/>
        <w:keepNext w:val="0"/>
        <w:numPr>
          <w:ilvl w:val="0"/>
          <w:numId w:val="8"/>
        </w:numPr>
        <w:tabs>
          <w:tab w:val="left" w:pos="864"/>
        </w:tabs>
        <w:spacing w:before="120"/>
      </w:pPr>
      <w:r w:rsidRPr="00B53423">
        <w:t xml:space="preserve">As a </w:t>
      </w:r>
      <w:r w:rsidRPr="00B53423">
        <w:rPr>
          <w:b/>
          <w:u w:val="single"/>
        </w:rPr>
        <w:t>third step</w:t>
      </w:r>
      <w:r w:rsidRPr="00B53423">
        <w:t>, the value for FY 2014-15 was estimated for each of the above consumption parameters in the following manner:</w:t>
      </w:r>
    </w:p>
    <w:p w:rsidR="004C74C2" w:rsidRPr="00B53423" w:rsidRDefault="004C74C2" w:rsidP="0015232B">
      <w:pPr>
        <w:pStyle w:val="Heading3"/>
        <w:keepNext w:val="0"/>
        <w:numPr>
          <w:ilvl w:val="1"/>
          <w:numId w:val="8"/>
        </w:numPr>
        <w:tabs>
          <w:tab w:val="left" w:pos="864"/>
        </w:tabs>
        <w:spacing w:before="120"/>
      </w:pPr>
      <w:r w:rsidRPr="00B53423">
        <w:t>A 3-year trend line was plotted and the trend observed.</w:t>
      </w:r>
    </w:p>
    <w:p w:rsidR="004C74C2" w:rsidRPr="00B53423" w:rsidRDefault="004C74C2" w:rsidP="0015232B">
      <w:pPr>
        <w:pStyle w:val="Heading3"/>
        <w:keepNext w:val="0"/>
        <w:numPr>
          <w:ilvl w:val="1"/>
          <w:numId w:val="8"/>
        </w:numPr>
        <w:tabs>
          <w:tab w:val="left" w:pos="864"/>
        </w:tabs>
        <w:spacing w:before="120"/>
      </w:pPr>
      <w:r w:rsidRPr="00B53423">
        <w:t>If the trend appeared to be smooth, the 3-year CAGR was adopted.</w:t>
      </w:r>
    </w:p>
    <w:p w:rsidR="004C74C2" w:rsidRPr="00B53423" w:rsidRDefault="004C74C2" w:rsidP="0015232B">
      <w:pPr>
        <w:pStyle w:val="Heading3"/>
        <w:keepNext w:val="0"/>
        <w:numPr>
          <w:ilvl w:val="1"/>
          <w:numId w:val="8"/>
        </w:numPr>
        <w:tabs>
          <w:tab w:val="left" w:pos="864"/>
        </w:tabs>
        <w:spacing w:before="120"/>
      </w:pPr>
      <w:r w:rsidRPr="00B53423">
        <w:t xml:space="preserve">If there was a sharp change in the trend in recent years, then the appropriate CAGR was adopted. </w:t>
      </w:r>
    </w:p>
    <w:p w:rsidR="004C74C2" w:rsidRPr="00B53423" w:rsidRDefault="004C74C2" w:rsidP="0015232B">
      <w:pPr>
        <w:pStyle w:val="Heading3"/>
        <w:keepNext w:val="0"/>
        <w:numPr>
          <w:ilvl w:val="1"/>
          <w:numId w:val="8"/>
        </w:numPr>
        <w:tabs>
          <w:tab w:val="left" w:pos="864"/>
        </w:tabs>
        <w:spacing w:before="120"/>
      </w:pPr>
      <w:r w:rsidRPr="00B53423">
        <w:t>The adopted CAGR was applied on the value of FY 2012-13 to derive the value for FY 2013-14. Further the same CAGR was applied on this derived value of FY 2013-14 to derive the value of FY 2014-15.</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The consumption norms  for projection of unmetered sales were established vide UPPCL Order No. 2649-CUR/L, dated 20-07-2001, however, since, then there has been lot of development in the State. In addition, there has been significant economical and industrial growth resulting in higher GDP growth rate, as compared to that in FY 2001-02.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Commission is of the view that in the present scenario the existing consumption norms may have become redundant and therefore, based on the data submitted by the Distribution Licensees the Commission has tried to work out the extent of redundancy of above norms and the possible new consumption norms as shown in the Table below:</w:t>
      </w:r>
    </w:p>
    <w:p w:rsidR="004C74C2" w:rsidRPr="00B53423" w:rsidRDefault="004C74C2" w:rsidP="0015232B">
      <w:pPr>
        <w:pStyle w:val="ListParagraph"/>
        <w:ind w:left="180"/>
      </w:pPr>
    </w:p>
    <w:p w:rsidR="004C74C2" w:rsidRPr="00B53423" w:rsidRDefault="004C74C2" w:rsidP="0015232B">
      <w:pPr>
        <w:pStyle w:val="ListParagraph"/>
        <w:ind w:left="180"/>
        <w:jc w:val="center"/>
        <w:rPr>
          <w:b/>
        </w:rPr>
      </w:pPr>
      <w:bookmarkStart w:id="582" w:name="_Toc399626408"/>
      <w:r w:rsidRPr="00B53423">
        <w:rPr>
          <w:b/>
        </w:rPr>
        <w:t xml:space="preserve">Table </w:t>
      </w:r>
      <w:r w:rsidR="005D68E7" w:rsidRPr="00B53423">
        <w:rPr>
          <w:b/>
        </w:rPr>
        <w:fldChar w:fldCharType="begin"/>
      </w:r>
      <w:r w:rsidRPr="00B53423">
        <w:rPr>
          <w:b/>
        </w:rPr>
        <w:instrText xml:space="preserve"> STYLEREF 1 \s </w:instrText>
      </w:r>
      <w:r w:rsidR="005D68E7" w:rsidRPr="00B53423">
        <w:rPr>
          <w:b/>
        </w:rPr>
        <w:fldChar w:fldCharType="separate"/>
      </w:r>
      <w:r w:rsidR="00847C1B">
        <w:rPr>
          <w:b/>
          <w:noProof/>
        </w:rPr>
        <w:t>9</w:t>
      </w:r>
      <w:r w:rsidR="005D68E7" w:rsidRPr="00B53423">
        <w:rPr>
          <w:b/>
        </w:rPr>
        <w:fldChar w:fldCharType="end"/>
      </w:r>
      <w:r w:rsidRPr="00B53423">
        <w:rPr>
          <w:b/>
        </w:rPr>
        <w:noBreakHyphen/>
      </w:r>
      <w:r w:rsidR="005D68E7" w:rsidRPr="00B53423">
        <w:rPr>
          <w:b/>
        </w:rPr>
        <w:fldChar w:fldCharType="begin"/>
      </w:r>
      <w:r w:rsidRPr="00B53423">
        <w:rPr>
          <w:b/>
        </w:rPr>
        <w:instrText xml:space="preserve"> SEQ Table \* ARABIC \s 1 </w:instrText>
      </w:r>
      <w:r w:rsidR="005D68E7" w:rsidRPr="00B53423">
        <w:rPr>
          <w:b/>
        </w:rPr>
        <w:fldChar w:fldCharType="separate"/>
      </w:r>
      <w:r w:rsidR="00847C1B">
        <w:rPr>
          <w:b/>
          <w:noProof/>
        </w:rPr>
        <w:t>3</w:t>
      </w:r>
      <w:r w:rsidR="005D68E7" w:rsidRPr="00B53423">
        <w:rPr>
          <w:b/>
        </w:rPr>
        <w:fldChar w:fldCharType="end"/>
      </w:r>
      <w:r w:rsidRPr="00B53423">
        <w:rPr>
          <w:b/>
        </w:rPr>
        <w:t>: CONSUMPTION NORMS FOR UNMETERED CONSUMPTION</w:t>
      </w:r>
      <w:bookmarkEnd w:id="582"/>
    </w:p>
    <w:tbl>
      <w:tblPr>
        <w:tblW w:w="9646" w:type="dxa"/>
        <w:tblInd w:w="9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646"/>
        <w:gridCol w:w="2854"/>
        <w:gridCol w:w="2996"/>
        <w:gridCol w:w="3150"/>
      </w:tblGrid>
      <w:tr w:rsidR="004C74C2" w:rsidRPr="00B53423" w:rsidTr="009268E4">
        <w:trPr>
          <w:trHeight w:val="300"/>
          <w:tblHeader/>
        </w:trPr>
        <w:tc>
          <w:tcPr>
            <w:tcW w:w="646" w:type="dxa"/>
            <w:shd w:val="clear" w:color="auto" w:fill="DBE5F1" w:themeFill="accent1" w:themeFillTint="33"/>
            <w:noWrap/>
            <w:vAlign w:val="center"/>
            <w:hideMark/>
          </w:tcPr>
          <w:p w:rsidR="004C74C2" w:rsidRPr="00B53423" w:rsidRDefault="004C74C2" w:rsidP="0015232B">
            <w:pPr>
              <w:spacing w:before="0" w:line="240" w:lineRule="auto"/>
              <w:jc w:val="center"/>
              <w:rPr>
                <w:rFonts w:asciiTheme="minorHAnsi" w:hAnsiTheme="minorHAnsi" w:cstheme="minorHAnsi"/>
                <w:b/>
                <w:color w:val="000000"/>
                <w:lang w:val="en-US"/>
              </w:rPr>
            </w:pPr>
            <w:r w:rsidRPr="00B53423">
              <w:rPr>
                <w:rFonts w:asciiTheme="minorHAnsi" w:hAnsiTheme="minorHAnsi" w:cstheme="minorHAnsi"/>
                <w:b/>
                <w:color w:val="000000"/>
                <w:lang w:val="en-US"/>
              </w:rPr>
              <w:t>Sl. No</w:t>
            </w:r>
          </w:p>
        </w:tc>
        <w:tc>
          <w:tcPr>
            <w:tcW w:w="2854" w:type="dxa"/>
            <w:shd w:val="clear" w:color="auto" w:fill="DBE5F1" w:themeFill="accent1" w:themeFillTint="33"/>
            <w:noWrap/>
            <w:vAlign w:val="center"/>
            <w:hideMark/>
          </w:tcPr>
          <w:p w:rsidR="004C74C2" w:rsidRPr="00B53423" w:rsidRDefault="004C74C2" w:rsidP="0015232B">
            <w:pPr>
              <w:spacing w:before="0" w:line="240" w:lineRule="auto"/>
              <w:jc w:val="center"/>
              <w:rPr>
                <w:rFonts w:asciiTheme="minorHAnsi" w:hAnsiTheme="minorHAnsi" w:cstheme="minorHAnsi"/>
                <w:b/>
                <w:color w:val="000000"/>
                <w:lang w:val="en-US"/>
              </w:rPr>
            </w:pPr>
            <w:r w:rsidRPr="00B53423">
              <w:rPr>
                <w:rFonts w:asciiTheme="minorHAnsi" w:hAnsiTheme="minorHAnsi" w:cstheme="minorHAnsi"/>
                <w:b/>
                <w:color w:val="000000"/>
                <w:lang w:val="en-US"/>
              </w:rPr>
              <w:t>Category</w:t>
            </w:r>
          </w:p>
        </w:tc>
        <w:tc>
          <w:tcPr>
            <w:tcW w:w="2996" w:type="dxa"/>
            <w:shd w:val="clear" w:color="auto" w:fill="DBE5F1" w:themeFill="accent1" w:themeFillTint="33"/>
            <w:noWrap/>
            <w:vAlign w:val="center"/>
            <w:hideMark/>
          </w:tcPr>
          <w:p w:rsidR="004C74C2" w:rsidRPr="00B53423" w:rsidRDefault="004C74C2" w:rsidP="0015232B">
            <w:pPr>
              <w:spacing w:before="0" w:line="240" w:lineRule="auto"/>
              <w:jc w:val="center"/>
              <w:rPr>
                <w:rFonts w:asciiTheme="minorHAnsi" w:hAnsiTheme="minorHAnsi" w:cstheme="minorHAnsi"/>
                <w:b/>
                <w:color w:val="000000"/>
                <w:lang w:val="en-US"/>
              </w:rPr>
            </w:pPr>
            <w:r w:rsidRPr="00B53423">
              <w:rPr>
                <w:rFonts w:asciiTheme="minorHAnsi" w:hAnsiTheme="minorHAnsi" w:cstheme="minorHAnsi"/>
                <w:b/>
                <w:color w:val="000000"/>
                <w:lang w:val="en-US"/>
              </w:rPr>
              <w:t>Existing Consumption Norm</w:t>
            </w:r>
          </w:p>
        </w:tc>
        <w:tc>
          <w:tcPr>
            <w:tcW w:w="3150" w:type="dxa"/>
            <w:shd w:val="clear" w:color="auto" w:fill="DBE5F1" w:themeFill="accent1" w:themeFillTint="33"/>
            <w:noWrap/>
            <w:vAlign w:val="center"/>
            <w:hideMark/>
          </w:tcPr>
          <w:p w:rsidR="004C74C2" w:rsidRPr="00B53423" w:rsidRDefault="004C74C2" w:rsidP="0015232B">
            <w:pPr>
              <w:spacing w:before="0" w:line="240" w:lineRule="auto"/>
              <w:jc w:val="center"/>
              <w:rPr>
                <w:rFonts w:asciiTheme="minorHAnsi" w:hAnsiTheme="minorHAnsi" w:cstheme="minorHAnsi"/>
                <w:b/>
                <w:color w:val="000000"/>
                <w:lang w:val="en-US"/>
              </w:rPr>
            </w:pPr>
            <w:r w:rsidRPr="00B53423">
              <w:rPr>
                <w:rFonts w:asciiTheme="minorHAnsi" w:hAnsiTheme="minorHAnsi" w:cstheme="minorHAnsi"/>
                <w:b/>
                <w:color w:val="000000"/>
                <w:lang w:val="en-US"/>
              </w:rPr>
              <w:t>Re- worked Consumption Norm</w:t>
            </w:r>
          </w:p>
        </w:tc>
      </w:tr>
      <w:tr w:rsidR="004C74C2" w:rsidRPr="00B53423" w:rsidTr="009268E4">
        <w:trPr>
          <w:trHeight w:val="300"/>
        </w:trPr>
        <w:tc>
          <w:tcPr>
            <w:tcW w:w="64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color w:val="000000"/>
                <w:lang w:val="en-US"/>
              </w:rPr>
            </w:pPr>
            <w:r w:rsidRPr="00B53423">
              <w:rPr>
                <w:rFonts w:asciiTheme="minorHAnsi" w:hAnsiTheme="minorHAnsi" w:cstheme="minorHAnsi"/>
                <w:color w:val="000000"/>
                <w:lang w:val="en-US"/>
              </w:rPr>
              <w:t>1</w:t>
            </w:r>
          </w:p>
        </w:tc>
        <w:tc>
          <w:tcPr>
            <w:tcW w:w="2854" w:type="dxa"/>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LMV1: Domestic Rural </w:t>
            </w:r>
          </w:p>
        </w:tc>
        <w:tc>
          <w:tcPr>
            <w:tcW w:w="2996"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color w:val="000000"/>
                <w:lang w:val="en-US"/>
              </w:rPr>
            </w:pPr>
            <w:r w:rsidRPr="00B53423">
              <w:rPr>
                <w:rFonts w:asciiTheme="minorHAnsi" w:hAnsiTheme="minorHAnsi" w:cstheme="minorHAnsi"/>
                <w:color w:val="000000"/>
                <w:lang w:val="en-US"/>
              </w:rPr>
              <w:t xml:space="preserve">72 kWh / kW / month </w:t>
            </w:r>
          </w:p>
        </w:tc>
        <w:tc>
          <w:tcPr>
            <w:tcW w:w="3150"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color w:val="000000"/>
                <w:lang w:val="en-US"/>
              </w:rPr>
            </w:pPr>
            <w:r w:rsidRPr="00B53423">
              <w:rPr>
                <w:rFonts w:asciiTheme="minorHAnsi" w:hAnsiTheme="minorHAnsi" w:cstheme="minorHAnsi"/>
                <w:color w:val="000000"/>
                <w:lang w:val="en-US"/>
              </w:rPr>
              <w:t xml:space="preserve">85.69 kWh / kW / month </w:t>
            </w:r>
          </w:p>
        </w:tc>
      </w:tr>
      <w:tr w:rsidR="004C74C2" w:rsidRPr="00B53423" w:rsidTr="009268E4">
        <w:trPr>
          <w:trHeight w:val="300"/>
        </w:trPr>
        <w:tc>
          <w:tcPr>
            <w:tcW w:w="64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color w:val="000000"/>
                <w:lang w:val="en-US"/>
              </w:rPr>
            </w:pPr>
            <w:r w:rsidRPr="00B53423">
              <w:rPr>
                <w:rFonts w:asciiTheme="minorHAnsi" w:hAnsiTheme="minorHAnsi" w:cstheme="minorHAnsi"/>
                <w:color w:val="000000"/>
                <w:lang w:val="en-US"/>
              </w:rPr>
              <w:t>2</w:t>
            </w:r>
          </w:p>
        </w:tc>
        <w:tc>
          <w:tcPr>
            <w:tcW w:w="2854" w:type="dxa"/>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LMV2: Non Domestic Rural </w:t>
            </w:r>
          </w:p>
        </w:tc>
        <w:tc>
          <w:tcPr>
            <w:tcW w:w="2996"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color w:val="000000"/>
                <w:lang w:val="en-US"/>
              </w:rPr>
            </w:pPr>
            <w:r w:rsidRPr="00B53423">
              <w:rPr>
                <w:rFonts w:asciiTheme="minorHAnsi" w:hAnsiTheme="minorHAnsi" w:cstheme="minorHAnsi"/>
                <w:color w:val="000000"/>
                <w:lang w:val="en-US"/>
              </w:rPr>
              <w:t xml:space="preserve">72 kWh / kW / month </w:t>
            </w:r>
          </w:p>
        </w:tc>
        <w:tc>
          <w:tcPr>
            <w:tcW w:w="3150"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color w:val="000000"/>
                <w:lang w:val="en-US"/>
              </w:rPr>
            </w:pPr>
            <w:r w:rsidRPr="00B53423">
              <w:rPr>
                <w:rFonts w:asciiTheme="minorHAnsi" w:hAnsiTheme="minorHAnsi" w:cstheme="minorHAnsi"/>
                <w:color w:val="000000"/>
                <w:lang w:val="en-US"/>
              </w:rPr>
              <w:t xml:space="preserve">101.93 kWh / kW / month </w:t>
            </w:r>
          </w:p>
        </w:tc>
      </w:tr>
      <w:tr w:rsidR="004C74C2" w:rsidRPr="00B53423" w:rsidTr="009268E4">
        <w:trPr>
          <w:trHeight w:val="300"/>
        </w:trPr>
        <w:tc>
          <w:tcPr>
            <w:tcW w:w="64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color w:val="000000"/>
                <w:lang w:val="en-US"/>
              </w:rPr>
            </w:pPr>
            <w:r w:rsidRPr="00B53423">
              <w:rPr>
                <w:rFonts w:asciiTheme="minorHAnsi" w:hAnsiTheme="minorHAnsi" w:cstheme="minorHAnsi"/>
                <w:color w:val="000000"/>
                <w:lang w:val="en-US"/>
              </w:rPr>
              <w:t>3</w:t>
            </w:r>
          </w:p>
        </w:tc>
        <w:tc>
          <w:tcPr>
            <w:tcW w:w="2854" w:type="dxa"/>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LMV3: Public Lamps </w:t>
            </w:r>
          </w:p>
        </w:tc>
        <w:tc>
          <w:tcPr>
            <w:tcW w:w="2996"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color w:val="000000"/>
                <w:lang w:val="en-US"/>
              </w:rPr>
            </w:pPr>
            <w:r w:rsidRPr="00B53423">
              <w:rPr>
                <w:rFonts w:asciiTheme="minorHAnsi" w:hAnsiTheme="minorHAnsi" w:cstheme="minorHAnsi"/>
                <w:color w:val="000000"/>
                <w:lang w:val="en-US"/>
              </w:rPr>
              <w:t xml:space="preserve">300 kWh / kW / month </w:t>
            </w:r>
          </w:p>
        </w:tc>
        <w:tc>
          <w:tcPr>
            <w:tcW w:w="3150"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color w:val="000000"/>
                <w:lang w:val="en-US"/>
              </w:rPr>
            </w:pPr>
            <w:r w:rsidRPr="00B53423">
              <w:rPr>
                <w:rFonts w:asciiTheme="minorHAnsi" w:hAnsiTheme="minorHAnsi" w:cstheme="minorHAnsi"/>
                <w:color w:val="000000"/>
                <w:lang w:val="en-US"/>
              </w:rPr>
              <w:t xml:space="preserve">309.15 kWh / kW / month </w:t>
            </w:r>
          </w:p>
        </w:tc>
      </w:tr>
      <w:tr w:rsidR="004C74C2" w:rsidRPr="00B53423" w:rsidTr="009268E4">
        <w:trPr>
          <w:trHeight w:val="300"/>
        </w:trPr>
        <w:tc>
          <w:tcPr>
            <w:tcW w:w="64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color w:val="000000"/>
                <w:lang w:val="en-US"/>
              </w:rPr>
            </w:pPr>
            <w:r w:rsidRPr="00B53423">
              <w:rPr>
                <w:rFonts w:asciiTheme="minorHAnsi" w:hAnsiTheme="minorHAnsi" w:cstheme="minorHAnsi"/>
                <w:color w:val="000000"/>
                <w:lang w:val="en-US"/>
              </w:rPr>
              <w:t>4</w:t>
            </w:r>
          </w:p>
        </w:tc>
        <w:tc>
          <w:tcPr>
            <w:tcW w:w="2854" w:type="dxa"/>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LMV5: Private Tube Wells (Rural) </w:t>
            </w:r>
          </w:p>
        </w:tc>
        <w:tc>
          <w:tcPr>
            <w:tcW w:w="2996"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color w:val="000000"/>
                <w:lang w:val="en-US"/>
              </w:rPr>
            </w:pPr>
            <w:r w:rsidRPr="00B53423">
              <w:rPr>
                <w:rFonts w:asciiTheme="minorHAnsi" w:hAnsiTheme="minorHAnsi" w:cstheme="minorHAnsi"/>
                <w:color w:val="000000"/>
                <w:lang w:val="en-US"/>
              </w:rPr>
              <w:t xml:space="preserve">91.66 kWh / kW / month </w:t>
            </w:r>
          </w:p>
        </w:tc>
        <w:tc>
          <w:tcPr>
            <w:tcW w:w="3150"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color w:val="000000"/>
                <w:lang w:val="en-US"/>
              </w:rPr>
            </w:pPr>
            <w:r w:rsidRPr="00B53423">
              <w:rPr>
                <w:rFonts w:asciiTheme="minorHAnsi" w:hAnsiTheme="minorHAnsi" w:cstheme="minorHAnsi"/>
                <w:color w:val="000000"/>
                <w:lang w:val="en-US"/>
              </w:rPr>
              <w:t xml:space="preserve">94.89 kWh / kW / month </w:t>
            </w:r>
          </w:p>
        </w:tc>
      </w:tr>
      <w:tr w:rsidR="004C74C2" w:rsidRPr="00B53423" w:rsidTr="009268E4">
        <w:trPr>
          <w:trHeight w:val="300"/>
        </w:trPr>
        <w:tc>
          <w:tcPr>
            <w:tcW w:w="646"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color w:val="000000"/>
                <w:lang w:val="en-US"/>
              </w:rPr>
            </w:pPr>
            <w:r w:rsidRPr="00B53423">
              <w:rPr>
                <w:rFonts w:asciiTheme="minorHAnsi" w:hAnsiTheme="minorHAnsi" w:cstheme="minorHAnsi"/>
                <w:color w:val="000000"/>
                <w:lang w:val="en-US"/>
              </w:rPr>
              <w:t>5</w:t>
            </w:r>
          </w:p>
        </w:tc>
        <w:tc>
          <w:tcPr>
            <w:tcW w:w="2854" w:type="dxa"/>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LMV8: State Tube Wells </w:t>
            </w:r>
          </w:p>
        </w:tc>
        <w:tc>
          <w:tcPr>
            <w:tcW w:w="2996"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color w:val="000000"/>
                <w:lang w:val="en-US"/>
              </w:rPr>
            </w:pPr>
            <w:r w:rsidRPr="00B53423">
              <w:rPr>
                <w:rFonts w:asciiTheme="minorHAnsi" w:hAnsiTheme="minorHAnsi" w:cstheme="minorHAnsi"/>
                <w:color w:val="000000"/>
                <w:lang w:val="en-US"/>
              </w:rPr>
              <w:t xml:space="preserve">3562.35 kWh / connection / month </w:t>
            </w:r>
          </w:p>
        </w:tc>
        <w:tc>
          <w:tcPr>
            <w:tcW w:w="3150" w:type="dxa"/>
            <w:shd w:val="clear" w:color="auto" w:fill="auto"/>
            <w:noWrap/>
            <w:vAlign w:val="bottom"/>
            <w:hideMark/>
          </w:tcPr>
          <w:p w:rsidR="004C74C2" w:rsidRPr="00B53423" w:rsidRDefault="004C74C2" w:rsidP="0015232B">
            <w:pPr>
              <w:spacing w:before="0" w:line="240" w:lineRule="auto"/>
              <w:rPr>
                <w:rFonts w:asciiTheme="minorHAnsi" w:hAnsiTheme="minorHAnsi" w:cstheme="minorHAnsi"/>
                <w:color w:val="000000"/>
                <w:lang w:val="en-US"/>
              </w:rPr>
            </w:pPr>
            <w:r w:rsidRPr="00B53423">
              <w:rPr>
                <w:rFonts w:asciiTheme="minorHAnsi" w:hAnsiTheme="minorHAnsi" w:cstheme="minorHAnsi"/>
                <w:color w:val="000000"/>
                <w:lang w:val="en-US"/>
              </w:rPr>
              <w:t xml:space="preserve">5226.58 kWh / connection / month </w:t>
            </w:r>
          </w:p>
        </w:tc>
      </w:tr>
    </w:tbl>
    <w:p w:rsidR="004C74C2" w:rsidRPr="00B53423" w:rsidRDefault="004C74C2" w:rsidP="0015232B">
      <w:pPr>
        <w:pStyle w:val="Heading3"/>
        <w:keepNext w:val="0"/>
        <w:ind w:hanging="1080"/>
      </w:pPr>
      <w:r w:rsidRPr="00B53423">
        <w:t>However, since, the unmetered data submitted by the Distribution Licensees is itself on assessment basis, and does not give the accurate and true picture of the actual unmetered consumption; the data submitted by the Distribution Licensees cannot be the only basis for computation of new consumption norms.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Further, as regards consumption norms to be considered for assessment of consumption of unmetered categories, Regulation 3.1 (3) of the Distribution Tariff Regulations, 2006 specifies as follows:</w:t>
      </w:r>
    </w:p>
    <w:p w:rsidR="004C74C2" w:rsidRPr="00B53423" w:rsidRDefault="004C74C2" w:rsidP="0015232B">
      <w:pPr>
        <w:pStyle w:val="Heading3"/>
        <w:keepNext w:val="0"/>
        <w:numPr>
          <w:ilvl w:val="0"/>
          <w:numId w:val="0"/>
        </w:numPr>
        <w:ind w:left="1440"/>
        <w:rPr>
          <w:i/>
        </w:rPr>
      </w:pPr>
    </w:p>
    <w:p w:rsidR="004C74C2" w:rsidRPr="00B53423" w:rsidRDefault="004C74C2" w:rsidP="0015232B">
      <w:pPr>
        <w:pStyle w:val="Heading3"/>
        <w:keepNext w:val="0"/>
        <w:numPr>
          <w:ilvl w:val="0"/>
          <w:numId w:val="0"/>
        </w:numPr>
        <w:ind w:left="1440"/>
        <w:rPr>
          <w:i/>
        </w:rPr>
      </w:pPr>
      <w:r w:rsidRPr="00B53423">
        <w:rPr>
          <w:i/>
        </w:rPr>
        <w:t>“3. As per the Tariff Policy issued by the Central Government metering is to be completed by March 2007, however, based on ground realities if the distribution licensee seeks exemption towards its metering obligation for any particular category of consumers it must provide the Commission revised norms, based on fresh studies, for assessment of consumption for these categories. Sales forecast for such un-metered categories shall be validated with norms approved by the Commission on the basis of above study carried out by the licensee.”</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Also, the Hon’ble APTEL in its Judgment dated 28</w:t>
      </w:r>
      <w:r w:rsidRPr="00B53423">
        <w:rPr>
          <w:vertAlign w:val="superscript"/>
        </w:rPr>
        <w:t>th</w:t>
      </w:r>
      <w:r w:rsidRPr="00B53423">
        <w:t xml:space="preserve"> November, 2013 in Appeal No. 239 of 2012 has ruled as follows:</w:t>
      </w:r>
    </w:p>
    <w:p w:rsidR="004C74C2" w:rsidRPr="00B53423" w:rsidRDefault="004C74C2" w:rsidP="0015232B">
      <w:pPr>
        <w:pStyle w:val="Heading3"/>
        <w:keepNext w:val="0"/>
        <w:numPr>
          <w:ilvl w:val="0"/>
          <w:numId w:val="0"/>
        </w:numPr>
        <w:ind w:left="1440"/>
        <w:rPr>
          <w:rFonts w:cs="BookAntiqua"/>
          <w:i/>
        </w:rPr>
      </w:pPr>
    </w:p>
    <w:p w:rsidR="004C74C2" w:rsidRPr="00B53423" w:rsidRDefault="004C74C2" w:rsidP="0015232B">
      <w:pPr>
        <w:pStyle w:val="Heading3"/>
        <w:keepNext w:val="0"/>
        <w:numPr>
          <w:ilvl w:val="0"/>
          <w:numId w:val="0"/>
        </w:numPr>
        <w:ind w:left="1440"/>
        <w:rPr>
          <w:rFonts w:cs="BookAntiqua"/>
          <w:i/>
        </w:rPr>
      </w:pPr>
      <w:r w:rsidRPr="00B53423">
        <w:rPr>
          <w:rFonts w:cs="BookAntiqua"/>
          <w:i/>
        </w:rPr>
        <w:t>“The issue of unmetered supply is not restricted only to the State of Uttar Pradesh but is prevalent in every State throughout the country especially in the agriculture sector. The Commission has to adopt some normative value for estimation of the unmetered supply. In the absence of any scientific study made available to the Commission, the Commission has adopted the norms available at that relevant time. The Commission had been directing the distribution licensees to carry out study done for accurate estimation of consumption by unmetered supply. We accept the submissions made by the Commission and do not intend to interfere with the impugned order at present. However, we feel that the important issue cannot be postponed indefinitely at the hands of distribution licensees. We direct the Commission to get the required study done by itself through some expert consultant in a fixed time frame.”</w:t>
      </w:r>
    </w:p>
    <w:p w:rsidR="004C74C2" w:rsidRPr="00B53423" w:rsidRDefault="004C74C2" w:rsidP="0015232B">
      <w:pPr>
        <w:pStyle w:val="Heading3"/>
        <w:keepNext w:val="0"/>
        <w:numPr>
          <w:ilvl w:val="0"/>
          <w:numId w:val="0"/>
        </w:numPr>
        <w:ind w:left="1440"/>
      </w:pPr>
    </w:p>
    <w:p w:rsidR="004C74C2" w:rsidRPr="00B53423" w:rsidRDefault="004C74C2" w:rsidP="0015232B">
      <w:pPr>
        <w:pStyle w:val="Heading3"/>
        <w:keepNext w:val="0"/>
        <w:ind w:hanging="1080"/>
      </w:pPr>
      <w:r w:rsidRPr="00B53423">
        <w:t>Hence, the Commission is of the opinion that revising the consumption norms without validating the same based on a more detailed and appropriate study to provide accurate and affective consumption norms would not be appropriate. Further, the Distribution Licensees / UPPCL in the meeting on this issue held with the Commission on 28</w:t>
      </w:r>
      <w:r w:rsidRPr="00B53423">
        <w:rPr>
          <w:vertAlign w:val="superscript"/>
        </w:rPr>
        <w:t>th</w:t>
      </w:r>
      <w:r w:rsidRPr="00B53423">
        <w:t xml:space="preserve"> April, 2014 in response to the In-House Paper prepared by the Commission, have agreed to conduct a study to assess the actual consumption norms in accordance with the Regulations.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rPr>
          <w:b/>
        </w:rPr>
      </w:pPr>
      <w:bookmarkStart w:id="583" w:name="_Ref397182810"/>
      <w:r w:rsidRPr="00B53423">
        <w:rPr>
          <w:b/>
        </w:rPr>
        <w:t>In view of the above, to provide more accurate and effective consumption norms the Commission directs the Petitioners to conduct a detailed study which should include the following:</w:t>
      </w:r>
      <w:bookmarkEnd w:id="583"/>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numPr>
          <w:ilvl w:val="0"/>
          <w:numId w:val="13"/>
        </w:numPr>
        <w:tabs>
          <w:tab w:val="left" w:pos="720"/>
        </w:tabs>
      </w:pPr>
      <w:r w:rsidRPr="00B53423">
        <w:t>Review of Methodology adopted by Distribution Licensees for assessment of consumption norms for unmetered consumers.</w:t>
      </w:r>
    </w:p>
    <w:p w:rsidR="004C74C2" w:rsidRPr="00B53423" w:rsidRDefault="004C74C2" w:rsidP="0015232B">
      <w:pPr>
        <w:pStyle w:val="Heading3"/>
        <w:keepNext w:val="0"/>
        <w:numPr>
          <w:ilvl w:val="0"/>
          <w:numId w:val="0"/>
        </w:numPr>
        <w:tabs>
          <w:tab w:val="left" w:pos="720"/>
        </w:tabs>
        <w:ind w:left="1440"/>
      </w:pPr>
    </w:p>
    <w:p w:rsidR="004C74C2" w:rsidRPr="00B53423" w:rsidRDefault="004C74C2" w:rsidP="0015232B">
      <w:pPr>
        <w:pStyle w:val="Heading3"/>
        <w:keepNext w:val="0"/>
        <w:numPr>
          <w:ilvl w:val="0"/>
          <w:numId w:val="13"/>
        </w:numPr>
        <w:tabs>
          <w:tab w:val="left" w:pos="720"/>
        </w:tabs>
      </w:pPr>
      <w:proofErr w:type="gramStart"/>
      <w:r w:rsidRPr="00B53423">
        <w:t>Identification and finalization of sample size of unmetered consumers for installation of meters by Distribution Licensee.</w:t>
      </w:r>
      <w:proofErr w:type="gramEnd"/>
    </w:p>
    <w:p w:rsidR="004C74C2" w:rsidRPr="00B53423" w:rsidRDefault="004C74C2" w:rsidP="0015232B">
      <w:pPr>
        <w:pStyle w:val="ListParagraph"/>
        <w:ind w:left="180"/>
      </w:pPr>
    </w:p>
    <w:p w:rsidR="004C74C2" w:rsidRPr="00B53423" w:rsidRDefault="004C74C2" w:rsidP="0015232B">
      <w:pPr>
        <w:pStyle w:val="Heading3"/>
        <w:keepNext w:val="0"/>
        <w:numPr>
          <w:ilvl w:val="0"/>
          <w:numId w:val="13"/>
        </w:numPr>
        <w:tabs>
          <w:tab w:val="left" w:pos="720"/>
        </w:tabs>
      </w:pPr>
      <w:r w:rsidRPr="00B53423">
        <w:t>Collection and analysis of data like Distribution Sub-division wise numbers of consumers where sample meters have been installed, month wise load of each such consumer maintained in the Distribution Sub-divisions, month-wise consumption readings of each sample meter along with number of supply hours per month, total connected load - division wise and month wise, etc.</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Therefore, for the present Order, the Commission has estimated the sales for unmetered categories for FY 2014-15 by multiplying the existing consumption norms as per UPPCL Order No. 2649-CUR/L, dated 20</w:t>
      </w:r>
      <w:r w:rsidRPr="00B53423">
        <w:rPr>
          <w:vertAlign w:val="superscript"/>
        </w:rPr>
        <w:t>th</w:t>
      </w:r>
      <w:r w:rsidRPr="00B53423">
        <w:t xml:space="preserve"> July, 2001 with the appropriate consumption parameter (connected load or number of consumers) as shown in the </w:t>
      </w:r>
      <w:fldSimple w:instr=" REF _Ref394762136 \h  \* MERGEFORMAT ">
        <w:r w:rsidR="00847C1B" w:rsidRPr="00847C1B">
          <w:t>Table 9</w:t>
        </w:r>
        <w:r w:rsidR="00847C1B" w:rsidRPr="00847C1B">
          <w:noBreakHyphen/>
          <w:t>1</w:t>
        </w:r>
      </w:fldSimple>
      <w:r w:rsidRPr="00B53423">
        <w:t xml:space="preserve"> above.</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Further, in reply to the Commission’s deficiency note regarding number of unmetered connections, load and sales of such consumers up to December, 2013, the Petitioner has submitted as follows:</w:t>
      </w:r>
    </w:p>
    <w:p w:rsidR="004C74C2" w:rsidRPr="00B53423" w:rsidRDefault="004C74C2" w:rsidP="0015232B">
      <w:pPr>
        <w:pStyle w:val="Caption"/>
        <w:ind w:left="432"/>
      </w:pPr>
    </w:p>
    <w:p w:rsidR="004C74C2" w:rsidRPr="00B53423" w:rsidRDefault="004C74C2" w:rsidP="0015232B">
      <w:pPr>
        <w:pStyle w:val="Caption"/>
        <w:ind w:left="432"/>
      </w:pPr>
      <w:bookmarkStart w:id="584" w:name="_Ref394762241"/>
      <w:bookmarkStart w:id="585" w:name="_Toc399626409"/>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4</w:t>
      </w:r>
      <w:r w:rsidR="005D68E7" w:rsidRPr="00B53423">
        <w:fldChar w:fldCharType="end"/>
      </w:r>
      <w:bookmarkEnd w:id="584"/>
      <w:r w:rsidRPr="00B53423">
        <w:t>: DETAILS OF UNMETERD CATEGORIES UPTO DECEMBER, 2013</w:t>
      </w:r>
      <w:bookmarkEnd w:id="585"/>
    </w:p>
    <w:tbl>
      <w:tblPr>
        <w:tblW w:w="9317" w:type="dxa"/>
        <w:tblInd w:w="-43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78"/>
        <w:gridCol w:w="1139"/>
        <w:gridCol w:w="1137"/>
        <w:gridCol w:w="890"/>
        <w:gridCol w:w="1007"/>
        <w:gridCol w:w="966"/>
        <w:gridCol w:w="1372"/>
        <w:gridCol w:w="1328"/>
      </w:tblGrid>
      <w:tr w:rsidR="004C74C2" w:rsidRPr="00B53423" w:rsidTr="009268E4">
        <w:trPr>
          <w:trHeight w:val="300"/>
          <w:tblHeader/>
        </w:trPr>
        <w:tc>
          <w:tcPr>
            <w:tcW w:w="1588" w:type="dxa"/>
            <w:vMerge w:val="restart"/>
            <w:shd w:val="clear" w:color="auto" w:fill="DBE5F1" w:themeFill="accent1" w:themeFillTint="33"/>
            <w:vAlign w:val="center"/>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Category of consumers</w:t>
            </w:r>
          </w:p>
        </w:tc>
        <w:tc>
          <w:tcPr>
            <w:tcW w:w="1139" w:type="dxa"/>
            <w:vMerge w:val="restart"/>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No. of Consumers</w:t>
            </w:r>
          </w:p>
        </w:tc>
        <w:tc>
          <w:tcPr>
            <w:tcW w:w="1137" w:type="dxa"/>
            <w:vMerge w:val="restart"/>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Contracted Load</w:t>
            </w:r>
          </w:p>
        </w:tc>
        <w:tc>
          <w:tcPr>
            <w:tcW w:w="890" w:type="dxa"/>
            <w:vMerge w:val="restart"/>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MU</w:t>
            </w:r>
          </w:p>
        </w:tc>
        <w:tc>
          <w:tcPr>
            <w:tcW w:w="1907" w:type="dxa"/>
            <w:gridSpan w:val="2"/>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Revenue (Rs Lakh)</w:t>
            </w:r>
          </w:p>
        </w:tc>
        <w:tc>
          <w:tcPr>
            <w:tcW w:w="1328" w:type="dxa"/>
            <w:vMerge w:val="restart"/>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Consumption / Consumer</w:t>
            </w:r>
          </w:p>
        </w:tc>
        <w:tc>
          <w:tcPr>
            <w:tcW w:w="1328" w:type="dxa"/>
            <w:vMerge w:val="restart"/>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Consumption / kW</w:t>
            </w:r>
          </w:p>
        </w:tc>
      </w:tr>
      <w:tr w:rsidR="004C74C2" w:rsidRPr="00B53423" w:rsidTr="009268E4">
        <w:trPr>
          <w:trHeight w:val="510"/>
          <w:tblHeader/>
        </w:trPr>
        <w:tc>
          <w:tcPr>
            <w:tcW w:w="1588" w:type="dxa"/>
            <w:vMerge/>
            <w:vAlign w:val="center"/>
          </w:tcPr>
          <w:p w:rsidR="004C74C2" w:rsidRPr="00B53423" w:rsidRDefault="004C74C2" w:rsidP="0015232B">
            <w:pPr>
              <w:spacing w:before="0" w:line="240" w:lineRule="auto"/>
              <w:jc w:val="center"/>
              <w:rPr>
                <w:rFonts w:cs="Calibri"/>
                <w:b/>
                <w:bCs/>
                <w:color w:val="000000"/>
                <w:sz w:val="20"/>
                <w:szCs w:val="20"/>
                <w:lang w:val="en-US"/>
              </w:rPr>
            </w:pPr>
          </w:p>
        </w:tc>
        <w:tc>
          <w:tcPr>
            <w:tcW w:w="1139" w:type="dxa"/>
            <w:vMerge/>
            <w:vAlign w:val="center"/>
            <w:hideMark/>
          </w:tcPr>
          <w:p w:rsidR="004C74C2" w:rsidRPr="00B53423" w:rsidRDefault="004C74C2" w:rsidP="0015232B">
            <w:pPr>
              <w:spacing w:before="0" w:line="240" w:lineRule="auto"/>
              <w:jc w:val="center"/>
              <w:rPr>
                <w:rFonts w:cs="Calibri"/>
                <w:b/>
                <w:bCs/>
                <w:color w:val="000000"/>
                <w:sz w:val="20"/>
                <w:szCs w:val="20"/>
                <w:lang w:val="en-US"/>
              </w:rPr>
            </w:pPr>
          </w:p>
        </w:tc>
        <w:tc>
          <w:tcPr>
            <w:tcW w:w="1137" w:type="dxa"/>
            <w:vMerge/>
            <w:vAlign w:val="center"/>
            <w:hideMark/>
          </w:tcPr>
          <w:p w:rsidR="004C74C2" w:rsidRPr="00B53423" w:rsidRDefault="004C74C2" w:rsidP="0015232B">
            <w:pPr>
              <w:spacing w:before="0" w:line="240" w:lineRule="auto"/>
              <w:jc w:val="center"/>
              <w:rPr>
                <w:rFonts w:cs="Calibri"/>
                <w:b/>
                <w:bCs/>
                <w:color w:val="000000"/>
                <w:sz w:val="20"/>
                <w:szCs w:val="20"/>
                <w:lang w:val="en-US"/>
              </w:rPr>
            </w:pPr>
          </w:p>
        </w:tc>
        <w:tc>
          <w:tcPr>
            <w:tcW w:w="890" w:type="dxa"/>
            <w:vMerge/>
            <w:vAlign w:val="center"/>
            <w:hideMark/>
          </w:tcPr>
          <w:p w:rsidR="004C74C2" w:rsidRPr="00B53423" w:rsidRDefault="004C74C2" w:rsidP="0015232B">
            <w:pPr>
              <w:spacing w:before="0" w:line="240" w:lineRule="auto"/>
              <w:jc w:val="center"/>
              <w:rPr>
                <w:rFonts w:cs="Calibri"/>
                <w:b/>
                <w:bCs/>
                <w:color w:val="000000"/>
                <w:sz w:val="20"/>
                <w:szCs w:val="20"/>
                <w:lang w:val="en-US"/>
              </w:rPr>
            </w:pPr>
          </w:p>
        </w:tc>
        <w:tc>
          <w:tcPr>
            <w:tcW w:w="941"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Billed Amount</w:t>
            </w:r>
          </w:p>
        </w:tc>
        <w:tc>
          <w:tcPr>
            <w:tcW w:w="966" w:type="dxa"/>
            <w:shd w:val="clear" w:color="auto" w:fill="DBE5F1" w:themeFill="accent1" w:themeFillTint="33"/>
            <w:vAlign w:val="center"/>
            <w:hideMark/>
          </w:tcPr>
          <w:p w:rsidR="004C74C2" w:rsidRPr="00B53423" w:rsidRDefault="004C74C2" w:rsidP="0015232B">
            <w:pPr>
              <w:spacing w:before="0" w:line="240" w:lineRule="auto"/>
              <w:jc w:val="center"/>
              <w:rPr>
                <w:rFonts w:cs="Calibri"/>
                <w:b/>
                <w:bCs/>
                <w:color w:val="000000"/>
                <w:sz w:val="20"/>
                <w:szCs w:val="20"/>
                <w:lang w:val="en-US"/>
              </w:rPr>
            </w:pPr>
            <w:r w:rsidRPr="00B53423">
              <w:rPr>
                <w:rFonts w:cs="Calibri"/>
                <w:b/>
                <w:bCs/>
                <w:color w:val="000000"/>
                <w:sz w:val="20"/>
                <w:szCs w:val="20"/>
                <w:lang w:val="en-US"/>
              </w:rPr>
              <w:t>Received Amount</w:t>
            </w:r>
          </w:p>
        </w:tc>
        <w:tc>
          <w:tcPr>
            <w:tcW w:w="1328" w:type="dxa"/>
            <w:vMerge/>
            <w:vAlign w:val="center"/>
            <w:hideMark/>
          </w:tcPr>
          <w:p w:rsidR="004C74C2" w:rsidRPr="00B53423" w:rsidRDefault="004C74C2" w:rsidP="0015232B">
            <w:pPr>
              <w:spacing w:before="0" w:line="240" w:lineRule="auto"/>
              <w:jc w:val="center"/>
              <w:rPr>
                <w:rFonts w:cs="Calibri"/>
                <w:b/>
                <w:bCs/>
                <w:color w:val="000000"/>
                <w:sz w:val="20"/>
                <w:szCs w:val="20"/>
                <w:lang w:val="en-US"/>
              </w:rPr>
            </w:pPr>
          </w:p>
        </w:tc>
        <w:tc>
          <w:tcPr>
            <w:tcW w:w="1328" w:type="dxa"/>
            <w:vMerge/>
            <w:vAlign w:val="center"/>
            <w:hideMark/>
          </w:tcPr>
          <w:p w:rsidR="004C74C2" w:rsidRPr="00B53423" w:rsidRDefault="004C74C2" w:rsidP="0015232B">
            <w:pPr>
              <w:spacing w:before="0" w:line="240" w:lineRule="auto"/>
              <w:jc w:val="center"/>
              <w:rPr>
                <w:rFonts w:cs="Calibri"/>
                <w:b/>
                <w:bCs/>
                <w:color w:val="000000"/>
                <w:sz w:val="20"/>
                <w:szCs w:val="20"/>
                <w:lang w:val="en-US"/>
              </w:rPr>
            </w:pPr>
          </w:p>
        </w:tc>
      </w:tr>
      <w:tr w:rsidR="004C74C2" w:rsidRPr="00B53423" w:rsidTr="009268E4">
        <w:trPr>
          <w:trHeight w:val="300"/>
        </w:trPr>
        <w:tc>
          <w:tcPr>
            <w:tcW w:w="1588" w:type="dxa"/>
          </w:tcPr>
          <w:p w:rsidR="004C74C2" w:rsidRPr="00B53423" w:rsidRDefault="004C74C2" w:rsidP="0015232B">
            <w:pPr>
              <w:jc w:val="center"/>
              <w:rPr>
                <w:rFonts w:cs="Calibri"/>
                <w:color w:val="000000"/>
              </w:rPr>
            </w:pPr>
            <w:r w:rsidRPr="00B53423">
              <w:rPr>
                <w:rFonts w:cs="Calibri"/>
                <w:color w:val="000000"/>
              </w:rPr>
              <w:t>LMV-3 - Public Lamps</w:t>
            </w:r>
          </w:p>
        </w:tc>
        <w:tc>
          <w:tcPr>
            <w:tcW w:w="1139"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18.00</w:t>
            </w:r>
          </w:p>
        </w:tc>
        <w:tc>
          <w:tcPr>
            <w:tcW w:w="1137"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14068.00</w:t>
            </w:r>
          </w:p>
        </w:tc>
        <w:tc>
          <w:tcPr>
            <w:tcW w:w="890"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37.71</w:t>
            </w:r>
          </w:p>
        </w:tc>
        <w:tc>
          <w:tcPr>
            <w:tcW w:w="941"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3701.66</w:t>
            </w:r>
          </w:p>
        </w:tc>
        <w:tc>
          <w:tcPr>
            <w:tcW w:w="966"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27.13</w:t>
            </w:r>
          </w:p>
        </w:tc>
        <w:tc>
          <w:tcPr>
            <w:tcW w:w="1328"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2095222.22</w:t>
            </w:r>
          </w:p>
        </w:tc>
        <w:tc>
          <w:tcPr>
            <w:tcW w:w="1328"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2680.84</w:t>
            </w:r>
          </w:p>
        </w:tc>
      </w:tr>
      <w:tr w:rsidR="004C74C2" w:rsidRPr="00B53423" w:rsidTr="009268E4">
        <w:trPr>
          <w:trHeight w:val="300"/>
        </w:trPr>
        <w:tc>
          <w:tcPr>
            <w:tcW w:w="1588" w:type="dxa"/>
          </w:tcPr>
          <w:p w:rsidR="004C74C2" w:rsidRPr="00B53423" w:rsidRDefault="004C74C2" w:rsidP="0015232B">
            <w:pPr>
              <w:jc w:val="center"/>
              <w:rPr>
                <w:rFonts w:cs="Calibri"/>
                <w:color w:val="000000"/>
              </w:rPr>
            </w:pPr>
            <w:r w:rsidRPr="00B53423">
              <w:rPr>
                <w:rFonts w:cs="Calibri"/>
                <w:color w:val="000000"/>
              </w:rPr>
              <w:t>LMV-10 – Employees</w:t>
            </w:r>
          </w:p>
        </w:tc>
        <w:tc>
          <w:tcPr>
            <w:tcW w:w="1139"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4844.00</w:t>
            </w:r>
          </w:p>
        </w:tc>
        <w:tc>
          <w:tcPr>
            <w:tcW w:w="1137"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14532.00</w:t>
            </w:r>
          </w:p>
        </w:tc>
        <w:tc>
          <w:tcPr>
            <w:tcW w:w="890"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11.73</w:t>
            </w:r>
          </w:p>
        </w:tc>
        <w:tc>
          <w:tcPr>
            <w:tcW w:w="941"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94.94</w:t>
            </w:r>
          </w:p>
        </w:tc>
        <w:tc>
          <w:tcPr>
            <w:tcW w:w="966"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94.94</w:t>
            </w:r>
          </w:p>
        </w:tc>
        <w:tc>
          <w:tcPr>
            <w:tcW w:w="1328"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2422.38</w:t>
            </w:r>
          </w:p>
        </w:tc>
        <w:tc>
          <w:tcPr>
            <w:tcW w:w="1328" w:type="dxa"/>
            <w:shd w:val="clear" w:color="auto" w:fill="auto"/>
            <w:noWrap/>
            <w:vAlign w:val="center"/>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807.46</w:t>
            </w:r>
          </w:p>
        </w:tc>
      </w:tr>
    </w:tbl>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From the above </w:t>
      </w:r>
      <w:fldSimple w:instr=" REF _Ref394762241 \h  \* MERGEFORMAT ">
        <w:r w:rsidR="00847C1B" w:rsidRPr="00B53423">
          <w:t xml:space="preserve">Table </w:t>
        </w:r>
        <w:r w:rsidR="00847C1B">
          <w:t>9</w:t>
        </w:r>
        <w:r w:rsidR="00847C1B" w:rsidRPr="00B53423">
          <w:noBreakHyphen/>
        </w:r>
        <w:r w:rsidR="00847C1B">
          <w:t>4</w:t>
        </w:r>
      </w:fldSimple>
      <w:r w:rsidRPr="00B53423">
        <w:t xml:space="preserve"> it is observed that the Petitioner has very low number of unmetered consumers compared to the Other Distribution Licensees in the State. The Commission appreciates this fact that the Petitioner is the only Distribution Licensee among the State Distribution Licensees with no domestic consumers under unmetered category and in a way the Petitioner has set example for other State Distribution Licensees in achieving the best metering status in the State. However, it is observed that the number of unmetered consumers under LMV-3 category has been 18 since FY 2008-09 and the Petitioner has not been able to convert its LMV-3 consumers into metered connections since a very long time. It may be noted that the Commission its Tariff Order dated 31</w:t>
      </w:r>
      <w:r w:rsidRPr="00B53423">
        <w:rPr>
          <w:vertAlign w:val="superscript"/>
        </w:rPr>
        <w:t>st</w:t>
      </w:r>
      <w:r w:rsidRPr="00B53423">
        <w:t xml:space="preserve"> May, 2013 had directed the Petitioner as follows:</w:t>
      </w:r>
    </w:p>
    <w:p w:rsidR="004C74C2" w:rsidRPr="00B53423" w:rsidRDefault="004C74C2" w:rsidP="0015232B">
      <w:pPr>
        <w:pStyle w:val="Heading3"/>
        <w:keepNext w:val="0"/>
        <w:numPr>
          <w:ilvl w:val="0"/>
          <w:numId w:val="0"/>
        </w:numPr>
        <w:ind w:left="1260"/>
        <w:rPr>
          <w:i/>
        </w:rPr>
      </w:pPr>
    </w:p>
    <w:p w:rsidR="004C74C2" w:rsidRPr="00B53423" w:rsidRDefault="004C74C2" w:rsidP="0015232B">
      <w:pPr>
        <w:pStyle w:val="Heading3"/>
        <w:keepNext w:val="0"/>
        <w:numPr>
          <w:ilvl w:val="0"/>
          <w:numId w:val="0"/>
        </w:numPr>
        <w:ind w:left="1260"/>
        <w:rPr>
          <w:i/>
        </w:rPr>
      </w:pPr>
      <w:r w:rsidRPr="00B53423">
        <w:rPr>
          <w:i/>
        </w:rPr>
        <w:t>“Commission directs the Licensee to submit a road map for 100% metering in its licensed area. However, based on the ground realities, if the Distribution Licensee seeks exemption towards its metering obligation for any particular category of consumers, it must provide the Commission revised norms specific for its supply area, based on fresh studies, for assessment of consumption for these categories. Sales forecast for such un-metered categories shall be validated with norms approved by the Commission on the basis of above study carried out by the Licensee.”</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However, the Petitioner has not submitted any explanation as to why it has not been able to achieve a single metered connection in a particular category since FY 2008-09. This clearly implies that the Petitioner is not making its full efforts to convert the unmetered connections under LMV-3 category into metered connections</w:t>
      </w:r>
      <w:r w:rsidRPr="00B53423">
        <w:rPr>
          <w:b/>
        </w:rPr>
        <w:t>. Therefore, the Commission directs the Petitioner to ensure to convert all the 18 consumers under LMV-</w:t>
      </w:r>
      <w:r w:rsidR="003444DF" w:rsidRPr="00B53423">
        <w:rPr>
          <w:b/>
        </w:rPr>
        <w:t>3</w:t>
      </w:r>
      <w:r w:rsidRPr="00B53423">
        <w:rPr>
          <w:b/>
        </w:rPr>
        <w:t xml:space="preserve"> category into metered connections within one month of the issue of this Order failing which the Commission will resort to take stringent action against the Petitioner.</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Further, it is observed that the consumption parameters submitted by the Petitioner for LMV-10 category of consumers is quite abnormal. The number of consumers in LMV-10 category has increased from 576 in FY 2011-12 to 8267 in FY 2012-13. Similarly the connected load for LMV-10 category has increased from 1853 kW to 28652 kW in FY 2012-13. The Commission is of the view that such an exorbitant increase of 1335% and 1446% in number of consumers and connected load is not possible.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From the above </w:t>
      </w:r>
      <w:fldSimple w:instr=" REF _Ref394762241 \h  \* MERGEFORMAT ">
        <w:r w:rsidR="00847C1B" w:rsidRPr="00B53423">
          <w:t xml:space="preserve">Table </w:t>
        </w:r>
        <w:r w:rsidR="00847C1B">
          <w:rPr>
            <w:noProof/>
          </w:rPr>
          <w:t>9</w:t>
        </w:r>
        <w:r w:rsidR="00847C1B" w:rsidRPr="00B53423">
          <w:rPr>
            <w:noProof/>
          </w:rPr>
          <w:noBreakHyphen/>
        </w:r>
        <w:r w:rsidR="00847C1B">
          <w:rPr>
            <w:noProof/>
          </w:rPr>
          <w:t>4</w:t>
        </w:r>
      </w:fldSimple>
      <w:r w:rsidRPr="00B53423">
        <w:t>, it is observed that the number of unmetered consumers under LMV-10 is 4844. The past trend for unmetered consumers for LMV-10 category as submitted by the Petitioner is as follows:</w:t>
      </w:r>
    </w:p>
    <w:p w:rsidR="004C74C2" w:rsidRPr="00B53423" w:rsidRDefault="004C74C2" w:rsidP="0015232B">
      <w:pPr>
        <w:pStyle w:val="ListParagraph"/>
        <w:ind w:left="180"/>
      </w:pPr>
    </w:p>
    <w:p w:rsidR="004C74C2" w:rsidRPr="00B53423" w:rsidRDefault="004C74C2" w:rsidP="0015232B">
      <w:pPr>
        <w:pStyle w:val="Caption"/>
        <w:ind w:left="432"/>
      </w:pPr>
      <w:bookmarkStart w:id="586" w:name="_Ref394762475"/>
      <w:bookmarkStart w:id="587" w:name="_Toc399626410"/>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5</w:t>
      </w:r>
      <w:r w:rsidR="005D68E7" w:rsidRPr="00B53423">
        <w:fldChar w:fldCharType="end"/>
      </w:r>
      <w:bookmarkEnd w:id="586"/>
      <w:r w:rsidRPr="00B53423">
        <w:t>: PAST TREND OF UNMETERD CONSUMPTION IN LMV-10 CATEGORY</w:t>
      </w:r>
      <w:bookmarkEnd w:id="587"/>
    </w:p>
    <w:tbl>
      <w:tblPr>
        <w:tblW w:w="5075"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815"/>
        <w:gridCol w:w="990"/>
        <w:gridCol w:w="988"/>
        <w:gridCol w:w="988"/>
        <w:gridCol w:w="988"/>
        <w:gridCol w:w="988"/>
        <w:gridCol w:w="1261"/>
      </w:tblGrid>
      <w:tr w:rsidR="004C74C2" w:rsidRPr="00B53423" w:rsidTr="009268E4">
        <w:trPr>
          <w:trHeight w:val="600"/>
          <w:tblHeader/>
        </w:trPr>
        <w:tc>
          <w:tcPr>
            <w:tcW w:w="1560" w:type="pct"/>
            <w:shd w:val="clear" w:color="auto" w:fill="DBE5F1" w:themeFill="accent1" w:themeFillTint="33"/>
            <w:noWrap/>
            <w:vAlign w:val="center"/>
            <w:hideMark/>
          </w:tcPr>
          <w:p w:rsidR="004C74C2" w:rsidRPr="00B53423" w:rsidRDefault="003A6B3B" w:rsidP="0015232B">
            <w:pPr>
              <w:spacing w:before="0" w:line="240" w:lineRule="auto"/>
              <w:jc w:val="center"/>
              <w:rPr>
                <w:rFonts w:cs="Calibri"/>
                <w:b/>
                <w:bCs/>
                <w:color w:val="000000"/>
                <w:lang w:val="en-US"/>
              </w:rPr>
            </w:pPr>
            <w:r w:rsidRPr="00B53423">
              <w:rPr>
                <w:rFonts w:cs="Calibri"/>
                <w:b/>
                <w:bCs/>
                <w:color w:val="000000"/>
                <w:sz w:val="22"/>
                <w:szCs w:val="22"/>
                <w:lang w:val="en-US"/>
              </w:rPr>
              <w:t>Particulars</w:t>
            </w:r>
          </w:p>
        </w:tc>
        <w:tc>
          <w:tcPr>
            <w:tcW w:w="549" w:type="pct"/>
            <w:shd w:val="clear" w:color="auto" w:fill="DBE5F1" w:themeFill="accent1" w:themeFillTint="33"/>
            <w:noWrap/>
            <w:vAlign w:val="center"/>
            <w:hideMark/>
          </w:tcPr>
          <w:p w:rsidR="004C74C2" w:rsidRPr="00B53423" w:rsidRDefault="003A6B3B" w:rsidP="0015232B">
            <w:pPr>
              <w:spacing w:before="0" w:line="240" w:lineRule="auto"/>
              <w:jc w:val="center"/>
              <w:rPr>
                <w:rFonts w:cs="Calibri"/>
                <w:b/>
                <w:bCs/>
                <w:color w:val="000000"/>
                <w:lang w:val="en-US"/>
              </w:rPr>
            </w:pPr>
            <w:r w:rsidRPr="00B53423">
              <w:rPr>
                <w:rFonts w:cs="Calibri"/>
                <w:b/>
                <w:bCs/>
                <w:color w:val="000000"/>
                <w:sz w:val="22"/>
                <w:szCs w:val="22"/>
                <w:lang w:val="en-US"/>
              </w:rPr>
              <w:t>FY 2008-09</w:t>
            </w:r>
          </w:p>
        </w:tc>
        <w:tc>
          <w:tcPr>
            <w:tcW w:w="548" w:type="pct"/>
            <w:shd w:val="clear" w:color="auto" w:fill="DBE5F1" w:themeFill="accent1" w:themeFillTint="33"/>
            <w:noWrap/>
            <w:vAlign w:val="center"/>
            <w:hideMark/>
          </w:tcPr>
          <w:p w:rsidR="004C74C2" w:rsidRPr="00B53423" w:rsidRDefault="003A6B3B" w:rsidP="0015232B">
            <w:pPr>
              <w:spacing w:before="0" w:line="240" w:lineRule="auto"/>
              <w:jc w:val="center"/>
              <w:rPr>
                <w:rFonts w:cs="Calibri"/>
                <w:b/>
                <w:bCs/>
                <w:color w:val="000000"/>
                <w:lang w:val="en-US"/>
              </w:rPr>
            </w:pPr>
            <w:r w:rsidRPr="00B53423">
              <w:rPr>
                <w:rFonts w:cs="Calibri"/>
                <w:b/>
                <w:bCs/>
                <w:color w:val="000000"/>
                <w:sz w:val="22"/>
                <w:szCs w:val="22"/>
                <w:lang w:val="en-US"/>
              </w:rPr>
              <w:t>FY 2009-10</w:t>
            </w:r>
          </w:p>
        </w:tc>
        <w:tc>
          <w:tcPr>
            <w:tcW w:w="548" w:type="pct"/>
            <w:shd w:val="clear" w:color="auto" w:fill="DBE5F1" w:themeFill="accent1" w:themeFillTint="33"/>
            <w:noWrap/>
            <w:vAlign w:val="center"/>
            <w:hideMark/>
          </w:tcPr>
          <w:p w:rsidR="004C74C2" w:rsidRPr="00B53423" w:rsidRDefault="003A6B3B" w:rsidP="0015232B">
            <w:pPr>
              <w:spacing w:before="0" w:line="240" w:lineRule="auto"/>
              <w:jc w:val="center"/>
              <w:rPr>
                <w:rFonts w:cs="Calibri"/>
                <w:b/>
                <w:bCs/>
                <w:color w:val="000000"/>
                <w:lang w:val="en-US"/>
              </w:rPr>
            </w:pPr>
            <w:r w:rsidRPr="00B53423">
              <w:rPr>
                <w:rFonts w:cs="Calibri"/>
                <w:b/>
                <w:bCs/>
                <w:color w:val="000000"/>
                <w:sz w:val="22"/>
                <w:szCs w:val="22"/>
                <w:lang w:val="en-US"/>
              </w:rPr>
              <w:t>FY 2010-11</w:t>
            </w:r>
          </w:p>
        </w:tc>
        <w:tc>
          <w:tcPr>
            <w:tcW w:w="548" w:type="pct"/>
            <w:shd w:val="clear" w:color="auto" w:fill="DBE5F1" w:themeFill="accent1" w:themeFillTint="33"/>
            <w:noWrap/>
            <w:vAlign w:val="center"/>
            <w:hideMark/>
          </w:tcPr>
          <w:p w:rsidR="004C74C2" w:rsidRPr="00B53423" w:rsidRDefault="003A6B3B" w:rsidP="0015232B">
            <w:pPr>
              <w:spacing w:before="0" w:line="240" w:lineRule="auto"/>
              <w:jc w:val="center"/>
              <w:rPr>
                <w:rFonts w:cs="Calibri"/>
                <w:b/>
                <w:bCs/>
                <w:color w:val="000000"/>
                <w:lang w:val="en-US"/>
              </w:rPr>
            </w:pPr>
            <w:r w:rsidRPr="00B53423">
              <w:rPr>
                <w:rFonts w:cs="Calibri"/>
                <w:b/>
                <w:bCs/>
                <w:color w:val="000000"/>
                <w:sz w:val="22"/>
                <w:szCs w:val="22"/>
                <w:lang w:val="en-US"/>
              </w:rPr>
              <w:t>FY 2011-12</w:t>
            </w:r>
          </w:p>
        </w:tc>
        <w:tc>
          <w:tcPr>
            <w:tcW w:w="548" w:type="pct"/>
            <w:shd w:val="clear" w:color="auto" w:fill="DBE5F1" w:themeFill="accent1" w:themeFillTint="33"/>
            <w:noWrap/>
            <w:vAlign w:val="center"/>
            <w:hideMark/>
          </w:tcPr>
          <w:p w:rsidR="004C74C2" w:rsidRPr="00B53423" w:rsidRDefault="003A6B3B" w:rsidP="0015232B">
            <w:pPr>
              <w:spacing w:before="0" w:line="240" w:lineRule="auto"/>
              <w:jc w:val="center"/>
              <w:rPr>
                <w:rFonts w:cs="Calibri"/>
                <w:b/>
                <w:bCs/>
                <w:color w:val="000000"/>
                <w:lang w:val="en-US"/>
              </w:rPr>
            </w:pPr>
            <w:r w:rsidRPr="00B53423">
              <w:rPr>
                <w:rFonts w:cs="Calibri"/>
                <w:b/>
                <w:bCs/>
                <w:color w:val="000000"/>
                <w:sz w:val="22"/>
                <w:szCs w:val="22"/>
                <w:lang w:val="en-US"/>
              </w:rPr>
              <w:t>FY 2012-13</w:t>
            </w:r>
          </w:p>
        </w:tc>
        <w:tc>
          <w:tcPr>
            <w:tcW w:w="699" w:type="pct"/>
            <w:shd w:val="clear" w:color="auto" w:fill="DBE5F1" w:themeFill="accent1" w:themeFillTint="33"/>
            <w:vAlign w:val="center"/>
            <w:hideMark/>
          </w:tcPr>
          <w:p w:rsidR="004C74C2" w:rsidRPr="00B53423" w:rsidRDefault="003A6B3B" w:rsidP="0015232B">
            <w:pPr>
              <w:spacing w:before="0" w:line="240" w:lineRule="auto"/>
              <w:jc w:val="center"/>
              <w:rPr>
                <w:rFonts w:cs="Calibri"/>
                <w:b/>
                <w:bCs/>
                <w:color w:val="000000"/>
                <w:lang w:val="en-US"/>
              </w:rPr>
            </w:pPr>
            <w:r w:rsidRPr="00B53423">
              <w:rPr>
                <w:rFonts w:cs="Calibri"/>
                <w:b/>
                <w:bCs/>
                <w:color w:val="000000"/>
                <w:sz w:val="22"/>
                <w:szCs w:val="22"/>
                <w:lang w:val="en-US"/>
              </w:rPr>
              <w:t xml:space="preserve">FY </w:t>
            </w:r>
          </w:p>
          <w:p w:rsidR="004C74C2" w:rsidRPr="00B53423" w:rsidRDefault="003A6B3B" w:rsidP="0015232B">
            <w:pPr>
              <w:spacing w:before="0" w:line="240" w:lineRule="auto"/>
              <w:jc w:val="center"/>
              <w:rPr>
                <w:rFonts w:cs="Calibri"/>
                <w:b/>
                <w:bCs/>
                <w:color w:val="000000"/>
                <w:lang w:val="en-US"/>
              </w:rPr>
            </w:pPr>
            <w:r w:rsidRPr="00B53423">
              <w:rPr>
                <w:rFonts w:cs="Calibri"/>
                <w:b/>
                <w:bCs/>
                <w:color w:val="000000"/>
                <w:sz w:val="22"/>
                <w:szCs w:val="22"/>
                <w:lang w:val="en-US"/>
              </w:rPr>
              <w:t>2013-14 (Upto December 2013)</w:t>
            </w:r>
          </w:p>
        </w:tc>
      </w:tr>
      <w:tr w:rsidR="004C74C2" w:rsidRPr="00B53423" w:rsidTr="009268E4">
        <w:trPr>
          <w:trHeight w:val="300"/>
        </w:trPr>
        <w:tc>
          <w:tcPr>
            <w:tcW w:w="1560" w:type="pct"/>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Number of Consumer</w:t>
            </w:r>
          </w:p>
        </w:tc>
        <w:tc>
          <w:tcPr>
            <w:tcW w:w="549" w:type="pct"/>
            <w:shd w:val="clear" w:color="auto" w:fill="auto"/>
            <w:noWrap/>
            <w:vAlign w:val="bottom"/>
            <w:hideMark/>
          </w:tcPr>
          <w:p w:rsidR="004C74C2" w:rsidRPr="00B53423" w:rsidRDefault="004C74C2" w:rsidP="0015232B">
            <w:pPr>
              <w:spacing w:before="0" w:line="240" w:lineRule="auto"/>
              <w:jc w:val="right"/>
              <w:rPr>
                <w:rFonts w:cs="Calibri"/>
                <w:color w:val="000000"/>
                <w:sz w:val="20"/>
                <w:szCs w:val="20"/>
                <w:lang w:val="en-US"/>
              </w:rPr>
            </w:pPr>
            <w:r w:rsidRPr="00B53423">
              <w:rPr>
                <w:rFonts w:cs="Calibri"/>
                <w:color w:val="000000"/>
                <w:sz w:val="20"/>
                <w:szCs w:val="20"/>
                <w:lang w:val="en-US"/>
              </w:rPr>
              <w:t>576.00</w:t>
            </w:r>
          </w:p>
        </w:tc>
        <w:tc>
          <w:tcPr>
            <w:tcW w:w="548"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0</w:t>
            </w:r>
          </w:p>
        </w:tc>
        <w:tc>
          <w:tcPr>
            <w:tcW w:w="548"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0</w:t>
            </w:r>
          </w:p>
        </w:tc>
        <w:tc>
          <w:tcPr>
            <w:tcW w:w="548" w:type="pct"/>
            <w:shd w:val="clear" w:color="auto" w:fill="auto"/>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w:t>
            </w:r>
          </w:p>
        </w:tc>
        <w:tc>
          <w:tcPr>
            <w:tcW w:w="548" w:type="pct"/>
            <w:shd w:val="clear" w:color="auto" w:fill="auto"/>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w:t>
            </w:r>
          </w:p>
        </w:tc>
        <w:tc>
          <w:tcPr>
            <w:tcW w:w="699" w:type="pct"/>
            <w:shd w:val="clear" w:color="auto" w:fill="auto"/>
            <w:noWrap/>
            <w:vAlign w:val="bottom"/>
            <w:hideMark/>
          </w:tcPr>
          <w:p w:rsidR="004C74C2" w:rsidRPr="00B53423" w:rsidRDefault="004C74C2" w:rsidP="0015232B">
            <w:pPr>
              <w:spacing w:before="0" w:line="240" w:lineRule="auto"/>
              <w:ind w:right="162"/>
              <w:jc w:val="right"/>
              <w:rPr>
                <w:rFonts w:cs="Calibri"/>
                <w:color w:val="000000"/>
                <w:lang w:val="en-US"/>
              </w:rPr>
            </w:pPr>
            <w:r w:rsidRPr="00B53423">
              <w:rPr>
                <w:rFonts w:cs="Calibri"/>
                <w:color w:val="000000"/>
                <w:lang w:val="en-US"/>
              </w:rPr>
              <w:t>4844</w:t>
            </w:r>
          </w:p>
        </w:tc>
      </w:tr>
      <w:tr w:rsidR="004C74C2" w:rsidRPr="00B53423" w:rsidTr="009268E4">
        <w:trPr>
          <w:trHeight w:val="300"/>
        </w:trPr>
        <w:tc>
          <w:tcPr>
            <w:tcW w:w="1560" w:type="pct"/>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Contracted Load</w:t>
            </w:r>
          </w:p>
        </w:tc>
        <w:tc>
          <w:tcPr>
            <w:tcW w:w="549"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1783</w:t>
            </w:r>
          </w:p>
        </w:tc>
        <w:tc>
          <w:tcPr>
            <w:tcW w:w="548"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0</w:t>
            </w:r>
          </w:p>
        </w:tc>
        <w:tc>
          <w:tcPr>
            <w:tcW w:w="548"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0</w:t>
            </w:r>
          </w:p>
        </w:tc>
        <w:tc>
          <w:tcPr>
            <w:tcW w:w="548" w:type="pct"/>
            <w:shd w:val="clear" w:color="auto" w:fill="auto"/>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w:t>
            </w:r>
          </w:p>
        </w:tc>
        <w:tc>
          <w:tcPr>
            <w:tcW w:w="548" w:type="pct"/>
            <w:shd w:val="clear" w:color="auto" w:fill="auto"/>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w:t>
            </w:r>
          </w:p>
        </w:tc>
        <w:tc>
          <w:tcPr>
            <w:tcW w:w="699" w:type="pct"/>
            <w:shd w:val="clear" w:color="auto" w:fill="auto"/>
            <w:noWrap/>
            <w:vAlign w:val="bottom"/>
            <w:hideMark/>
          </w:tcPr>
          <w:p w:rsidR="004C74C2" w:rsidRPr="00B53423" w:rsidRDefault="004C74C2" w:rsidP="0015232B">
            <w:pPr>
              <w:spacing w:before="0" w:line="240" w:lineRule="auto"/>
              <w:ind w:right="162"/>
              <w:jc w:val="right"/>
              <w:rPr>
                <w:rFonts w:cs="Calibri"/>
                <w:color w:val="000000"/>
                <w:sz w:val="20"/>
                <w:szCs w:val="20"/>
                <w:lang w:val="en-US"/>
              </w:rPr>
            </w:pPr>
            <w:r w:rsidRPr="00B53423">
              <w:rPr>
                <w:rFonts w:cs="Calibri"/>
                <w:color w:val="000000"/>
                <w:sz w:val="20"/>
                <w:szCs w:val="20"/>
                <w:lang w:val="en-US"/>
              </w:rPr>
              <w:t>14532</w:t>
            </w:r>
          </w:p>
        </w:tc>
      </w:tr>
      <w:tr w:rsidR="004C74C2" w:rsidRPr="00B53423" w:rsidTr="009268E4">
        <w:trPr>
          <w:trHeight w:val="300"/>
        </w:trPr>
        <w:tc>
          <w:tcPr>
            <w:tcW w:w="1560" w:type="pct"/>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Sales (MU)</w:t>
            </w:r>
          </w:p>
        </w:tc>
        <w:tc>
          <w:tcPr>
            <w:tcW w:w="549"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1.73</w:t>
            </w:r>
          </w:p>
        </w:tc>
        <w:tc>
          <w:tcPr>
            <w:tcW w:w="548"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1.46</w:t>
            </w:r>
          </w:p>
        </w:tc>
        <w:tc>
          <w:tcPr>
            <w:tcW w:w="548"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1.46</w:t>
            </w:r>
          </w:p>
        </w:tc>
        <w:tc>
          <w:tcPr>
            <w:tcW w:w="548" w:type="pct"/>
            <w:shd w:val="clear" w:color="auto" w:fill="auto"/>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w:t>
            </w:r>
          </w:p>
        </w:tc>
        <w:tc>
          <w:tcPr>
            <w:tcW w:w="548" w:type="pct"/>
            <w:shd w:val="clear" w:color="auto" w:fill="auto"/>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w:t>
            </w:r>
          </w:p>
        </w:tc>
        <w:tc>
          <w:tcPr>
            <w:tcW w:w="699" w:type="pct"/>
            <w:shd w:val="clear" w:color="auto" w:fill="auto"/>
            <w:noWrap/>
            <w:vAlign w:val="bottom"/>
            <w:hideMark/>
          </w:tcPr>
          <w:p w:rsidR="004C74C2" w:rsidRPr="00B53423" w:rsidRDefault="004C74C2" w:rsidP="0015232B">
            <w:pPr>
              <w:spacing w:before="0" w:line="240" w:lineRule="auto"/>
              <w:ind w:right="162"/>
              <w:jc w:val="right"/>
              <w:rPr>
                <w:rFonts w:cs="Calibri"/>
                <w:color w:val="000000"/>
                <w:lang w:val="en-US"/>
              </w:rPr>
            </w:pPr>
            <w:r w:rsidRPr="00B53423">
              <w:rPr>
                <w:rFonts w:cs="Calibri"/>
                <w:color w:val="000000"/>
                <w:lang w:val="en-US"/>
              </w:rPr>
              <w:t>11.734</w:t>
            </w:r>
          </w:p>
        </w:tc>
      </w:tr>
      <w:tr w:rsidR="004C74C2" w:rsidRPr="00B53423" w:rsidTr="009268E4">
        <w:trPr>
          <w:trHeight w:val="300"/>
        </w:trPr>
        <w:tc>
          <w:tcPr>
            <w:tcW w:w="1560" w:type="pct"/>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Revenue Billed (Rs. Lakh)</w:t>
            </w:r>
          </w:p>
        </w:tc>
        <w:tc>
          <w:tcPr>
            <w:tcW w:w="549"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9.77</w:t>
            </w:r>
          </w:p>
        </w:tc>
        <w:tc>
          <w:tcPr>
            <w:tcW w:w="548"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9.17</w:t>
            </w:r>
          </w:p>
        </w:tc>
        <w:tc>
          <w:tcPr>
            <w:tcW w:w="548"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9.17</w:t>
            </w:r>
          </w:p>
        </w:tc>
        <w:tc>
          <w:tcPr>
            <w:tcW w:w="548" w:type="pct"/>
            <w:shd w:val="clear" w:color="auto" w:fill="auto"/>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w:t>
            </w:r>
          </w:p>
        </w:tc>
        <w:tc>
          <w:tcPr>
            <w:tcW w:w="548" w:type="pct"/>
            <w:shd w:val="clear" w:color="auto" w:fill="auto"/>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w:t>
            </w:r>
          </w:p>
        </w:tc>
        <w:tc>
          <w:tcPr>
            <w:tcW w:w="699" w:type="pct"/>
            <w:shd w:val="clear" w:color="auto" w:fill="auto"/>
            <w:noWrap/>
            <w:vAlign w:val="bottom"/>
            <w:hideMark/>
          </w:tcPr>
          <w:p w:rsidR="004C74C2" w:rsidRPr="00B53423" w:rsidRDefault="004C74C2" w:rsidP="0015232B">
            <w:pPr>
              <w:spacing w:before="0" w:line="240" w:lineRule="auto"/>
              <w:ind w:right="162"/>
              <w:jc w:val="right"/>
              <w:rPr>
                <w:rFonts w:cs="Calibri"/>
                <w:color w:val="000000"/>
                <w:lang w:val="en-US"/>
              </w:rPr>
            </w:pPr>
            <w:r w:rsidRPr="00B53423">
              <w:rPr>
                <w:rFonts w:cs="Calibri"/>
                <w:color w:val="000000"/>
                <w:lang w:val="en-US"/>
              </w:rPr>
              <w:t>94.94</w:t>
            </w:r>
          </w:p>
        </w:tc>
      </w:tr>
      <w:tr w:rsidR="004C74C2" w:rsidRPr="00B53423" w:rsidTr="009268E4">
        <w:trPr>
          <w:trHeight w:val="300"/>
        </w:trPr>
        <w:tc>
          <w:tcPr>
            <w:tcW w:w="1560" w:type="pct"/>
            <w:shd w:val="clear" w:color="auto" w:fill="auto"/>
            <w:noWrap/>
            <w:vAlign w:val="bottom"/>
            <w:hideMark/>
          </w:tcPr>
          <w:p w:rsidR="004C74C2" w:rsidRPr="00B53423" w:rsidRDefault="004C74C2" w:rsidP="0015232B">
            <w:pPr>
              <w:spacing w:before="0" w:line="240" w:lineRule="auto"/>
              <w:jc w:val="left"/>
              <w:rPr>
                <w:rFonts w:cs="Calibri"/>
                <w:color w:val="000000"/>
                <w:lang w:val="en-US"/>
              </w:rPr>
            </w:pPr>
            <w:r w:rsidRPr="00B53423">
              <w:rPr>
                <w:rFonts w:cs="Calibri"/>
                <w:color w:val="000000"/>
                <w:lang w:val="en-US"/>
              </w:rPr>
              <w:t>Revenue Received (Rs. Lakh)</w:t>
            </w:r>
          </w:p>
        </w:tc>
        <w:tc>
          <w:tcPr>
            <w:tcW w:w="549"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12.36</w:t>
            </w:r>
          </w:p>
        </w:tc>
        <w:tc>
          <w:tcPr>
            <w:tcW w:w="548"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9.12</w:t>
            </w:r>
          </w:p>
        </w:tc>
        <w:tc>
          <w:tcPr>
            <w:tcW w:w="548" w:type="pct"/>
            <w:shd w:val="clear" w:color="auto" w:fill="auto"/>
            <w:noWrap/>
            <w:vAlign w:val="bottom"/>
            <w:hideMark/>
          </w:tcPr>
          <w:p w:rsidR="004C74C2" w:rsidRPr="00B53423" w:rsidRDefault="004C74C2" w:rsidP="0015232B">
            <w:pPr>
              <w:spacing w:before="0" w:line="240" w:lineRule="auto"/>
              <w:jc w:val="right"/>
              <w:rPr>
                <w:rFonts w:cs="Calibri"/>
                <w:color w:val="000000"/>
                <w:lang w:val="en-US"/>
              </w:rPr>
            </w:pPr>
            <w:r w:rsidRPr="00B53423">
              <w:rPr>
                <w:rFonts w:cs="Calibri"/>
                <w:color w:val="000000"/>
                <w:lang w:val="en-US"/>
              </w:rPr>
              <w:t>9.12</w:t>
            </w:r>
          </w:p>
        </w:tc>
        <w:tc>
          <w:tcPr>
            <w:tcW w:w="548" w:type="pct"/>
            <w:shd w:val="clear" w:color="auto" w:fill="auto"/>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w:t>
            </w:r>
          </w:p>
        </w:tc>
        <w:tc>
          <w:tcPr>
            <w:tcW w:w="548" w:type="pct"/>
            <w:shd w:val="clear" w:color="auto" w:fill="auto"/>
            <w:noWrap/>
            <w:vAlign w:val="bottom"/>
            <w:hideMark/>
          </w:tcPr>
          <w:p w:rsidR="004C74C2" w:rsidRPr="00B53423" w:rsidRDefault="004C74C2" w:rsidP="0015232B">
            <w:pPr>
              <w:spacing w:before="0" w:line="240" w:lineRule="auto"/>
              <w:jc w:val="center"/>
              <w:rPr>
                <w:rFonts w:cs="Calibri"/>
                <w:color w:val="000000"/>
                <w:lang w:val="en-US"/>
              </w:rPr>
            </w:pPr>
            <w:r w:rsidRPr="00B53423">
              <w:rPr>
                <w:rFonts w:cs="Calibri"/>
                <w:color w:val="000000"/>
                <w:lang w:val="en-US"/>
              </w:rPr>
              <w:t>0</w:t>
            </w:r>
          </w:p>
        </w:tc>
        <w:tc>
          <w:tcPr>
            <w:tcW w:w="699" w:type="pct"/>
            <w:shd w:val="clear" w:color="auto" w:fill="auto"/>
            <w:noWrap/>
            <w:vAlign w:val="bottom"/>
            <w:hideMark/>
          </w:tcPr>
          <w:p w:rsidR="004C74C2" w:rsidRPr="00B53423" w:rsidRDefault="004C74C2" w:rsidP="0015232B">
            <w:pPr>
              <w:spacing w:before="0" w:line="240" w:lineRule="auto"/>
              <w:ind w:right="162"/>
              <w:jc w:val="right"/>
              <w:rPr>
                <w:rFonts w:cs="Calibri"/>
                <w:color w:val="000000"/>
                <w:lang w:val="en-US"/>
              </w:rPr>
            </w:pPr>
            <w:r w:rsidRPr="00B53423">
              <w:rPr>
                <w:rFonts w:cs="Calibri"/>
                <w:color w:val="000000"/>
                <w:lang w:val="en-US"/>
              </w:rPr>
              <w:t>94.94</w:t>
            </w:r>
          </w:p>
        </w:tc>
      </w:tr>
    </w:tbl>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From the above </w:t>
      </w:r>
      <w:fldSimple w:instr=" REF _Ref394762475 \h  \* MERGEFORMAT ">
        <w:r w:rsidR="00847C1B" w:rsidRPr="00B53423">
          <w:t xml:space="preserve">Table </w:t>
        </w:r>
        <w:r w:rsidR="00847C1B">
          <w:rPr>
            <w:noProof/>
          </w:rPr>
          <w:t>9</w:t>
        </w:r>
        <w:r w:rsidR="00847C1B" w:rsidRPr="00B53423">
          <w:rPr>
            <w:noProof/>
          </w:rPr>
          <w:noBreakHyphen/>
        </w:r>
        <w:r w:rsidR="00847C1B">
          <w:rPr>
            <w:noProof/>
          </w:rPr>
          <w:t>5</w:t>
        </w:r>
      </w:fldSimple>
      <w:r w:rsidRPr="00B53423">
        <w:t xml:space="preserve"> it is observed that there is some flaw in the data submitted by the Petitioner. The number of unmetered consumers in FY 2013-14 has suddenly increased from nil in FY 2012-13 to 4844 in FY 2013-14. Also, in the Load forecast model the Petitioner has submitted the total number of consumers in FY 2012-13 as 8267, assuming this figure to be correct then as per the Petitioner’s submission in above case, since, there is no unmetered consumer in FY 2012-13 it implies that all the 8267 consumers of LMV-10 category were metered connections. Then the question arises that without any increase in the number of consumers under this category how come the number of unmetered consumers has increased from 0 to 4844.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With no clarity and accuracy in the data, it seems that either there has been any error by the Petitioner while compiling the consumption data or there may be a possibility that for some reasons unknown to the Commission the Petitioner may have purposely manipulated the above data. However, due to lack of any authentic supporting documents the Commission has not been able to verify the same.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rPr>
          <w:b/>
        </w:rPr>
        <w:t>Further, the Commission directs the Petitioner to provide detailed explanation in this regards alongwith all the necessary supporting documents for verification of such data while filing for Truing-up of FY 2012-13. However, for the purpose of the present Order the Commission has accepted the Petitioner’s submission regarding the consumption parameters for FY 2012-13.</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In view of the above, the Commission hereby approves the consumption parameters for FY 2014-15 as shown in the Table below. The detailed sub-category wise consumption parameters (historical and approved) have been provided in Annexure </w:t>
      </w:r>
      <w:fldSimple w:instr=" REF _Ref397182921 \r \h  \* MERGEFORMAT ">
        <w:r w:rsidR="00847C1B">
          <w:t>15.1</w:t>
        </w:r>
      </w:fldSimple>
      <w:r w:rsidRPr="00B53423">
        <w:t>.</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numPr>
          <w:ilvl w:val="0"/>
          <w:numId w:val="0"/>
        </w:numPr>
        <w:ind w:left="720" w:right="589" w:hanging="11"/>
        <w:jc w:val="center"/>
        <w:rPr>
          <w:b/>
        </w:rPr>
      </w:pPr>
      <w:bookmarkStart w:id="588" w:name="_Toc357738727"/>
      <w:bookmarkStart w:id="589" w:name="_Toc399626411"/>
      <w:r w:rsidRPr="00B53423">
        <w:rPr>
          <w:b/>
        </w:rPr>
        <w:t xml:space="preserve">Table </w:t>
      </w:r>
      <w:r w:rsidR="005D68E7" w:rsidRPr="00B53423">
        <w:rPr>
          <w:b/>
        </w:rPr>
        <w:fldChar w:fldCharType="begin"/>
      </w:r>
      <w:r w:rsidRPr="00B53423">
        <w:rPr>
          <w:b/>
        </w:rPr>
        <w:instrText xml:space="preserve"> STYLEREF 1 \s </w:instrText>
      </w:r>
      <w:r w:rsidR="005D68E7" w:rsidRPr="00B53423">
        <w:rPr>
          <w:b/>
        </w:rPr>
        <w:fldChar w:fldCharType="separate"/>
      </w:r>
      <w:r w:rsidR="00847C1B">
        <w:rPr>
          <w:b/>
          <w:noProof/>
        </w:rPr>
        <w:t>9</w:t>
      </w:r>
      <w:r w:rsidR="005D68E7" w:rsidRPr="00B53423">
        <w:rPr>
          <w:b/>
        </w:rPr>
        <w:fldChar w:fldCharType="end"/>
      </w:r>
      <w:r w:rsidRPr="00B53423">
        <w:rPr>
          <w:b/>
        </w:rPr>
        <w:noBreakHyphen/>
      </w:r>
      <w:r w:rsidR="005D68E7" w:rsidRPr="00B53423">
        <w:rPr>
          <w:b/>
        </w:rPr>
        <w:fldChar w:fldCharType="begin"/>
      </w:r>
      <w:r w:rsidRPr="00B53423">
        <w:rPr>
          <w:b/>
        </w:rPr>
        <w:instrText xml:space="preserve"> SEQ Table \* ARABIC \s 1 </w:instrText>
      </w:r>
      <w:r w:rsidR="005D68E7" w:rsidRPr="00B53423">
        <w:rPr>
          <w:b/>
        </w:rPr>
        <w:fldChar w:fldCharType="separate"/>
      </w:r>
      <w:r w:rsidR="00847C1B">
        <w:rPr>
          <w:b/>
          <w:noProof/>
        </w:rPr>
        <w:t>6</w:t>
      </w:r>
      <w:r w:rsidR="005D68E7" w:rsidRPr="00B53423">
        <w:rPr>
          <w:b/>
        </w:rPr>
        <w:fldChar w:fldCharType="end"/>
      </w:r>
      <w:r w:rsidRPr="00B53423">
        <w:rPr>
          <w:b/>
        </w:rPr>
        <w:t>: CONSUMPTION PARAMETERS APPROVED BY COMMISSION</w:t>
      </w:r>
      <w:bookmarkEnd w:id="588"/>
      <w:r w:rsidRPr="00B53423">
        <w:rPr>
          <w:b/>
        </w:rPr>
        <w:t xml:space="preserve"> FOR FY 2014-15</w:t>
      </w:r>
      <w:bookmarkEnd w:id="589"/>
    </w:p>
    <w:tbl>
      <w:tblPr>
        <w:tblW w:w="789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80"/>
        <w:gridCol w:w="1477"/>
        <w:gridCol w:w="1456"/>
        <w:gridCol w:w="1477"/>
      </w:tblGrid>
      <w:tr w:rsidR="004C74C2" w:rsidRPr="00B53423" w:rsidTr="009268E4">
        <w:trPr>
          <w:trHeight w:val="300"/>
          <w:tblHeader/>
          <w:jc w:val="center"/>
        </w:trPr>
        <w:tc>
          <w:tcPr>
            <w:tcW w:w="3480" w:type="dxa"/>
            <w:shd w:val="clear" w:color="000000" w:fill="DCE6F1"/>
            <w:noWrap/>
            <w:vAlign w:val="center"/>
            <w:hideMark/>
          </w:tcPr>
          <w:p w:rsidR="004C74C2" w:rsidRPr="00B53423" w:rsidRDefault="004C74C2" w:rsidP="0015232B">
            <w:pPr>
              <w:spacing w:before="0" w:line="240" w:lineRule="auto"/>
              <w:jc w:val="center"/>
              <w:rPr>
                <w:rFonts w:asciiTheme="minorHAnsi" w:hAnsiTheme="minorHAnsi" w:cstheme="minorHAnsi"/>
                <w:b/>
                <w:bCs/>
                <w:color w:val="000000"/>
                <w:lang w:val="en-IN" w:eastAsia="en-IN"/>
              </w:rPr>
            </w:pPr>
            <w:r w:rsidRPr="00B53423">
              <w:rPr>
                <w:rFonts w:asciiTheme="minorHAnsi" w:hAnsiTheme="minorHAnsi" w:cstheme="minorHAnsi"/>
                <w:b/>
                <w:bCs/>
                <w:color w:val="000000"/>
                <w:lang w:val="en-IN" w:eastAsia="en-IN"/>
              </w:rPr>
              <w:t>Consumer categories</w:t>
            </w:r>
          </w:p>
        </w:tc>
        <w:tc>
          <w:tcPr>
            <w:tcW w:w="1477" w:type="dxa"/>
            <w:shd w:val="clear" w:color="000000" w:fill="DCE6F1"/>
            <w:vAlign w:val="center"/>
            <w:hideMark/>
          </w:tcPr>
          <w:p w:rsidR="004C74C2" w:rsidRPr="00B53423" w:rsidRDefault="004C74C2" w:rsidP="0015232B">
            <w:pPr>
              <w:spacing w:before="0" w:line="240" w:lineRule="auto"/>
              <w:jc w:val="center"/>
              <w:rPr>
                <w:rFonts w:asciiTheme="minorHAnsi" w:hAnsiTheme="minorHAnsi" w:cstheme="minorHAnsi"/>
                <w:b/>
                <w:bCs/>
                <w:color w:val="000000"/>
                <w:lang w:val="en-IN" w:eastAsia="en-IN"/>
              </w:rPr>
            </w:pPr>
            <w:r w:rsidRPr="00B53423">
              <w:rPr>
                <w:rFonts w:asciiTheme="minorHAnsi" w:hAnsiTheme="minorHAnsi" w:cstheme="minorHAnsi"/>
                <w:b/>
                <w:bCs/>
                <w:color w:val="000000"/>
                <w:lang w:val="en-IN" w:eastAsia="en-IN"/>
              </w:rPr>
              <w:t>No. of consumers</w:t>
            </w:r>
          </w:p>
        </w:tc>
        <w:tc>
          <w:tcPr>
            <w:tcW w:w="1456" w:type="dxa"/>
            <w:shd w:val="clear" w:color="000000" w:fill="DCE6F1"/>
            <w:vAlign w:val="center"/>
            <w:hideMark/>
          </w:tcPr>
          <w:p w:rsidR="004C74C2" w:rsidRPr="00B53423" w:rsidRDefault="004C74C2" w:rsidP="0015232B">
            <w:pPr>
              <w:spacing w:before="0" w:line="240" w:lineRule="auto"/>
              <w:jc w:val="center"/>
              <w:rPr>
                <w:rFonts w:asciiTheme="minorHAnsi" w:hAnsiTheme="minorHAnsi" w:cstheme="minorHAnsi"/>
                <w:b/>
                <w:bCs/>
                <w:color w:val="000000"/>
                <w:lang w:val="en-IN" w:eastAsia="en-IN"/>
              </w:rPr>
            </w:pPr>
            <w:r w:rsidRPr="00B53423">
              <w:rPr>
                <w:rFonts w:asciiTheme="minorHAnsi" w:hAnsiTheme="minorHAnsi" w:cstheme="minorHAnsi"/>
                <w:b/>
                <w:bCs/>
                <w:color w:val="000000"/>
                <w:lang w:val="en-IN" w:eastAsia="en-IN"/>
              </w:rPr>
              <w:t>Connected load (kW)</w:t>
            </w:r>
          </w:p>
        </w:tc>
        <w:tc>
          <w:tcPr>
            <w:tcW w:w="1477" w:type="dxa"/>
            <w:shd w:val="clear" w:color="000000" w:fill="DCE6F1"/>
            <w:vAlign w:val="center"/>
            <w:hideMark/>
          </w:tcPr>
          <w:p w:rsidR="004C74C2" w:rsidRPr="00B53423" w:rsidRDefault="004C74C2" w:rsidP="0015232B">
            <w:pPr>
              <w:spacing w:before="0" w:line="240" w:lineRule="auto"/>
              <w:jc w:val="center"/>
              <w:rPr>
                <w:rFonts w:asciiTheme="minorHAnsi" w:hAnsiTheme="minorHAnsi" w:cstheme="minorHAnsi"/>
                <w:b/>
                <w:bCs/>
                <w:color w:val="000000"/>
                <w:lang w:val="en-IN" w:eastAsia="en-IN"/>
              </w:rPr>
            </w:pPr>
            <w:r w:rsidRPr="00B53423">
              <w:rPr>
                <w:rFonts w:asciiTheme="minorHAnsi" w:hAnsiTheme="minorHAnsi" w:cstheme="minorHAnsi"/>
                <w:b/>
                <w:bCs/>
                <w:color w:val="000000"/>
                <w:lang w:val="en-IN" w:eastAsia="en-IN"/>
              </w:rPr>
              <w:t>Energy sales (MU)</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LMV-1: Domestic</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543469</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1248376</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bCs/>
                <w:color w:val="000000"/>
              </w:rPr>
            </w:pPr>
            <w:r w:rsidRPr="00B53423">
              <w:rPr>
                <w:rFonts w:asciiTheme="minorHAnsi" w:hAnsiTheme="minorHAnsi" w:cstheme="minorHAnsi"/>
                <w:bCs/>
                <w:color w:val="000000"/>
              </w:rPr>
              <w:t>1138.31</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LMV-2:Non-Domestic</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106835</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298493</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bCs/>
                <w:color w:val="000000"/>
              </w:rPr>
            </w:pPr>
            <w:r w:rsidRPr="00B53423">
              <w:rPr>
                <w:rFonts w:asciiTheme="minorHAnsi" w:hAnsiTheme="minorHAnsi" w:cstheme="minorHAnsi"/>
                <w:bCs/>
                <w:color w:val="000000"/>
              </w:rPr>
              <w:t>319.55</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 xml:space="preserve">LMV-3: Public Lamps </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18</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13768</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color w:val="000000"/>
                <w:lang w:val="en-IN" w:eastAsia="en-IN"/>
              </w:rPr>
            </w:pPr>
            <w:r w:rsidRPr="00B53423">
              <w:rPr>
                <w:rFonts w:asciiTheme="minorHAnsi" w:hAnsiTheme="minorHAnsi" w:cstheme="minorHAnsi"/>
                <w:bCs/>
                <w:color w:val="000000"/>
              </w:rPr>
              <w:t>59.48</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LMV-4: Institutions</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1180</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14982</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color w:val="000000"/>
                <w:lang w:val="en-IN" w:eastAsia="en-IN"/>
              </w:rPr>
            </w:pPr>
            <w:r w:rsidRPr="00B53423">
              <w:rPr>
                <w:rFonts w:asciiTheme="minorHAnsi" w:hAnsiTheme="minorHAnsi" w:cstheme="minorHAnsi"/>
                <w:bCs/>
                <w:color w:val="000000"/>
              </w:rPr>
              <w:t>41.78</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LMV-5: Private Tube Wells</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16</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123</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color w:val="000000"/>
                <w:lang w:val="en-IN" w:eastAsia="en-IN"/>
              </w:rPr>
            </w:pPr>
            <w:r w:rsidRPr="00B53423">
              <w:rPr>
                <w:rFonts w:asciiTheme="minorHAnsi" w:hAnsiTheme="minorHAnsi" w:cstheme="minorHAnsi"/>
                <w:bCs/>
                <w:color w:val="000000"/>
              </w:rPr>
              <w:t>0.10</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LMV 6: Small and Medium Power</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9636</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120496</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color w:val="000000"/>
                <w:lang w:val="en-IN" w:eastAsia="en-IN"/>
              </w:rPr>
            </w:pPr>
            <w:r w:rsidRPr="00B53423">
              <w:rPr>
                <w:rFonts w:asciiTheme="minorHAnsi" w:hAnsiTheme="minorHAnsi" w:cstheme="minorHAnsi"/>
                <w:bCs/>
                <w:color w:val="000000"/>
              </w:rPr>
              <w:t>301.49</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 xml:space="preserve">LMV-7: Public Water Works </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681</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28371</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color w:val="000000"/>
                <w:lang w:val="en-IN" w:eastAsia="en-IN"/>
              </w:rPr>
            </w:pPr>
            <w:r w:rsidRPr="00B53423">
              <w:rPr>
                <w:rFonts w:asciiTheme="minorHAnsi" w:hAnsiTheme="minorHAnsi" w:cstheme="minorHAnsi"/>
                <w:bCs/>
                <w:color w:val="000000"/>
              </w:rPr>
              <w:t>41.89</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LMV-8: State Tube Wells</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color w:val="000000"/>
                <w:lang w:val="en-IN" w:eastAsia="en-IN"/>
              </w:rPr>
            </w:pPr>
            <w:r w:rsidRPr="00B53423">
              <w:rPr>
                <w:rFonts w:asciiTheme="minorHAnsi" w:hAnsiTheme="minorHAnsi" w:cstheme="minorHAnsi"/>
                <w:bCs/>
                <w:color w:val="000000"/>
              </w:rPr>
              <w:t>0.00</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 xml:space="preserve">LMV-9: Temporary Supply </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406</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849</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color w:val="000000"/>
                <w:lang w:val="en-IN" w:eastAsia="en-IN"/>
              </w:rPr>
            </w:pPr>
            <w:r w:rsidRPr="00B53423">
              <w:rPr>
                <w:rFonts w:asciiTheme="minorHAnsi" w:hAnsiTheme="minorHAnsi" w:cstheme="minorHAnsi"/>
                <w:bCs/>
                <w:color w:val="000000"/>
              </w:rPr>
              <w:t>1.02</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LMV-10: Departmental Employees</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8267</w:t>
            </w:r>
          </w:p>
        </w:tc>
        <w:tc>
          <w:tcPr>
            <w:tcW w:w="1456" w:type="dxa"/>
            <w:shd w:val="clear" w:color="auto" w:fill="auto"/>
            <w:noWrap/>
            <w:vAlign w:val="center"/>
            <w:hideMark/>
          </w:tcPr>
          <w:p w:rsidR="004C74C2" w:rsidRPr="00B53423" w:rsidRDefault="001C36BA" w:rsidP="0015232B">
            <w:pPr>
              <w:spacing w:before="0" w:line="240" w:lineRule="auto"/>
              <w:ind w:right="288"/>
              <w:jc w:val="right"/>
              <w:rPr>
                <w:rFonts w:asciiTheme="minorHAnsi" w:hAnsiTheme="minorHAnsi" w:cstheme="minorHAnsi"/>
                <w:bCs/>
                <w:color w:val="000000"/>
              </w:rPr>
            </w:pPr>
            <w:r w:rsidRPr="00B53423">
              <w:rPr>
                <w:rFonts w:asciiTheme="minorHAnsi" w:hAnsiTheme="minorHAnsi" w:cstheme="minorHAnsi"/>
                <w:bCs/>
                <w:color w:val="000000"/>
              </w:rPr>
              <w:t>1853</w:t>
            </w:r>
            <w:r w:rsidR="004C74C2" w:rsidRPr="00B53423">
              <w:rPr>
                <w:rFonts w:asciiTheme="minorHAnsi" w:hAnsiTheme="minorHAnsi" w:cstheme="minorHAnsi"/>
                <w:bCs/>
                <w:color w:val="000000"/>
              </w:rPr>
              <w:t xml:space="preserve"> </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color w:val="000000"/>
                <w:lang w:val="en-IN" w:eastAsia="en-IN"/>
              </w:rPr>
            </w:pPr>
            <w:r w:rsidRPr="00B53423">
              <w:rPr>
                <w:rFonts w:asciiTheme="minorHAnsi" w:hAnsiTheme="minorHAnsi" w:cstheme="minorHAnsi"/>
                <w:bCs/>
                <w:color w:val="000000"/>
              </w:rPr>
              <w:t>24.37</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HV-1: Non-Industrial Bulk Loads</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133</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51052</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color w:val="000000"/>
                <w:lang w:val="en-IN" w:eastAsia="en-IN"/>
              </w:rPr>
            </w:pPr>
            <w:r w:rsidRPr="00B53423">
              <w:rPr>
                <w:rFonts w:asciiTheme="minorHAnsi" w:hAnsiTheme="minorHAnsi" w:cstheme="minorHAnsi"/>
                <w:bCs/>
                <w:color w:val="000000"/>
              </w:rPr>
              <w:t>118.92</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HV-2: Large and Heavy Power</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54</w:t>
            </w:r>
            <w:r w:rsidR="005F326D" w:rsidRPr="00B53423">
              <w:rPr>
                <w:rFonts w:asciiTheme="minorHAnsi" w:hAnsiTheme="minorHAnsi" w:cstheme="minorHAnsi"/>
                <w:bCs/>
                <w:color w:val="000000"/>
              </w:rPr>
              <w:t>3</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207996</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color w:val="000000"/>
                <w:lang w:val="en-IN" w:eastAsia="en-IN"/>
              </w:rPr>
            </w:pPr>
            <w:r w:rsidRPr="00B53423">
              <w:rPr>
                <w:rFonts w:asciiTheme="minorHAnsi" w:hAnsiTheme="minorHAnsi" w:cstheme="minorHAnsi"/>
                <w:bCs/>
                <w:color w:val="000000"/>
              </w:rPr>
              <w:t>427.75</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HV-3: Railway Traction</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color w:val="000000"/>
                <w:lang w:val="en-IN" w:eastAsia="en-IN"/>
              </w:rPr>
            </w:pPr>
            <w:r w:rsidRPr="00B53423">
              <w:rPr>
                <w:rFonts w:asciiTheme="minorHAnsi" w:hAnsiTheme="minorHAnsi" w:cstheme="minorHAnsi"/>
                <w:bCs/>
                <w:color w:val="000000"/>
              </w:rPr>
              <w:t>0.00</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HV-4: Lift Irrigation</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1456" w:type="dxa"/>
            <w:shd w:val="clear" w:color="auto" w:fill="auto"/>
            <w:noWrap/>
            <w:vAlign w:val="center"/>
            <w:hideMark/>
          </w:tcPr>
          <w:p w:rsidR="004C74C2" w:rsidRPr="00B53423" w:rsidRDefault="004C74C2" w:rsidP="0015232B">
            <w:pPr>
              <w:spacing w:before="0" w:line="240" w:lineRule="auto"/>
              <w:ind w:right="214"/>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bCs/>
                <w:color w:val="000000"/>
              </w:rPr>
            </w:pPr>
            <w:r w:rsidRPr="00B53423">
              <w:rPr>
                <w:rFonts w:asciiTheme="minorHAnsi" w:hAnsiTheme="minorHAnsi" w:cstheme="minorHAnsi"/>
                <w:bCs/>
                <w:color w:val="000000"/>
              </w:rPr>
              <w:t>0.00</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b/>
                <w:bCs/>
                <w:color w:val="000000"/>
                <w:lang w:val="en-IN" w:eastAsia="en-IN"/>
              </w:rPr>
            </w:pPr>
            <w:r w:rsidRPr="00B53423">
              <w:rPr>
                <w:rFonts w:asciiTheme="minorHAnsi" w:hAnsiTheme="minorHAnsi" w:cstheme="minorHAnsi"/>
                <w:b/>
                <w:bCs/>
                <w:color w:val="000000"/>
                <w:lang w:val="en-IN" w:eastAsia="en-IN"/>
              </w:rPr>
              <w:t>Sub-total</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67118</w:t>
            </w:r>
            <w:r w:rsidR="005F326D" w:rsidRPr="00B53423">
              <w:rPr>
                <w:rFonts w:asciiTheme="minorHAnsi" w:hAnsiTheme="minorHAnsi" w:cstheme="minorHAnsi"/>
                <w:b/>
                <w:bCs/>
                <w:color w:val="000000"/>
              </w:rPr>
              <w:t>4</w:t>
            </w:r>
          </w:p>
        </w:tc>
        <w:tc>
          <w:tcPr>
            <w:tcW w:w="1456" w:type="dxa"/>
            <w:shd w:val="clear" w:color="auto" w:fill="auto"/>
            <w:noWrap/>
            <w:vAlign w:val="center"/>
            <w:hideMark/>
          </w:tcPr>
          <w:p w:rsidR="004C74C2" w:rsidRPr="00B53423" w:rsidRDefault="001C36BA" w:rsidP="0015232B">
            <w:pPr>
              <w:spacing w:before="0" w:line="240" w:lineRule="auto"/>
              <w:ind w:right="288"/>
              <w:jc w:val="right"/>
              <w:rPr>
                <w:rFonts w:asciiTheme="minorHAnsi" w:hAnsiTheme="minorHAnsi" w:cstheme="minorHAnsi"/>
                <w:b/>
                <w:bCs/>
                <w:color w:val="000000"/>
              </w:rPr>
            </w:pPr>
            <w:r w:rsidRPr="00B53423">
              <w:rPr>
                <w:rFonts w:asciiTheme="minorHAnsi" w:hAnsiTheme="minorHAnsi" w:cstheme="minorHAnsi"/>
                <w:b/>
                <w:bCs/>
                <w:color w:val="000000"/>
              </w:rPr>
              <w:t>1986360</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b/>
                <w:bCs/>
                <w:color w:val="000000"/>
              </w:rPr>
            </w:pPr>
            <w:r w:rsidRPr="00B53423">
              <w:rPr>
                <w:rFonts w:asciiTheme="minorHAnsi" w:hAnsiTheme="minorHAnsi" w:cstheme="minorHAnsi"/>
                <w:b/>
                <w:bCs/>
                <w:color w:val="000000"/>
              </w:rPr>
              <w:t>2474.67</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Extra state &amp; Bulk</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1456"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
                <w:bCs/>
                <w:color w:val="000000"/>
              </w:rPr>
            </w:pPr>
            <w:r w:rsidRPr="00B53423">
              <w:rPr>
                <w:rFonts w:asciiTheme="minorHAnsi" w:hAnsiTheme="minorHAnsi" w:cstheme="minorHAnsi"/>
                <w:b/>
                <w:bCs/>
                <w:color w:val="000000"/>
              </w:rPr>
              <w:t>0</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bCs/>
                <w:color w:val="000000"/>
              </w:rPr>
            </w:pPr>
            <w:r w:rsidRPr="00B53423">
              <w:rPr>
                <w:rFonts w:asciiTheme="minorHAnsi" w:hAnsiTheme="minorHAnsi" w:cstheme="minorHAnsi"/>
                <w:bCs/>
                <w:color w:val="000000"/>
              </w:rPr>
              <w:t>0.00</w:t>
            </w:r>
          </w:p>
        </w:tc>
      </w:tr>
      <w:tr w:rsidR="004C74C2" w:rsidRPr="00B53423" w:rsidTr="009268E4">
        <w:trPr>
          <w:trHeight w:val="300"/>
          <w:jc w:val="center"/>
        </w:trPr>
        <w:tc>
          <w:tcPr>
            <w:tcW w:w="3480" w:type="dxa"/>
            <w:shd w:val="clear" w:color="auto" w:fill="auto"/>
            <w:noWrap/>
            <w:hideMark/>
          </w:tcPr>
          <w:p w:rsidR="004C74C2" w:rsidRPr="00B53423" w:rsidRDefault="004C74C2" w:rsidP="0015232B">
            <w:pPr>
              <w:spacing w:before="0" w:line="240" w:lineRule="auto"/>
              <w:jc w:val="left"/>
              <w:rPr>
                <w:rFonts w:asciiTheme="minorHAnsi" w:hAnsiTheme="minorHAnsi" w:cstheme="minorHAnsi"/>
                <w:b/>
                <w:bCs/>
                <w:color w:val="000000"/>
                <w:lang w:val="en-IN" w:eastAsia="en-IN"/>
              </w:rPr>
            </w:pPr>
            <w:r w:rsidRPr="00B53423">
              <w:rPr>
                <w:rFonts w:asciiTheme="minorHAnsi" w:hAnsiTheme="minorHAnsi" w:cstheme="minorHAnsi"/>
                <w:b/>
                <w:bCs/>
                <w:color w:val="000000"/>
                <w:lang w:val="en-IN" w:eastAsia="en-IN"/>
              </w:rPr>
              <w:t>Total</w:t>
            </w:r>
          </w:p>
        </w:tc>
        <w:tc>
          <w:tcPr>
            <w:tcW w:w="1477" w:type="dxa"/>
            <w:shd w:val="clear" w:color="auto" w:fill="auto"/>
            <w:noWrap/>
            <w:vAlign w:val="center"/>
            <w:hideMark/>
          </w:tcPr>
          <w:p w:rsidR="004C74C2" w:rsidRPr="00B53423" w:rsidRDefault="004C74C2" w:rsidP="0015232B">
            <w:pPr>
              <w:spacing w:before="0" w:line="240" w:lineRule="auto"/>
              <w:ind w:right="288"/>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67118</w:t>
            </w:r>
            <w:r w:rsidR="005F326D" w:rsidRPr="00B53423">
              <w:rPr>
                <w:rFonts w:asciiTheme="minorHAnsi" w:hAnsiTheme="minorHAnsi" w:cstheme="minorHAnsi"/>
                <w:b/>
                <w:bCs/>
                <w:color w:val="000000"/>
              </w:rPr>
              <w:t>4</w:t>
            </w:r>
          </w:p>
        </w:tc>
        <w:tc>
          <w:tcPr>
            <w:tcW w:w="1456" w:type="dxa"/>
            <w:shd w:val="clear" w:color="auto" w:fill="auto"/>
            <w:noWrap/>
            <w:vAlign w:val="center"/>
            <w:hideMark/>
          </w:tcPr>
          <w:p w:rsidR="004C74C2" w:rsidRPr="00B53423" w:rsidRDefault="001C36BA" w:rsidP="0015232B">
            <w:pPr>
              <w:spacing w:before="0" w:line="240" w:lineRule="auto"/>
              <w:ind w:right="288"/>
              <w:jc w:val="right"/>
              <w:rPr>
                <w:rFonts w:asciiTheme="minorHAnsi" w:hAnsiTheme="minorHAnsi" w:cstheme="minorHAnsi"/>
                <w:b/>
                <w:bCs/>
                <w:color w:val="000000"/>
              </w:rPr>
            </w:pPr>
            <w:r w:rsidRPr="00B53423">
              <w:rPr>
                <w:rFonts w:asciiTheme="minorHAnsi" w:hAnsiTheme="minorHAnsi" w:cstheme="minorHAnsi"/>
                <w:b/>
                <w:bCs/>
                <w:color w:val="000000"/>
              </w:rPr>
              <w:t>1986360</w:t>
            </w:r>
          </w:p>
        </w:tc>
        <w:tc>
          <w:tcPr>
            <w:tcW w:w="1477" w:type="dxa"/>
            <w:shd w:val="clear" w:color="auto" w:fill="auto"/>
            <w:noWrap/>
            <w:vAlign w:val="center"/>
            <w:hideMark/>
          </w:tcPr>
          <w:p w:rsidR="004C74C2" w:rsidRPr="00B53423" w:rsidRDefault="004C74C2" w:rsidP="0015232B">
            <w:pPr>
              <w:spacing w:before="0" w:line="240" w:lineRule="auto"/>
              <w:ind w:right="251"/>
              <w:jc w:val="right"/>
              <w:rPr>
                <w:rFonts w:asciiTheme="minorHAnsi" w:hAnsiTheme="minorHAnsi" w:cstheme="minorHAnsi"/>
                <w:b/>
                <w:bCs/>
                <w:color w:val="000000"/>
              </w:rPr>
            </w:pPr>
            <w:r w:rsidRPr="00B53423">
              <w:rPr>
                <w:rFonts w:asciiTheme="minorHAnsi" w:hAnsiTheme="minorHAnsi" w:cstheme="minorHAnsi"/>
                <w:b/>
                <w:bCs/>
                <w:color w:val="000000"/>
              </w:rPr>
              <w:t>2474.67</w:t>
            </w:r>
          </w:p>
        </w:tc>
      </w:tr>
    </w:tbl>
    <w:p w:rsidR="004C74C2" w:rsidRPr="00B53423" w:rsidRDefault="004C74C2" w:rsidP="0015232B">
      <w:pPr>
        <w:spacing w:before="0" w:line="240" w:lineRule="auto"/>
        <w:jc w:val="center"/>
        <w:rPr>
          <w:b/>
          <w:bCs/>
          <w:szCs w:val="20"/>
        </w:rPr>
      </w:pPr>
    </w:p>
    <w:p w:rsidR="004C74C2" w:rsidRPr="00B53423" w:rsidRDefault="004C74C2" w:rsidP="0015232B">
      <w:pPr>
        <w:spacing w:before="0" w:line="240" w:lineRule="auto"/>
        <w:jc w:val="center"/>
        <w:rPr>
          <w:b/>
          <w:bCs/>
          <w:szCs w:val="20"/>
        </w:rPr>
      </w:pPr>
    </w:p>
    <w:p w:rsidR="004C74C2" w:rsidRPr="00B53423" w:rsidRDefault="004C74C2" w:rsidP="0015232B">
      <w:pPr>
        <w:pStyle w:val="Heading3"/>
        <w:keepNext w:val="0"/>
        <w:numPr>
          <w:ilvl w:val="0"/>
          <w:numId w:val="0"/>
        </w:numPr>
        <w:ind w:left="720"/>
        <w:sectPr w:rsidR="004C74C2" w:rsidRPr="00B53423" w:rsidSect="006711BC">
          <w:headerReference w:type="default" r:id="rId17"/>
          <w:footerReference w:type="default" r:id="rId18"/>
          <w:pgSz w:w="11909" w:h="16834"/>
          <w:pgMar w:top="1440" w:right="1440" w:bottom="1440" w:left="1800" w:header="720" w:footer="720" w:gutter="0"/>
          <w:pgNumType w:chapSep="colon"/>
          <w:cols w:space="720"/>
        </w:sectPr>
      </w:pPr>
    </w:p>
    <w:p w:rsidR="004C74C2" w:rsidRPr="00B53423" w:rsidRDefault="004C74C2" w:rsidP="0015232B">
      <w:pPr>
        <w:pStyle w:val="Heading3"/>
        <w:keepNext w:val="0"/>
        <w:numPr>
          <w:ilvl w:val="0"/>
          <w:numId w:val="0"/>
        </w:numPr>
        <w:tabs>
          <w:tab w:val="left" w:pos="864"/>
        </w:tabs>
        <w:jc w:val="center"/>
      </w:pPr>
      <w:bookmarkStart w:id="590" w:name="_Toc357738728"/>
      <w:bookmarkStart w:id="591" w:name="_Toc399626412"/>
      <w:r w:rsidRPr="00B53423">
        <w:rPr>
          <w:b/>
        </w:rPr>
        <w:t>T</w:t>
      </w:r>
      <w:bookmarkStart w:id="592" w:name="_Toc338310670"/>
      <w:bookmarkStart w:id="593" w:name="_Toc338419500"/>
      <w:r w:rsidRPr="00B53423">
        <w:rPr>
          <w:b/>
        </w:rPr>
        <w:t xml:space="preserve">able </w:t>
      </w:r>
      <w:r w:rsidR="005D68E7" w:rsidRPr="00B53423">
        <w:rPr>
          <w:b/>
        </w:rPr>
        <w:fldChar w:fldCharType="begin"/>
      </w:r>
      <w:r w:rsidRPr="00B53423">
        <w:rPr>
          <w:b/>
        </w:rPr>
        <w:instrText xml:space="preserve"> STYLEREF 1 \s </w:instrText>
      </w:r>
      <w:r w:rsidR="005D68E7" w:rsidRPr="00B53423">
        <w:rPr>
          <w:b/>
        </w:rPr>
        <w:fldChar w:fldCharType="separate"/>
      </w:r>
      <w:r w:rsidR="00847C1B">
        <w:rPr>
          <w:b/>
          <w:noProof/>
        </w:rPr>
        <w:t>9</w:t>
      </w:r>
      <w:r w:rsidR="005D68E7" w:rsidRPr="00B53423">
        <w:rPr>
          <w:b/>
        </w:rPr>
        <w:fldChar w:fldCharType="end"/>
      </w:r>
      <w:r w:rsidRPr="00B53423">
        <w:rPr>
          <w:b/>
        </w:rPr>
        <w:noBreakHyphen/>
      </w:r>
      <w:r w:rsidR="005D68E7" w:rsidRPr="00B53423">
        <w:rPr>
          <w:b/>
        </w:rPr>
        <w:fldChar w:fldCharType="begin"/>
      </w:r>
      <w:r w:rsidRPr="00B53423">
        <w:rPr>
          <w:b/>
        </w:rPr>
        <w:instrText xml:space="preserve"> SEQ Table \* ARABIC \s 1 </w:instrText>
      </w:r>
      <w:r w:rsidR="005D68E7" w:rsidRPr="00B53423">
        <w:rPr>
          <w:b/>
        </w:rPr>
        <w:fldChar w:fldCharType="separate"/>
      </w:r>
      <w:r w:rsidR="00847C1B">
        <w:rPr>
          <w:b/>
          <w:noProof/>
        </w:rPr>
        <w:t>7</w:t>
      </w:r>
      <w:r w:rsidR="005D68E7" w:rsidRPr="00B53423">
        <w:rPr>
          <w:b/>
        </w:rPr>
        <w:fldChar w:fldCharType="end"/>
      </w:r>
      <w:r w:rsidRPr="00B53423">
        <w:rPr>
          <w:b/>
        </w:rPr>
        <w:t xml:space="preserve">: NUMBER OF CONSUMERS: HISTORICAL TREND AND APPROVED VALUES FOR FY </w:t>
      </w:r>
      <w:bookmarkEnd w:id="592"/>
      <w:bookmarkEnd w:id="593"/>
      <w:r w:rsidRPr="00B53423">
        <w:rPr>
          <w:b/>
        </w:rPr>
        <w:t>201</w:t>
      </w:r>
      <w:bookmarkEnd w:id="590"/>
      <w:r w:rsidRPr="00B53423">
        <w:rPr>
          <w:b/>
        </w:rPr>
        <w:t>4-15</w:t>
      </w:r>
      <w:bookmarkEnd w:id="591"/>
    </w:p>
    <w:tbl>
      <w:tblPr>
        <w:tblW w:w="446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576"/>
        <w:gridCol w:w="1518"/>
        <w:gridCol w:w="1514"/>
        <w:gridCol w:w="1514"/>
        <w:gridCol w:w="1514"/>
        <w:gridCol w:w="1502"/>
        <w:gridCol w:w="1502"/>
      </w:tblGrid>
      <w:tr w:rsidR="00C673AB" w:rsidRPr="00B53423" w:rsidTr="00C673AB">
        <w:trPr>
          <w:trHeight w:val="900"/>
        </w:trPr>
        <w:tc>
          <w:tcPr>
            <w:tcW w:w="1414" w:type="pct"/>
            <w:shd w:val="clear" w:color="000000" w:fill="DCE6F1"/>
            <w:noWrap/>
            <w:vAlign w:val="center"/>
            <w:hideMark/>
          </w:tcPr>
          <w:p w:rsidR="00C673AB" w:rsidRPr="00B53423" w:rsidRDefault="00C673AB" w:rsidP="0015232B">
            <w:pPr>
              <w:spacing w:before="0" w:line="240" w:lineRule="auto"/>
              <w:jc w:val="left"/>
              <w:rPr>
                <w:rFonts w:cs="Calibri"/>
                <w:b/>
                <w:bCs/>
                <w:color w:val="000000"/>
                <w:lang w:val="en-IN" w:eastAsia="en-IN"/>
              </w:rPr>
            </w:pPr>
            <w:r w:rsidRPr="00B53423">
              <w:rPr>
                <w:rFonts w:cs="Calibri"/>
                <w:b/>
                <w:bCs/>
                <w:color w:val="000000"/>
                <w:lang w:val="en-IN" w:eastAsia="en-IN"/>
              </w:rPr>
              <w:t>Consumer categories</w:t>
            </w:r>
          </w:p>
        </w:tc>
        <w:tc>
          <w:tcPr>
            <w:tcW w:w="600"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FY  2010-11</w:t>
            </w:r>
          </w:p>
        </w:tc>
        <w:tc>
          <w:tcPr>
            <w:tcW w:w="599"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FY 2011-12</w:t>
            </w:r>
          </w:p>
        </w:tc>
        <w:tc>
          <w:tcPr>
            <w:tcW w:w="599"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FY 2012-13</w:t>
            </w:r>
          </w:p>
        </w:tc>
        <w:tc>
          <w:tcPr>
            <w:tcW w:w="599"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Revised Estimates for FY 2013-14</w:t>
            </w:r>
          </w:p>
        </w:tc>
        <w:tc>
          <w:tcPr>
            <w:tcW w:w="594"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Approved for FY 2014-15</w:t>
            </w:r>
          </w:p>
        </w:tc>
        <w:tc>
          <w:tcPr>
            <w:tcW w:w="594" w:type="pct"/>
            <w:shd w:val="clear" w:color="000000" w:fill="DCE6F1"/>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Growth of FY 15 over FY 14</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LMV-1: Domestic</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439646</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461805</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515364</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529209</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543469</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3%</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LMV-2:Non-Domestic</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90716</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94283</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98552</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102609</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106835</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4%</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 xml:space="preserve">LMV-3: Public Lamps </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18</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18</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18</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18</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18</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0%</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LMV-4: Institutions</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1029</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1048</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1069</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1123</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1180</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5%</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LMV-5: Private Tube Wells</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16</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16</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16</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0%</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 6: Small and Medium Power</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7467</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8158</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8736</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9169</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9636</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5%</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 xml:space="preserve">LMV-7: Public Water Works </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620</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634</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667</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674</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681</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1%</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LMV-8: State Tube Wells</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0%</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 xml:space="preserve">LMV-9: Temporary Supply </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468</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406</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406</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0%</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LMV-10: Departmental Employees</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576</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576</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8267</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8267</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8267</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0%</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HV-1: Non-Industrial Bulk Loads</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110</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116</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133</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133</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133</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0%</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HV-2: Large and Heavy Power</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522</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535</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543</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54</w:t>
            </w:r>
            <w:r w:rsidR="00BF4AEB" w:rsidRPr="00B53423">
              <w:rPr>
                <w:rFonts w:asciiTheme="minorHAnsi" w:hAnsiTheme="minorHAnsi" w:cstheme="minorHAnsi"/>
                <w:bCs/>
                <w:color w:val="000000"/>
              </w:rPr>
              <w:t>3</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54</w:t>
            </w:r>
            <w:r w:rsidR="00BF4AEB" w:rsidRPr="00B53423">
              <w:rPr>
                <w:rFonts w:asciiTheme="minorHAnsi" w:hAnsiTheme="minorHAnsi" w:cstheme="minorHAnsi"/>
                <w:bCs/>
                <w:color w:val="000000"/>
              </w:rPr>
              <w:t>3</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0%</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HV-3: Railway Traction</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0%</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HV-4: Lift Irrigation</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0%</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b/>
                <w:bCs/>
                <w:color w:val="000000"/>
                <w:lang w:val="en-IN" w:eastAsia="en-IN"/>
              </w:rPr>
            </w:pPr>
            <w:r w:rsidRPr="00B53423">
              <w:rPr>
                <w:rFonts w:cs="Calibri"/>
                <w:b/>
                <w:bCs/>
                <w:color w:val="000000"/>
                <w:lang w:val="en-IN" w:eastAsia="en-IN"/>
              </w:rPr>
              <w:t>Sub-total</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540704</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567173</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633833</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65216</w:t>
            </w:r>
            <w:r w:rsidR="00BF4AEB" w:rsidRPr="00B53423">
              <w:rPr>
                <w:rFonts w:asciiTheme="minorHAnsi" w:hAnsiTheme="minorHAnsi" w:cstheme="minorHAnsi"/>
                <w:b/>
                <w:bCs/>
                <w:color w:val="000000"/>
              </w:rPr>
              <w:t>7</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67118</w:t>
            </w:r>
            <w:r w:rsidR="00BF4AEB" w:rsidRPr="00B53423">
              <w:rPr>
                <w:rFonts w:asciiTheme="minorHAnsi" w:hAnsiTheme="minorHAnsi" w:cstheme="minorHAnsi"/>
                <w:b/>
                <w:bCs/>
                <w:color w:val="000000"/>
              </w:rPr>
              <w:t>4</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b/>
                <w:bCs/>
                <w:color w:val="000000"/>
              </w:rPr>
            </w:pPr>
            <w:r w:rsidRPr="00B53423">
              <w:rPr>
                <w:rFonts w:asciiTheme="minorHAnsi" w:hAnsiTheme="minorHAnsi" w:cstheme="minorHAnsi"/>
                <w:b/>
                <w:bCs/>
                <w:color w:val="000000"/>
              </w:rPr>
              <w:t>3%</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Extra state &amp; Bulk</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0</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color w:val="000000"/>
              </w:rPr>
            </w:pPr>
            <w:r w:rsidRPr="00B53423">
              <w:rPr>
                <w:rFonts w:asciiTheme="minorHAnsi" w:hAnsiTheme="minorHAnsi" w:cstheme="minorHAnsi"/>
                <w:color w:val="000000"/>
              </w:rPr>
              <w:t>0%</w:t>
            </w:r>
          </w:p>
        </w:tc>
      </w:tr>
      <w:tr w:rsidR="00C673AB" w:rsidRPr="00B53423" w:rsidTr="00C673AB">
        <w:trPr>
          <w:trHeight w:val="300"/>
        </w:trPr>
        <w:tc>
          <w:tcPr>
            <w:tcW w:w="1414" w:type="pct"/>
            <w:shd w:val="clear" w:color="auto" w:fill="auto"/>
            <w:noWrap/>
            <w:hideMark/>
          </w:tcPr>
          <w:p w:rsidR="00C673AB" w:rsidRPr="00B53423" w:rsidRDefault="00C673AB" w:rsidP="0015232B">
            <w:pPr>
              <w:spacing w:before="0" w:line="240" w:lineRule="auto"/>
              <w:jc w:val="left"/>
              <w:rPr>
                <w:rFonts w:cs="Calibri"/>
                <w:b/>
                <w:bCs/>
                <w:color w:val="000000"/>
                <w:lang w:val="en-IN" w:eastAsia="en-IN"/>
              </w:rPr>
            </w:pPr>
            <w:r w:rsidRPr="00B53423">
              <w:rPr>
                <w:rFonts w:cs="Calibri"/>
                <w:b/>
                <w:bCs/>
                <w:color w:val="000000"/>
                <w:lang w:val="en-IN" w:eastAsia="en-IN"/>
              </w:rPr>
              <w:t>Total</w:t>
            </w:r>
          </w:p>
        </w:tc>
        <w:tc>
          <w:tcPr>
            <w:tcW w:w="600" w:type="pct"/>
            <w:shd w:val="clear" w:color="auto" w:fill="auto"/>
            <w:noWrap/>
            <w:vAlign w:val="center"/>
            <w:hideMark/>
          </w:tcPr>
          <w:p w:rsidR="00C673AB" w:rsidRPr="00B53423" w:rsidRDefault="00C673AB" w:rsidP="0015232B">
            <w:pPr>
              <w:spacing w:before="0" w:line="240" w:lineRule="auto"/>
              <w:ind w:right="198"/>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540704</w:t>
            </w:r>
          </w:p>
        </w:tc>
        <w:tc>
          <w:tcPr>
            <w:tcW w:w="599" w:type="pct"/>
            <w:shd w:val="clear" w:color="auto" w:fill="auto"/>
            <w:noWrap/>
            <w:vAlign w:val="center"/>
            <w:hideMark/>
          </w:tcPr>
          <w:p w:rsidR="00C673AB" w:rsidRPr="00B53423" w:rsidRDefault="00C673AB" w:rsidP="0015232B">
            <w:pPr>
              <w:spacing w:before="0" w:line="240" w:lineRule="auto"/>
              <w:ind w:right="273"/>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567173</w:t>
            </w:r>
          </w:p>
        </w:tc>
        <w:tc>
          <w:tcPr>
            <w:tcW w:w="599" w:type="pct"/>
            <w:shd w:val="clear" w:color="auto" w:fill="auto"/>
            <w:noWrap/>
            <w:vAlign w:val="center"/>
            <w:hideMark/>
          </w:tcPr>
          <w:p w:rsidR="00C673AB" w:rsidRPr="00B53423" w:rsidRDefault="00C673AB" w:rsidP="0015232B">
            <w:pPr>
              <w:spacing w:before="0" w:line="240" w:lineRule="auto"/>
              <w:ind w:right="258"/>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633833</w:t>
            </w:r>
          </w:p>
        </w:tc>
        <w:tc>
          <w:tcPr>
            <w:tcW w:w="599" w:type="pct"/>
            <w:shd w:val="clear" w:color="auto" w:fill="auto"/>
            <w:noWrap/>
            <w:vAlign w:val="center"/>
            <w:hideMark/>
          </w:tcPr>
          <w:p w:rsidR="00C673AB" w:rsidRPr="00B53423" w:rsidRDefault="00C673AB" w:rsidP="0015232B">
            <w:pPr>
              <w:spacing w:before="0" w:line="240" w:lineRule="auto"/>
              <w:ind w:right="228"/>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65216</w:t>
            </w:r>
            <w:r w:rsidR="00BF4AEB" w:rsidRPr="00B53423">
              <w:rPr>
                <w:rFonts w:asciiTheme="minorHAnsi" w:hAnsiTheme="minorHAnsi" w:cstheme="minorHAnsi"/>
                <w:b/>
                <w:bCs/>
                <w:color w:val="000000"/>
              </w:rPr>
              <w:t>7</w:t>
            </w:r>
          </w:p>
        </w:tc>
        <w:tc>
          <w:tcPr>
            <w:tcW w:w="594" w:type="pct"/>
            <w:shd w:val="clear" w:color="auto" w:fill="auto"/>
            <w:noWrap/>
            <w:vAlign w:val="center"/>
            <w:hideMark/>
          </w:tcPr>
          <w:p w:rsidR="00C673AB" w:rsidRPr="00B53423" w:rsidRDefault="00C673AB" w:rsidP="0015232B">
            <w:pPr>
              <w:spacing w:before="0" w:line="240" w:lineRule="auto"/>
              <w:ind w:right="289"/>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67118</w:t>
            </w:r>
            <w:r w:rsidR="00BF4AEB" w:rsidRPr="00B53423">
              <w:rPr>
                <w:rFonts w:asciiTheme="minorHAnsi" w:hAnsiTheme="minorHAnsi" w:cstheme="minorHAnsi"/>
                <w:b/>
                <w:bCs/>
                <w:color w:val="000000"/>
              </w:rPr>
              <w:t>4</w:t>
            </w:r>
          </w:p>
        </w:tc>
        <w:tc>
          <w:tcPr>
            <w:tcW w:w="594" w:type="pct"/>
            <w:vAlign w:val="center"/>
          </w:tcPr>
          <w:p w:rsidR="00C673AB" w:rsidRPr="00B53423" w:rsidRDefault="00C673AB" w:rsidP="0015232B">
            <w:pPr>
              <w:spacing w:before="0" w:line="240" w:lineRule="auto"/>
              <w:ind w:right="350"/>
              <w:jc w:val="right"/>
              <w:rPr>
                <w:rFonts w:asciiTheme="minorHAnsi" w:hAnsiTheme="minorHAnsi" w:cstheme="minorHAnsi"/>
                <w:b/>
                <w:bCs/>
                <w:color w:val="000000"/>
              </w:rPr>
            </w:pPr>
            <w:r w:rsidRPr="00B53423">
              <w:rPr>
                <w:rFonts w:asciiTheme="minorHAnsi" w:hAnsiTheme="minorHAnsi" w:cstheme="minorHAnsi"/>
                <w:b/>
                <w:bCs/>
                <w:color w:val="000000"/>
              </w:rPr>
              <w:t>3%</w:t>
            </w:r>
          </w:p>
        </w:tc>
      </w:tr>
    </w:tbl>
    <w:p w:rsidR="000D4DB9" w:rsidRDefault="000D4DB9" w:rsidP="0015232B">
      <w:pPr>
        <w:pStyle w:val="Caption"/>
        <w:spacing w:before="0"/>
        <w:jc w:val="center"/>
      </w:pPr>
      <w:bookmarkStart w:id="594" w:name="_Toc338310671"/>
      <w:bookmarkStart w:id="595" w:name="_Toc338419501"/>
      <w:bookmarkStart w:id="596" w:name="_Toc357738729"/>
      <w:bookmarkStart w:id="597" w:name="_Toc399626413"/>
    </w:p>
    <w:p w:rsidR="004C74C2" w:rsidRPr="00B53423" w:rsidRDefault="004C74C2" w:rsidP="0015232B">
      <w:pPr>
        <w:pStyle w:val="Caption"/>
        <w:spacing w:before="0"/>
        <w:jc w:val="center"/>
      </w:pPr>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8</w:t>
      </w:r>
      <w:r w:rsidR="005D68E7" w:rsidRPr="00B53423">
        <w:fldChar w:fldCharType="end"/>
      </w:r>
      <w:r w:rsidRPr="00B53423">
        <w:t xml:space="preserve">: CONNECTED LOAD (KW): HISTORICAL TREND AND APPROVED VALUES FOR FY </w:t>
      </w:r>
      <w:bookmarkEnd w:id="594"/>
      <w:bookmarkEnd w:id="595"/>
      <w:r w:rsidRPr="00B53423">
        <w:t>201</w:t>
      </w:r>
      <w:bookmarkEnd w:id="596"/>
      <w:r w:rsidRPr="00B53423">
        <w:t>4-15</w:t>
      </w:r>
      <w:bookmarkEnd w:id="597"/>
    </w:p>
    <w:tbl>
      <w:tblPr>
        <w:tblW w:w="4458"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566"/>
        <w:gridCol w:w="1511"/>
        <w:gridCol w:w="1511"/>
        <w:gridCol w:w="1511"/>
        <w:gridCol w:w="1511"/>
        <w:gridCol w:w="1512"/>
        <w:gridCol w:w="1512"/>
      </w:tblGrid>
      <w:tr w:rsidR="00C673AB" w:rsidRPr="00B53423" w:rsidTr="00C673AB">
        <w:trPr>
          <w:trHeight w:val="900"/>
        </w:trPr>
        <w:tc>
          <w:tcPr>
            <w:tcW w:w="1352" w:type="pct"/>
            <w:shd w:val="clear" w:color="000000" w:fill="DCE6F1"/>
            <w:noWrap/>
            <w:vAlign w:val="center"/>
            <w:hideMark/>
          </w:tcPr>
          <w:p w:rsidR="00C673AB" w:rsidRPr="00B53423" w:rsidRDefault="00C673AB" w:rsidP="0015232B">
            <w:pPr>
              <w:spacing w:before="0" w:line="240" w:lineRule="auto"/>
              <w:jc w:val="left"/>
              <w:rPr>
                <w:rFonts w:cs="Calibri"/>
                <w:b/>
                <w:bCs/>
                <w:color w:val="000000"/>
                <w:lang w:val="en-IN" w:eastAsia="en-IN"/>
              </w:rPr>
            </w:pPr>
            <w:r w:rsidRPr="00B53423">
              <w:rPr>
                <w:rFonts w:cs="Calibri"/>
                <w:b/>
                <w:bCs/>
                <w:color w:val="000000"/>
                <w:lang w:val="en-IN" w:eastAsia="en-IN"/>
              </w:rPr>
              <w:t>Consumer categories</w:t>
            </w:r>
          </w:p>
        </w:tc>
        <w:tc>
          <w:tcPr>
            <w:tcW w:w="608"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FY  2010-11</w:t>
            </w:r>
          </w:p>
        </w:tc>
        <w:tc>
          <w:tcPr>
            <w:tcW w:w="608"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FY 2011-12</w:t>
            </w:r>
          </w:p>
        </w:tc>
        <w:tc>
          <w:tcPr>
            <w:tcW w:w="608"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FY 2012-13</w:t>
            </w:r>
          </w:p>
        </w:tc>
        <w:tc>
          <w:tcPr>
            <w:tcW w:w="608" w:type="pct"/>
            <w:shd w:val="clear" w:color="000000" w:fill="DCE6F1"/>
            <w:vAlign w:val="center"/>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Revised Estimates for FY 2013-14</w:t>
            </w:r>
          </w:p>
        </w:tc>
        <w:tc>
          <w:tcPr>
            <w:tcW w:w="608"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Approved for FY 2014-15</w:t>
            </w:r>
          </w:p>
        </w:tc>
        <w:tc>
          <w:tcPr>
            <w:tcW w:w="608"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Growth of FY 15 over FY 14</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LMV-1: Domestic</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976498</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1020274</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1145139</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1194761</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1248376</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4%</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LMV-2:Non-Domestic</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230832</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239951</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262580</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279961</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298493</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7%</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 xml:space="preserve">LMV-3: Public Lamps </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13369</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13768</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13768</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13768</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13768</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LMV-4: Institutions</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10592</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9624</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12670</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13777</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14982</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9%</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LMV-5: Private Tube Wells</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123</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123</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123</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 6: Small and Medium Power</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110128</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114476</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120496</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120496</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120496</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 xml:space="preserve">LMV-7: Public Water Works </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19631</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19888</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23600</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25876</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28371</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10%</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LMV-8: State Tube Wells</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0</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 xml:space="preserve">LMV-9: Temporary Supply </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1005</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849</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849</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LMV-10: Departmental Employees</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1853</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1853</w:t>
            </w:r>
          </w:p>
        </w:tc>
        <w:tc>
          <w:tcPr>
            <w:tcW w:w="608" w:type="pct"/>
            <w:shd w:val="clear" w:color="auto" w:fill="auto"/>
            <w:noWrap/>
            <w:vAlign w:val="center"/>
            <w:hideMark/>
          </w:tcPr>
          <w:p w:rsidR="00C673AB" w:rsidRPr="00B53423" w:rsidRDefault="008F11E7"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1</w:t>
            </w:r>
          </w:p>
        </w:tc>
        <w:tc>
          <w:tcPr>
            <w:tcW w:w="608" w:type="pct"/>
          </w:tcPr>
          <w:p w:rsidR="00C673AB" w:rsidRPr="00B53423" w:rsidRDefault="008F11E7" w:rsidP="0015232B">
            <w:pPr>
              <w:spacing w:before="0" w:line="240" w:lineRule="auto"/>
              <w:ind w:right="262"/>
              <w:jc w:val="right"/>
              <w:rPr>
                <w:rFonts w:asciiTheme="minorHAnsi" w:hAnsiTheme="minorHAnsi" w:cstheme="minorHAnsi"/>
              </w:rPr>
            </w:pPr>
            <w:r w:rsidRPr="00B53423">
              <w:rPr>
                <w:rFonts w:asciiTheme="minorHAnsi" w:hAnsiTheme="minorHAnsi" w:cstheme="minorHAnsi"/>
                <w:bCs/>
                <w:color w:val="000000"/>
              </w:rPr>
              <w:t>1853</w:t>
            </w:r>
          </w:p>
        </w:tc>
        <w:tc>
          <w:tcPr>
            <w:tcW w:w="608" w:type="pct"/>
            <w:shd w:val="clear" w:color="auto" w:fill="auto"/>
            <w:noWrap/>
            <w:hideMark/>
          </w:tcPr>
          <w:p w:rsidR="00C673AB" w:rsidRPr="00B53423" w:rsidRDefault="008F11E7" w:rsidP="0015232B">
            <w:pPr>
              <w:spacing w:before="0" w:line="240" w:lineRule="auto"/>
              <w:ind w:right="358"/>
              <w:jc w:val="right"/>
              <w:rPr>
                <w:rFonts w:asciiTheme="minorHAnsi" w:hAnsiTheme="minorHAnsi" w:cstheme="minorHAnsi"/>
              </w:rPr>
            </w:pPr>
            <w:r w:rsidRPr="00B53423">
              <w:rPr>
                <w:rFonts w:asciiTheme="minorHAnsi" w:hAnsiTheme="minorHAnsi" w:cstheme="minorHAnsi"/>
                <w:bCs/>
                <w:color w:val="000000"/>
              </w:rPr>
              <w:t>1853</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HV-1: Non-Industrial Bulk Loads</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41935</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53411</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51052</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51052</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51052</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HV-2: Large and Heavy Power</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175864</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159071</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203898</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205937</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207996</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1%</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HV-3: Railway Traction</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0</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HV-4: Lift Irrigation</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bCs/>
                <w:color w:val="000000"/>
              </w:rPr>
              <w:t>0</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b/>
                <w:bCs/>
                <w:color w:val="000000"/>
                <w:lang w:val="en-IN" w:eastAsia="en-IN"/>
              </w:rPr>
            </w:pPr>
            <w:r w:rsidRPr="00B53423">
              <w:rPr>
                <w:rFonts w:cs="Calibri"/>
                <w:b/>
                <w:bCs/>
                <w:color w:val="000000"/>
                <w:lang w:val="en-IN" w:eastAsia="en-IN"/>
              </w:rPr>
              <w:t>Sub-total</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1580702</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1632316</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1862983</w:t>
            </w:r>
          </w:p>
        </w:tc>
        <w:tc>
          <w:tcPr>
            <w:tcW w:w="608" w:type="pct"/>
          </w:tcPr>
          <w:p w:rsidR="00C673AB" w:rsidRPr="00B53423" w:rsidRDefault="00C673AB" w:rsidP="0015232B">
            <w:pPr>
              <w:spacing w:before="0" w:line="240" w:lineRule="auto"/>
              <w:ind w:right="262"/>
              <w:jc w:val="right"/>
              <w:rPr>
                <w:rFonts w:asciiTheme="minorHAnsi" w:hAnsiTheme="minorHAnsi" w:cstheme="minorHAnsi"/>
                <w:b/>
                <w:bCs/>
                <w:color w:val="000000"/>
              </w:rPr>
            </w:pPr>
            <w:r w:rsidRPr="00B53423">
              <w:rPr>
                <w:rFonts w:asciiTheme="minorHAnsi" w:hAnsiTheme="minorHAnsi" w:cstheme="minorHAnsi"/>
                <w:b/>
                <w:bCs/>
                <w:color w:val="000000"/>
              </w:rPr>
              <w:t>1908453</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1986360</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b/>
                <w:color w:val="000000"/>
                <w:lang w:val="en-IN" w:eastAsia="en-IN"/>
              </w:rPr>
            </w:pPr>
            <w:r w:rsidRPr="00B53423">
              <w:rPr>
                <w:rFonts w:asciiTheme="minorHAnsi" w:hAnsiTheme="minorHAnsi" w:cstheme="minorHAnsi"/>
                <w:b/>
                <w:bCs/>
                <w:color w:val="000000"/>
              </w:rPr>
              <w:t>4%</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Extra state &amp; Bulk</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0</w:t>
            </w:r>
          </w:p>
        </w:tc>
        <w:tc>
          <w:tcPr>
            <w:tcW w:w="608" w:type="pct"/>
          </w:tcPr>
          <w:p w:rsidR="00C673AB" w:rsidRPr="00B53423" w:rsidRDefault="00C673AB" w:rsidP="0015232B">
            <w:pPr>
              <w:spacing w:before="0" w:line="240" w:lineRule="auto"/>
              <w:ind w:right="262"/>
              <w:jc w:val="right"/>
              <w:rPr>
                <w:rFonts w:asciiTheme="minorHAnsi" w:hAnsiTheme="minorHAnsi" w:cstheme="minorHAnsi"/>
                <w:color w:val="000000"/>
              </w:rPr>
            </w:pPr>
            <w:r w:rsidRPr="00B53423">
              <w:rPr>
                <w:rFonts w:asciiTheme="minorHAnsi" w:hAnsiTheme="minorHAnsi" w:cstheme="minorHAnsi"/>
                <w:color w:val="000000"/>
              </w:rPr>
              <w:t>0</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w:t>
            </w:r>
          </w:p>
        </w:tc>
      </w:tr>
      <w:tr w:rsidR="00C673AB" w:rsidRPr="00B53423" w:rsidTr="00C673AB">
        <w:trPr>
          <w:trHeight w:val="300"/>
        </w:trPr>
        <w:tc>
          <w:tcPr>
            <w:tcW w:w="1352" w:type="pct"/>
            <w:shd w:val="clear" w:color="auto" w:fill="auto"/>
            <w:noWrap/>
            <w:hideMark/>
          </w:tcPr>
          <w:p w:rsidR="00C673AB" w:rsidRPr="00B53423" w:rsidRDefault="00C673AB" w:rsidP="0015232B">
            <w:pPr>
              <w:spacing w:before="0" w:line="240" w:lineRule="auto"/>
              <w:jc w:val="left"/>
              <w:rPr>
                <w:rFonts w:cs="Calibri"/>
                <w:b/>
                <w:bCs/>
                <w:color w:val="000000"/>
                <w:lang w:val="en-IN" w:eastAsia="en-IN"/>
              </w:rPr>
            </w:pPr>
            <w:r w:rsidRPr="00B53423">
              <w:rPr>
                <w:rFonts w:cs="Calibri"/>
                <w:b/>
                <w:bCs/>
                <w:color w:val="000000"/>
                <w:lang w:val="en-IN" w:eastAsia="en-IN"/>
              </w:rPr>
              <w:t>Total</w:t>
            </w:r>
          </w:p>
        </w:tc>
        <w:tc>
          <w:tcPr>
            <w:tcW w:w="608" w:type="pct"/>
            <w:shd w:val="clear" w:color="auto" w:fill="auto"/>
            <w:noWrap/>
            <w:vAlign w:val="center"/>
            <w:hideMark/>
          </w:tcPr>
          <w:p w:rsidR="00C673AB" w:rsidRPr="00B53423" w:rsidRDefault="00C673AB" w:rsidP="0015232B">
            <w:pPr>
              <w:spacing w:before="0" w:line="240" w:lineRule="auto"/>
              <w:ind w:right="237"/>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1580702</w:t>
            </w:r>
          </w:p>
        </w:tc>
        <w:tc>
          <w:tcPr>
            <w:tcW w:w="608" w:type="pct"/>
            <w:shd w:val="clear" w:color="auto" w:fill="auto"/>
            <w:noWrap/>
            <w:vAlign w:val="center"/>
            <w:hideMark/>
          </w:tcPr>
          <w:p w:rsidR="00C673AB" w:rsidRPr="00B53423" w:rsidRDefault="00C673AB" w:rsidP="0015232B">
            <w:pPr>
              <w:spacing w:before="0" w:line="240" w:lineRule="auto"/>
              <w:ind w:right="244"/>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1632316</w:t>
            </w:r>
          </w:p>
        </w:tc>
        <w:tc>
          <w:tcPr>
            <w:tcW w:w="608" w:type="pct"/>
            <w:shd w:val="clear" w:color="auto" w:fill="auto"/>
            <w:noWrap/>
            <w:vAlign w:val="center"/>
            <w:hideMark/>
          </w:tcPr>
          <w:p w:rsidR="00C673AB" w:rsidRPr="00B53423" w:rsidRDefault="00C673AB" w:rsidP="0015232B">
            <w:pPr>
              <w:spacing w:before="0" w:line="240" w:lineRule="auto"/>
              <w:ind w:right="250"/>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1862983</w:t>
            </w:r>
          </w:p>
        </w:tc>
        <w:tc>
          <w:tcPr>
            <w:tcW w:w="608" w:type="pct"/>
          </w:tcPr>
          <w:p w:rsidR="00C673AB" w:rsidRPr="00B53423" w:rsidRDefault="00C673AB" w:rsidP="0015232B">
            <w:pPr>
              <w:spacing w:before="0" w:line="240" w:lineRule="auto"/>
              <w:ind w:right="262"/>
              <w:jc w:val="right"/>
              <w:rPr>
                <w:rFonts w:asciiTheme="minorHAnsi" w:hAnsiTheme="minorHAnsi" w:cstheme="minorHAnsi"/>
                <w:b/>
                <w:bCs/>
                <w:color w:val="000000"/>
              </w:rPr>
            </w:pPr>
            <w:r w:rsidRPr="00B53423">
              <w:rPr>
                <w:rFonts w:asciiTheme="minorHAnsi" w:hAnsiTheme="minorHAnsi" w:cstheme="minorHAnsi"/>
                <w:b/>
                <w:bCs/>
                <w:color w:val="000000"/>
              </w:rPr>
              <w:t>1908453</w:t>
            </w:r>
          </w:p>
        </w:tc>
        <w:tc>
          <w:tcPr>
            <w:tcW w:w="608" w:type="pct"/>
            <w:shd w:val="clear" w:color="auto" w:fill="auto"/>
            <w:noWrap/>
            <w:vAlign w:val="center"/>
            <w:hideMark/>
          </w:tcPr>
          <w:p w:rsidR="00C673AB" w:rsidRPr="00B53423" w:rsidRDefault="00C673AB" w:rsidP="0015232B">
            <w:pPr>
              <w:spacing w:before="0" w:line="240" w:lineRule="auto"/>
              <w:ind w:right="358"/>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1986360</w:t>
            </w:r>
          </w:p>
        </w:tc>
        <w:tc>
          <w:tcPr>
            <w:tcW w:w="608"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b/>
                <w:color w:val="000000"/>
                <w:lang w:val="en-IN" w:eastAsia="en-IN"/>
              </w:rPr>
            </w:pPr>
            <w:r w:rsidRPr="00B53423">
              <w:rPr>
                <w:rFonts w:asciiTheme="minorHAnsi" w:hAnsiTheme="minorHAnsi" w:cstheme="minorHAnsi"/>
                <w:b/>
                <w:bCs/>
                <w:color w:val="000000"/>
              </w:rPr>
              <w:t>4%</w:t>
            </w:r>
          </w:p>
        </w:tc>
      </w:tr>
    </w:tbl>
    <w:p w:rsidR="004C74C2" w:rsidRPr="00B53423" w:rsidRDefault="004C74C2" w:rsidP="0015232B">
      <w:pPr>
        <w:spacing w:before="0" w:line="240" w:lineRule="auto"/>
        <w:jc w:val="left"/>
        <w:sectPr w:rsidR="004C74C2" w:rsidRPr="00B53423" w:rsidSect="006711BC">
          <w:headerReference w:type="default" r:id="rId19"/>
          <w:footerReference w:type="default" r:id="rId20"/>
          <w:pgSz w:w="16834" w:h="11909" w:orient="landscape"/>
          <w:pgMar w:top="1800" w:right="1440" w:bottom="1440" w:left="1440" w:header="720" w:footer="720" w:gutter="0"/>
          <w:pgNumType w:chapSep="colon"/>
          <w:cols w:space="720"/>
        </w:sectPr>
      </w:pPr>
    </w:p>
    <w:p w:rsidR="004C74C2" w:rsidRPr="00B53423" w:rsidRDefault="004C74C2" w:rsidP="0015232B">
      <w:pPr>
        <w:pStyle w:val="Caption"/>
        <w:jc w:val="center"/>
      </w:pPr>
      <w:bookmarkStart w:id="598" w:name="_Toc338310672"/>
      <w:bookmarkStart w:id="599" w:name="_Toc338419502"/>
      <w:bookmarkStart w:id="600" w:name="_Toc357738730"/>
      <w:bookmarkStart w:id="601" w:name="_Toc399626414"/>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9</w:t>
      </w:r>
      <w:r w:rsidR="005D68E7" w:rsidRPr="00B53423">
        <w:fldChar w:fldCharType="end"/>
      </w:r>
      <w:r w:rsidRPr="00B53423">
        <w:t xml:space="preserve">: ENERGY SALES (MU): HISTORICAL TREND AND APPROVED VALUES FOR FY </w:t>
      </w:r>
      <w:bookmarkEnd w:id="598"/>
      <w:bookmarkEnd w:id="599"/>
      <w:r w:rsidRPr="00B53423">
        <w:t>201</w:t>
      </w:r>
      <w:bookmarkEnd w:id="600"/>
      <w:r w:rsidRPr="00B53423">
        <w:t>4-15</w:t>
      </w:r>
      <w:bookmarkEnd w:id="601"/>
    </w:p>
    <w:tbl>
      <w:tblPr>
        <w:tblW w:w="4613"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352"/>
        <w:gridCol w:w="1400"/>
        <w:gridCol w:w="1399"/>
        <w:gridCol w:w="1399"/>
        <w:gridCol w:w="1443"/>
        <w:gridCol w:w="1530"/>
        <w:gridCol w:w="1550"/>
      </w:tblGrid>
      <w:tr w:rsidR="00C673AB" w:rsidRPr="00B53423" w:rsidTr="00C673AB">
        <w:trPr>
          <w:trHeight w:val="900"/>
        </w:trPr>
        <w:tc>
          <w:tcPr>
            <w:tcW w:w="1664" w:type="pct"/>
            <w:shd w:val="clear" w:color="000000" w:fill="DCE6F1"/>
            <w:noWrap/>
            <w:vAlign w:val="center"/>
            <w:hideMark/>
          </w:tcPr>
          <w:p w:rsidR="00C673AB" w:rsidRPr="00B53423" w:rsidRDefault="00C673AB" w:rsidP="0015232B">
            <w:pPr>
              <w:spacing w:before="0" w:line="240" w:lineRule="auto"/>
              <w:jc w:val="left"/>
              <w:rPr>
                <w:rFonts w:cs="Calibri"/>
                <w:b/>
                <w:bCs/>
                <w:color w:val="000000"/>
                <w:lang w:val="en-IN" w:eastAsia="en-IN"/>
              </w:rPr>
            </w:pPr>
            <w:r w:rsidRPr="00B53423">
              <w:rPr>
                <w:rFonts w:cs="Calibri"/>
                <w:b/>
                <w:bCs/>
                <w:color w:val="000000"/>
                <w:lang w:val="en-IN" w:eastAsia="en-IN"/>
              </w:rPr>
              <w:t>Consumer categories</w:t>
            </w:r>
          </w:p>
        </w:tc>
        <w:tc>
          <w:tcPr>
            <w:tcW w:w="535"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FY  2010-11</w:t>
            </w:r>
          </w:p>
        </w:tc>
        <w:tc>
          <w:tcPr>
            <w:tcW w:w="535"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FY 2011-12</w:t>
            </w:r>
          </w:p>
        </w:tc>
        <w:tc>
          <w:tcPr>
            <w:tcW w:w="535"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FY 2012-13</w:t>
            </w:r>
          </w:p>
        </w:tc>
        <w:tc>
          <w:tcPr>
            <w:tcW w:w="552" w:type="pct"/>
            <w:shd w:val="clear" w:color="000000" w:fill="DCE6F1"/>
            <w:vAlign w:val="center"/>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Revised Estimates for FY 2013-14</w:t>
            </w:r>
          </w:p>
        </w:tc>
        <w:tc>
          <w:tcPr>
            <w:tcW w:w="585"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Approved for FY 2014-15</w:t>
            </w:r>
          </w:p>
        </w:tc>
        <w:tc>
          <w:tcPr>
            <w:tcW w:w="593" w:type="pct"/>
            <w:shd w:val="clear" w:color="000000" w:fill="DCE6F1"/>
            <w:vAlign w:val="center"/>
            <w:hideMark/>
          </w:tcPr>
          <w:p w:rsidR="00C673AB" w:rsidRPr="00B53423" w:rsidRDefault="00C673AB" w:rsidP="0015232B">
            <w:pPr>
              <w:spacing w:before="0" w:line="240" w:lineRule="auto"/>
              <w:jc w:val="center"/>
              <w:rPr>
                <w:rFonts w:cs="Calibri"/>
                <w:b/>
                <w:bCs/>
                <w:color w:val="000000"/>
                <w:lang w:val="en-IN" w:eastAsia="en-IN"/>
              </w:rPr>
            </w:pPr>
            <w:r w:rsidRPr="00B53423">
              <w:rPr>
                <w:rFonts w:cs="Calibri"/>
                <w:b/>
                <w:bCs/>
                <w:color w:val="000000"/>
                <w:lang w:val="en-IN" w:eastAsia="en-IN"/>
              </w:rPr>
              <w:t>Growth of FY 15 over FY 14</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LMV-1: Domestic</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1071</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1160</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979</w:t>
            </w:r>
          </w:p>
        </w:tc>
        <w:tc>
          <w:tcPr>
            <w:tcW w:w="552" w:type="pct"/>
          </w:tcPr>
          <w:p w:rsidR="00C673AB" w:rsidRPr="00B53423" w:rsidRDefault="00C673AB" w:rsidP="0015232B">
            <w:pPr>
              <w:spacing w:before="0" w:line="240" w:lineRule="auto"/>
              <w:ind w:right="344"/>
              <w:jc w:val="right"/>
              <w:rPr>
                <w:rFonts w:asciiTheme="minorHAnsi" w:hAnsiTheme="minorHAnsi" w:cstheme="minorHAnsi"/>
                <w:color w:val="000000"/>
              </w:rPr>
            </w:pPr>
            <w:r w:rsidRPr="00B53423">
              <w:rPr>
                <w:rFonts w:asciiTheme="minorHAnsi" w:hAnsiTheme="minorHAnsi" w:cstheme="minorHAnsi"/>
                <w:bCs/>
                <w:color w:val="000000"/>
              </w:rPr>
              <w:t>1056</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bCs/>
                <w:color w:val="000000"/>
              </w:rPr>
            </w:pPr>
            <w:r w:rsidRPr="00B53423">
              <w:rPr>
                <w:rFonts w:asciiTheme="minorHAnsi" w:hAnsiTheme="minorHAnsi" w:cstheme="minorHAnsi"/>
                <w:bCs/>
                <w:color w:val="000000"/>
              </w:rPr>
              <w:t>1138</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8%</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LMV-2:Non-Domestic</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229</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259</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261</w:t>
            </w:r>
          </w:p>
        </w:tc>
        <w:tc>
          <w:tcPr>
            <w:tcW w:w="552" w:type="pct"/>
          </w:tcPr>
          <w:p w:rsidR="00C673AB" w:rsidRPr="00B53423" w:rsidRDefault="00806820" w:rsidP="0015232B">
            <w:pPr>
              <w:spacing w:before="0" w:line="240" w:lineRule="auto"/>
              <w:ind w:right="344"/>
              <w:jc w:val="right"/>
              <w:rPr>
                <w:rFonts w:asciiTheme="minorHAnsi" w:hAnsiTheme="minorHAnsi" w:cstheme="minorHAnsi"/>
                <w:color w:val="000000"/>
              </w:rPr>
            </w:pPr>
            <w:r w:rsidRPr="00B53423">
              <w:rPr>
                <w:rFonts w:asciiTheme="minorHAnsi" w:hAnsiTheme="minorHAnsi" w:cstheme="minorHAnsi"/>
                <w:bCs/>
                <w:color w:val="000000"/>
              </w:rPr>
              <w:t>289</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bCs/>
                <w:color w:val="000000"/>
              </w:rPr>
            </w:pPr>
            <w:r w:rsidRPr="00B53423">
              <w:rPr>
                <w:rFonts w:asciiTheme="minorHAnsi" w:hAnsiTheme="minorHAnsi" w:cstheme="minorHAnsi"/>
                <w:bCs/>
                <w:color w:val="000000"/>
              </w:rPr>
              <w:t>320</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 xml:space="preserve">LMV-3: Public Lamps </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48</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49</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40</w:t>
            </w:r>
          </w:p>
        </w:tc>
        <w:tc>
          <w:tcPr>
            <w:tcW w:w="552" w:type="pct"/>
          </w:tcPr>
          <w:p w:rsidR="00C673AB" w:rsidRPr="00B53423" w:rsidRDefault="00C673AB" w:rsidP="0015232B">
            <w:pPr>
              <w:spacing w:before="0" w:line="240" w:lineRule="auto"/>
              <w:ind w:right="344"/>
              <w:jc w:val="right"/>
              <w:rPr>
                <w:rFonts w:asciiTheme="minorHAnsi" w:hAnsiTheme="minorHAnsi" w:cstheme="minorHAnsi"/>
                <w:color w:val="000000"/>
              </w:rPr>
            </w:pPr>
            <w:r w:rsidRPr="00B53423">
              <w:rPr>
                <w:rFonts w:asciiTheme="minorHAnsi" w:hAnsiTheme="minorHAnsi" w:cstheme="minorHAnsi"/>
                <w:bCs/>
                <w:color w:val="000000"/>
              </w:rPr>
              <w:t>59</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color w:val="000000"/>
                <w:lang w:val="en-IN" w:eastAsia="en-IN"/>
              </w:rPr>
            </w:pPr>
            <w:r w:rsidRPr="00B53423">
              <w:rPr>
                <w:rFonts w:asciiTheme="minorHAnsi" w:hAnsiTheme="minorHAnsi" w:cstheme="minorHAnsi"/>
                <w:bCs/>
                <w:color w:val="000000"/>
              </w:rPr>
              <w:t>59</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LMV-4: Institutions</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24</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43</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32</w:t>
            </w:r>
          </w:p>
        </w:tc>
        <w:tc>
          <w:tcPr>
            <w:tcW w:w="552" w:type="pct"/>
          </w:tcPr>
          <w:p w:rsidR="00C673AB" w:rsidRPr="00B53423" w:rsidRDefault="00C673AB" w:rsidP="0015232B">
            <w:pPr>
              <w:spacing w:before="0" w:line="240" w:lineRule="auto"/>
              <w:ind w:right="344"/>
              <w:jc w:val="right"/>
              <w:rPr>
                <w:rFonts w:asciiTheme="minorHAnsi" w:hAnsiTheme="minorHAnsi" w:cstheme="minorHAnsi"/>
                <w:color w:val="000000"/>
              </w:rPr>
            </w:pPr>
            <w:r w:rsidRPr="00B53423">
              <w:rPr>
                <w:rFonts w:asciiTheme="minorHAnsi" w:hAnsiTheme="minorHAnsi" w:cstheme="minorHAnsi"/>
                <w:bCs/>
                <w:color w:val="000000"/>
              </w:rPr>
              <w:t>37</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color w:val="000000"/>
                <w:lang w:val="en-IN" w:eastAsia="en-IN"/>
              </w:rPr>
            </w:pPr>
            <w:r w:rsidRPr="00B53423">
              <w:rPr>
                <w:rFonts w:asciiTheme="minorHAnsi" w:hAnsiTheme="minorHAnsi" w:cstheme="minorHAnsi"/>
                <w:bCs/>
                <w:color w:val="000000"/>
              </w:rPr>
              <w:t>42</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14%</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LMV-5: Private Tube Wells</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52" w:type="pct"/>
          </w:tcPr>
          <w:p w:rsidR="00C673AB" w:rsidRPr="00B53423" w:rsidRDefault="00C673AB" w:rsidP="0015232B">
            <w:pPr>
              <w:spacing w:before="0" w:line="240" w:lineRule="auto"/>
              <w:ind w:right="344"/>
              <w:jc w:val="right"/>
              <w:rPr>
                <w:rFonts w:asciiTheme="minorHAnsi" w:hAnsiTheme="minorHAnsi" w:cstheme="minorHAnsi"/>
                <w:color w:val="000000"/>
              </w:rPr>
            </w:pP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 6: Small and Medium Power</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232</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232</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240</w:t>
            </w:r>
          </w:p>
        </w:tc>
        <w:tc>
          <w:tcPr>
            <w:tcW w:w="552" w:type="pct"/>
          </w:tcPr>
          <w:p w:rsidR="00C673AB" w:rsidRPr="00B53423" w:rsidRDefault="00C673AB" w:rsidP="0015232B">
            <w:pPr>
              <w:spacing w:before="0" w:line="240" w:lineRule="auto"/>
              <w:ind w:right="344"/>
              <w:jc w:val="right"/>
              <w:rPr>
                <w:rFonts w:asciiTheme="minorHAnsi" w:hAnsiTheme="minorHAnsi" w:cstheme="minorHAnsi"/>
                <w:color w:val="000000"/>
              </w:rPr>
            </w:pPr>
            <w:r w:rsidRPr="00B53423">
              <w:rPr>
                <w:rFonts w:asciiTheme="minorHAnsi" w:hAnsiTheme="minorHAnsi" w:cstheme="minorHAnsi"/>
                <w:bCs/>
                <w:color w:val="000000"/>
              </w:rPr>
              <w:t>281</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color w:val="000000"/>
                <w:lang w:val="en-IN" w:eastAsia="en-IN"/>
              </w:rPr>
            </w:pPr>
            <w:r w:rsidRPr="00B53423">
              <w:rPr>
                <w:rFonts w:asciiTheme="minorHAnsi" w:hAnsiTheme="minorHAnsi" w:cstheme="minorHAnsi"/>
                <w:bCs/>
                <w:color w:val="000000"/>
              </w:rPr>
              <w:t>301</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7%</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 xml:space="preserve">LMV-7: Public Water Works </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50</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49</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40</w:t>
            </w:r>
          </w:p>
        </w:tc>
        <w:tc>
          <w:tcPr>
            <w:tcW w:w="552" w:type="pct"/>
          </w:tcPr>
          <w:p w:rsidR="00C673AB" w:rsidRPr="00B53423" w:rsidRDefault="00C673AB" w:rsidP="0015232B">
            <w:pPr>
              <w:spacing w:before="0" w:line="240" w:lineRule="auto"/>
              <w:ind w:right="344"/>
              <w:jc w:val="right"/>
              <w:rPr>
                <w:rFonts w:asciiTheme="minorHAnsi" w:hAnsiTheme="minorHAnsi" w:cstheme="minorHAnsi"/>
                <w:color w:val="000000"/>
              </w:rPr>
            </w:pPr>
            <w:r w:rsidRPr="00B53423">
              <w:rPr>
                <w:rFonts w:asciiTheme="minorHAnsi" w:hAnsiTheme="minorHAnsi" w:cstheme="minorHAnsi"/>
                <w:bCs/>
                <w:color w:val="000000"/>
              </w:rPr>
              <w:t>41</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color w:val="000000"/>
                <w:lang w:val="en-IN" w:eastAsia="en-IN"/>
              </w:rPr>
            </w:pPr>
            <w:r w:rsidRPr="00B53423">
              <w:rPr>
                <w:rFonts w:asciiTheme="minorHAnsi" w:hAnsiTheme="minorHAnsi" w:cstheme="minorHAnsi"/>
                <w:bCs/>
                <w:color w:val="000000"/>
              </w:rPr>
              <w:t>42</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2%</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LMV-8: State Tube Wells</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52" w:type="pct"/>
          </w:tcPr>
          <w:p w:rsidR="00C673AB" w:rsidRPr="00B53423" w:rsidRDefault="00C673AB" w:rsidP="0015232B">
            <w:pPr>
              <w:spacing w:before="0" w:line="240" w:lineRule="auto"/>
              <w:ind w:right="344"/>
              <w:jc w:val="right"/>
              <w:rPr>
                <w:rFonts w:asciiTheme="minorHAnsi" w:hAnsiTheme="minorHAnsi" w:cstheme="minorHAnsi"/>
                <w:color w:val="000000"/>
              </w:rPr>
            </w:pPr>
            <w:r w:rsidRPr="00B53423">
              <w:rPr>
                <w:rFonts w:asciiTheme="minorHAnsi" w:hAnsiTheme="minorHAnsi" w:cstheme="minorHAnsi"/>
                <w:bCs/>
                <w:color w:val="000000"/>
              </w:rPr>
              <w:t>0</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 xml:space="preserve">LMV-9: Temporary Supply </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1</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1</w:t>
            </w:r>
          </w:p>
        </w:tc>
        <w:tc>
          <w:tcPr>
            <w:tcW w:w="552" w:type="pct"/>
          </w:tcPr>
          <w:p w:rsidR="00C673AB" w:rsidRPr="00B53423" w:rsidRDefault="00C673AB" w:rsidP="0015232B">
            <w:pPr>
              <w:spacing w:before="0" w:line="240" w:lineRule="auto"/>
              <w:ind w:right="344"/>
              <w:jc w:val="right"/>
              <w:rPr>
                <w:rFonts w:asciiTheme="minorHAnsi" w:hAnsiTheme="minorHAnsi" w:cstheme="minorHAnsi"/>
                <w:color w:val="000000"/>
              </w:rPr>
            </w:pPr>
            <w:r w:rsidRPr="00B53423">
              <w:rPr>
                <w:rFonts w:asciiTheme="minorHAnsi" w:hAnsiTheme="minorHAnsi" w:cstheme="minorHAnsi"/>
                <w:bCs/>
                <w:color w:val="000000"/>
              </w:rPr>
              <w:t>1</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color w:val="000000"/>
                <w:lang w:val="en-IN" w:eastAsia="en-IN"/>
              </w:rPr>
            </w:pPr>
            <w:r w:rsidRPr="00B53423">
              <w:rPr>
                <w:rFonts w:asciiTheme="minorHAnsi" w:hAnsiTheme="minorHAnsi" w:cstheme="minorHAnsi"/>
                <w:bCs/>
                <w:color w:val="000000"/>
              </w:rPr>
              <w:t>1</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LMV-10: Departmental Employees</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1</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1</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22</w:t>
            </w:r>
          </w:p>
        </w:tc>
        <w:tc>
          <w:tcPr>
            <w:tcW w:w="552" w:type="pct"/>
          </w:tcPr>
          <w:p w:rsidR="00C673AB" w:rsidRPr="00B53423" w:rsidRDefault="00C673AB" w:rsidP="0015232B">
            <w:pPr>
              <w:spacing w:before="0" w:line="240" w:lineRule="auto"/>
              <w:ind w:right="344"/>
              <w:jc w:val="right"/>
              <w:rPr>
                <w:rFonts w:asciiTheme="minorHAnsi" w:hAnsiTheme="minorHAnsi" w:cstheme="minorHAnsi"/>
                <w:color w:val="000000"/>
              </w:rPr>
            </w:pPr>
            <w:r w:rsidRPr="00B53423">
              <w:rPr>
                <w:rFonts w:asciiTheme="minorHAnsi" w:hAnsiTheme="minorHAnsi" w:cstheme="minorHAnsi"/>
                <w:bCs/>
                <w:color w:val="000000"/>
              </w:rPr>
              <w:t>23</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color w:val="000000"/>
                <w:lang w:val="en-IN" w:eastAsia="en-IN"/>
              </w:rPr>
            </w:pPr>
            <w:r w:rsidRPr="00B53423">
              <w:rPr>
                <w:rFonts w:asciiTheme="minorHAnsi" w:hAnsiTheme="minorHAnsi" w:cstheme="minorHAnsi"/>
                <w:bCs/>
                <w:color w:val="000000"/>
              </w:rPr>
              <w:t>24</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5%</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HV-1: Non-Industrial Bulk Loads</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105</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115</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119</w:t>
            </w:r>
          </w:p>
        </w:tc>
        <w:tc>
          <w:tcPr>
            <w:tcW w:w="552" w:type="pct"/>
          </w:tcPr>
          <w:p w:rsidR="00C673AB" w:rsidRPr="00B53423" w:rsidRDefault="00C673AB" w:rsidP="0015232B">
            <w:pPr>
              <w:spacing w:before="0" w:line="240" w:lineRule="auto"/>
              <w:ind w:right="344"/>
              <w:jc w:val="right"/>
              <w:rPr>
                <w:rFonts w:asciiTheme="minorHAnsi" w:hAnsiTheme="minorHAnsi" w:cstheme="minorHAnsi"/>
                <w:color w:val="000000"/>
              </w:rPr>
            </w:pPr>
            <w:r w:rsidRPr="00B53423">
              <w:rPr>
                <w:rFonts w:asciiTheme="minorHAnsi" w:hAnsiTheme="minorHAnsi" w:cstheme="minorHAnsi"/>
                <w:bCs/>
                <w:color w:val="000000"/>
              </w:rPr>
              <w:t>119</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color w:val="000000"/>
                <w:lang w:val="en-IN" w:eastAsia="en-IN"/>
              </w:rPr>
            </w:pPr>
            <w:r w:rsidRPr="00B53423">
              <w:rPr>
                <w:rFonts w:asciiTheme="minorHAnsi" w:hAnsiTheme="minorHAnsi" w:cstheme="minorHAnsi"/>
                <w:bCs/>
                <w:color w:val="000000"/>
              </w:rPr>
              <w:t>119</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HV-2: Large and Heavy Power</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367</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389</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419</w:t>
            </w:r>
          </w:p>
        </w:tc>
        <w:tc>
          <w:tcPr>
            <w:tcW w:w="552" w:type="pct"/>
          </w:tcPr>
          <w:p w:rsidR="00C673AB" w:rsidRPr="00B53423" w:rsidRDefault="00C673AB" w:rsidP="0015232B">
            <w:pPr>
              <w:spacing w:before="0" w:line="240" w:lineRule="auto"/>
              <w:ind w:right="344"/>
              <w:jc w:val="right"/>
              <w:rPr>
                <w:rFonts w:asciiTheme="minorHAnsi" w:hAnsiTheme="minorHAnsi" w:cstheme="minorHAnsi"/>
                <w:color w:val="000000"/>
              </w:rPr>
            </w:pPr>
            <w:r w:rsidRPr="00B53423">
              <w:rPr>
                <w:rFonts w:asciiTheme="minorHAnsi" w:hAnsiTheme="minorHAnsi" w:cstheme="minorHAnsi"/>
                <w:bCs/>
                <w:color w:val="000000"/>
              </w:rPr>
              <w:t>424</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color w:val="000000"/>
                <w:lang w:val="en-IN" w:eastAsia="en-IN"/>
              </w:rPr>
            </w:pPr>
            <w:r w:rsidRPr="00B53423">
              <w:rPr>
                <w:rFonts w:asciiTheme="minorHAnsi" w:hAnsiTheme="minorHAnsi" w:cstheme="minorHAnsi"/>
                <w:bCs/>
                <w:color w:val="000000"/>
              </w:rPr>
              <w:t>428</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1%</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HV-3: Railway Traction</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52" w:type="pct"/>
            <w:vAlign w:val="center"/>
          </w:tcPr>
          <w:p w:rsidR="00C673AB" w:rsidRPr="00B53423" w:rsidRDefault="00C673AB" w:rsidP="0015232B">
            <w:pPr>
              <w:spacing w:before="0" w:line="240" w:lineRule="auto"/>
              <w:ind w:right="344"/>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HV-4: Lift Irrigation</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52" w:type="pct"/>
            <w:vAlign w:val="center"/>
          </w:tcPr>
          <w:p w:rsidR="00C673AB" w:rsidRPr="00B53423" w:rsidRDefault="00C673AB" w:rsidP="0015232B">
            <w:pPr>
              <w:spacing w:before="0" w:line="240" w:lineRule="auto"/>
              <w:ind w:right="344"/>
              <w:jc w:val="right"/>
              <w:rPr>
                <w:rFonts w:asciiTheme="minorHAnsi" w:hAnsiTheme="minorHAnsi" w:cstheme="minorHAnsi"/>
                <w:color w:val="000000"/>
                <w:lang w:val="en-IN" w:eastAsia="en-IN"/>
              </w:rPr>
            </w:pPr>
            <w:r w:rsidRPr="00B53423">
              <w:rPr>
                <w:rFonts w:asciiTheme="minorHAnsi" w:hAnsiTheme="minorHAnsi" w:cstheme="minorHAnsi"/>
                <w:bCs/>
                <w:color w:val="000000"/>
              </w:rPr>
              <w:t>0</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bCs/>
                <w:color w:val="000000"/>
              </w:rPr>
            </w:pPr>
            <w:r w:rsidRPr="00B53423">
              <w:rPr>
                <w:rFonts w:asciiTheme="minorHAnsi" w:hAnsiTheme="minorHAnsi" w:cstheme="minorHAnsi"/>
                <w:bCs/>
                <w:color w:val="000000"/>
              </w:rPr>
              <w:t>0</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b/>
                <w:bCs/>
                <w:color w:val="000000"/>
                <w:lang w:val="en-IN" w:eastAsia="en-IN"/>
              </w:rPr>
            </w:pPr>
            <w:r w:rsidRPr="00B53423">
              <w:rPr>
                <w:rFonts w:cs="Calibri"/>
                <w:b/>
                <w:bCs/>
                <w:color w:val="000000"/>
                <w:lang w:val="en-IN" w:eastAsia="en-IN"/>
              </w:rPr>
              <w:t>Sub-total</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2130</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2297</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2154</w:t>
            </w:r>
          </w:p>
        </w:tc>
        <w:tc>
          <w:tcPr>
            <w:tcW w:w="552" w:type="pct"/>
          </w:tcPr>
          <w:p w:rsidR="00C673AB" w:rsidRPr="00B53423" w:rsidRDefault="00806820" w:rsidP="0015232B">
            <w:pPr>
              <w:spacing w:before="0" w:line="240" w:lineRule="auto"/>
              <w:ind w:right="344"/>
              <w:jc w:val="right"/>
              <w:rPr>
                <w:rFonts w:asciiTheme="minorHAnsi" w:hAnsiTheme="minorHAnsi" w:cstheme="minorHAnsi"/>
                <w:b/>
                <w:bCs/>
                <w:color w:val="000000"/>
              </w:rPr>
            </w:pPr>
            <w:r w:rsidRPr="00B53423">
              <w:rPr>
                <w:rFonts w:asciiTheme="minorHAnsi" w:hAnsiTheme="minorHAnsi" w:cstheme="minorHAnsi"/>
                <w:b/>
                <w:bCs/>
                <w:color w:val="000000"/>
              </w:rPr>
              <w:t>2329</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b/>
                <w:bCs/>
                <w:color w:val="000000"/>
              </w:rPr>
            </w:pPr>
            <w:r w:rsidRPr="00B53423">
              <w:rPr>
                <w:rFonts w:asciiTheme="minorHAnsi" w:hAnsiTheme="minorHAnsi" w:cstheme="minorHAnsi"/>
                <w:b/>
                <w:bCs/>
                <w:color w:val="000000"/>
              </w:rPr>
              <w:t>2475</w:t>
            </w:r>
          </w:p>
        </w:tc>
        <w:tc>
          <w:tcPr>
            <w:tcW w:w="593" w:type="pct"/>
            <w:shd w:val="clear" w:color="auto" w:fill="auto"/>
            <w:noWrap/>
            <w:vAlign w:val="center"/>
            <w:hideMark/>
          </w:tcPr>
          <w:p w:rsidR="00C673AB" w:rsidRPr="00B53423" w:rsidRDefault="00806820" w:rsidP="0015232B">
            <w:pPr>
              <w:spacing w:before="0" w:line="240" w:lineRule="auto"/>
              <w:ind w:right="454"/>
              <w:jc w:val="right"/>
              <w:rPr>
                <w:rFonts w:asciiTheme="minorHAnsi" w:hAnsiTheme="minorHAnsi" w:cstheme="minorHAnsi"/>
                <w:b/>
                <w:color w:val="000000"/>
                <w:lang w:val="en-IN" w:eastAsia="en-IN"/>
              </w:rPr>
            </w:pPr>
            <w:r w:rsidRPr="00B53423">
              <w:rPr>
                <w:rFonts w:asciiTheme="minorHAnsi" w:hAnsiTheme="minorHAnsi" w:cstheme="minorHAnsi"/>
                <w:b/>
                <w:bCs/>
                <w:color w:val="000000"/>
              </w:rPr>
              <w:t>6</w:t>
            </w:r>
            <w:r w:rsidR="00C673AB" w:rsidRPr="00B53423">
              <w:rPr>
                <w:rFonts w:asciiTheme="minorHAnsi" w:hAnsiTheme="minorHAnsi" w:cstheme="minorHAnsi"/>
                <w:b/>
                <w:bCs/>
                <w:color w:val="000000"/>
              </w:rPr>
              <w:t>%</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color w:val="000000"/>
                <w:lang w:val="en-IN" w:eastAsia="en-IN"/>
              </w:rPr>
            </w:pPr>
            <w:r w:rsidRPr="00B53423">
              <w:rPr>
                <w:rFonts w:cs="Calibri"/>
                <w:color w:val="000000"/>
                <w:lang w:val="en-IN" w:eastAsia="en-IN"/>
              </w:rPr>
              <w:t>Extra state &amp; Bulk</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color w:val="000000"/>
                <w:lang w:val="en-IN" w:eastAsia="en-IN"/>
              </w:rPr>
            </w:pPr>
            <w:r w:rsidRPr="00B53423">
              <w:rPr>
                <w:rFonts w:asciiTheme="minorHAnsi" w:hAnsiTheme="minorHAnsi" w:cstheme="minorHAnsi"/>
                <w:color w:val="000000"/>
              </w:rPr>
              <w:t>0</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color w:val="000000"/>
                <w:lang w:val="en-IN" w:eastAsia="en-IN"/>
              </w:rPr>
            </w:pPr>
          </w:p>
        </w:tc>
        <w:tc>
          <w:tcPr>
            <w:tcW w:w="552" w:type="pct"/>
          </w:tcPr>
          <w:p w:rsidR="00C673AB" w:rsidRPr="00B53423" w:rsidRDefault="00C673AB" w:rsidP="0015232B">
            <w:pPr>
              <w:spacing w:before="0" w:line="240" w:lineRule="auto"/>
              <w:ind w:right="344"/>
              <w:jc w:val="right"/>
              <w:rPr>
                <w:rFonts w:asciiTheme="minorHAnsi" w:hAnsiTheme="minorHAnsi" w:cstheme="minorHAnsi"/>
                <w:color w:val="000000"/>
              </w:rPr>
            </w:pP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bCs/>
                <w:color w:val="000000"/>
              </w:rPr>
            </w:pPr>
            <w:r w:rsidRPr="00B53423">
              <w:rPr>
                <w:rFonts w:asciiTheme="minorHAnsi" w:hAnsiTheme="minorHAnsi" w:cstheme="minorHAnsi"/>
                <w:bCs/>
                <w:color w:val="000000"/>
              </w:rPr>
              <w:t>0</w:t>
            </w:r>
          </w:p>
        </w:tc>
        <w:tc>
          <w:tcPr>
            <w:tcW w:w="593" w:type="pct"/>
            <w:shd w:val="clear" w:color="auto" w:fill="auto"/>
            <w:noWrap/>
            <w:vAlign w:val="center"/>
            <w:hideMark/>
          </w:tcPr>
          <w:p w:rsidR="00C673AB" w:rsidRPr="00B53423" w:rsidRDefault="00C673AB" w:rsidP="0015232B">
            <w:pPr>
              <w:spacing w:before="0" w:line="240" w:lineRule="auto"/>
              <w:ind w:right="454"/>
              <w:jc w:val="right"/>
              <w:rPr>
                <w:rFonts w:asciiTheme="minorHAnsi" w:hAnsiTheme="minorHAnsi" w:cstheme="minorHAnsi"/>
                <w:color w:val="000000"/>
                <w:lang w:val="en-IN" w:eastAsia="en-IN"/>
              </w:rPr>
            </w:pPr>
            <w:r w:rsidRPr="00B53423">
              <w:rPr>
                <w:rFonts w:asciiTheme="minorHAnsi" w:hAnsiTheme="minorHAnsi" w:cstheme="minorHAnsi"/>
                <w:color w:val="000000"/>
              </w:rPr>
              <w:t>-</w:t>
            </w:r>
          </w:p>
        </w:tc>
      </w:tr>
      <w:tr w:rsidR="00C673AB" w:rsidRPr="00B53423" w:rsidTr="00C673AB">
        <w:trPr>
          <w:trHeight w:val="300"/>
        </w:trPr>
        <w:tc>
          <w:tcPr>
            <w:tcW w:w="1664" w:type="pct"/>
            <w:shd w:val="clear" w:color="auto" w:fill="auto"/>
            <w:noWrap/>
            <w:hideMark/>
          </w:tcPr>
          <w:p w:rsidR="00C673AB" w:rsidRPr="00B53423" w:rsidRDefault="00C673AB" w:rsidP="0015232B">
            <w:pPr>
              <w:spacing w:before="0" w:line="240" w:lineRule="auto"/>
              <w:jc w:val="left"/>
              <w:rPr>
                <w:rFonts w:cs="Calibri"/>
                <w:b/>
                <w:bCs/>
                <w:color w:val="000000"/>
                <w:lang w:val="en-IN" w:eastAsia="en-IN"/>
              </w:rPr>
            </w:pPr>
            <w:r w:rsidRPr="00B53423">
              <w:rPr>
                <w:rFonts w:cs="Calibri"/>
                <w:b/>
                <w:bCs/>
                <w:color w:val="000000"/>
                <w:lang w:val="en-IN" w:eastAsia="en-IN"/>
              </w:rPr>
              <w:t>Total</w:t>
            </w:r>
          </w:p>
        </w:tc>
        <w:tc>
          <w:tcPr>
            <w:tcW w:w="535" w:type="pct"/>
            <w:shd w:val="clear" w:color="auto" w:fill="auto"/>
            <w:noWrap/>
            <w:vAlign w:val="center"/>
            <w:hideMark/>
          </w:tcPr>
          <w:p w:rsidR="00C673AB" w:rsidRPr="00B53423" w:rsidRDefault="00C673AB" w:rsidP="0015232B">
            <w:pPr>
              <w:spacing w:before="0" w:line="240" w:lineRule="auto"/>
              <w:ind w:right="314"/>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2130</w:t>
            </w:r>
          </w:p>
        </w:tc>
        <w:tc>
          <w:tcPr>
            <w:tcW w:w="535" w:type="pct"/>
            <w:shd w:val="clear" w:color="auto" w:fill="auto"/>
            <w:noWrap/>
            <w:vAlign w:val="center"/>
            <w:hideMark/>
          </w:tcPr>
          <w:p w:rsidR="00C673AB" w:rsidRPr="00B53423" w:rsidRDefault="00C673AB" w:rsidP="0015232B">
            <w:pPr>
              <w:spacing w:before="0" w:line="240" w:lineRule="auto"/>
              <w:ind w:right="274"/>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2297</w:t>
            </w:r>
          </w:p>
        </w:tc>
        <w:tc>
          <w:tcPr>
            <w:tcW w:w="535" w:type="pct"/>
            <w:shd w:val="clear" w:color="auto" w:fill="auto"/>
            <w:noWrap/>
            <w:vAlign w:val="center"/>
            <w:hideMark/>
          </w:tcPr>
          <w:p w:rsidR="00C673AB" w:rsidRPr="00B53423" w:rsidRDefault="00C673AB" w:rsidP="0015232B">
            <w:pPr>
              <w:spacing w:before="0" w:line="240" w:lineRule="auto"/>
              <w:ind w:right="324"/>
              <w:jc w:val="right"/>
              <w:rPr>
                <w:rFonts w:asciiTheme="minorHAnsi" w:hAnsiTheme="minorHAnsi" w:cstheme="minorHAnsi"/>
                <w:b/>
                <w:bCs/>
                <w:color w:val="000000"/>
                <w:lang w:val="en-IN" w:eastAsia="en-IN"/>
              </w:rPr>
            </w:pPr>
            <w:r w:rsidRPr="00B53423">
              <w:rPr>
                <w:rFonts w:asciiTheme="minorHAnsi" w:hAnsiTheme="minorHAnsi" w:cstheme="minorHAnsi"/>
                <w:b/>
                <w:bCs/>
                <w:color w:val="000000"/>
              </w:rPr>
              <w:t>2154</w:t>
            </w:r>
          </w:p>
        </w:tc>
        <w:tc>
          <w:tcPr>
            <w:tcW w:w="552" w:type="pct"/>
          </w:tcPr>
          <w:p w:rsidR="00C673AB" w:rsidRPr="00B53423" w:rsidRDefault="00806820" w:rsidP="0015232B">
            <w:pPr>
              <w:spacing w:before="0" w:line="240" w:lineRule="auto"/>
              <w:ind w:right="344"/>
              <w:jc w:val="right"/>
              <w:rPr>
                <w:rFonts w:asciiTheme="minorHAnsi" w:hAnsiTheme="minorHAnsi" w:cstheme="minorHAnsi"/>
                <w:b/>
                <w:bCs/>
                <w:color w:val="000000"/>
              </w:rPr>
            </w:pPr>
            <w:r w:rsidRPr="00B53423">
              <w:rPr>
                <w:rFonts w:asciiTheme="minorHAnsi" w:hAnsiTheme="minorHAnsi" w:cstheme="minorHAnsi"/>
                <w:b/>
                <w:bCs/>
                <w:color w:val="000000"/>
              </w:rPr>
              <w:t>2329</w:t>
            </w:r>
          </w:p>
        </w:tc>
        <w:tc>
          <w:tcPr>
            <w:tcW w:w="585" w:type="pct"/>
            <w:shd w:val="clear" w:color="auto" w:fill="auto"/>
            <w:noWrap/>
            <w:vAlign w:val="center"/>
            <w:hideMark/>
          </w:tcPr>
          <w:p w:rsidR="00C673AB" w:rsidRPr="00B53423" w:rsidRDefault="00C673AB" w:rsidP="0015232B">
            <w:pPr>
              <w:tabs>
                <w:tab w:val="left" w:pos="880"/>
              </w:tabs>
              <w:spacing w:before="0" w:line="240" w:lineRule="auto"/>
              <w:ind w:right="494"/>
              <w:jc w:val="right"/>
              <w:rPr>
                <w:rFonts w:asciiTheme="minorHAnsi" w:hAnsiTheme="minorHAnsi" w:cstheme="minorHAnsi"/>
                <w:b/>
                <w:bCs/>
                <w:color w:val="000000"/>
              </w:rPr>
            </w:pPr>
            <w:r w:rsidRPr="00B53423">
              <w:rPr>
                <w:rFonts w:asciiTheme="minorHAnsi" w:hAnsiTheme="minorHAnsi" w:cstheme="minorHAnsi"/>
                <w:b/>
                <w:bCs/>
                <w:color w:val="000000"/>
              </w:rPr>
              <w:t>2475</w:t>
            </w:r>
          </w:p>
        </w:tc>
        <w:tc>
          <w:tcPr>
            <w:tcW w:w="593" w:type="pct"/>
            <w:shd w:val="clear" w:color="auto" w:fill="auto"/>
            <w:noWrap/>
            <w:vAlign w:val="center"/>
            <w:hideMark/>
          </w:tcPr>
          <w:p w:rsidR="00C673AB" w:rsidRPr="00B53423" w:rsidRDefault="00806820" w:rsidP="0015232B">
            <w:pPr>
              <w:spacing w:before="0" w:line="240" w:lineRule="auto"/>
              <w:ind w:right="454"/>
              <w:jc w:val="right"/>
              <w:rPr>
                <w:rFonts w:asciiTheme="minorHAnsi" w:hAnsiTheme="minorHAnsi" w:cstheme="minorHAnsi"/>
                <w:b/>
                <w:color w:val="000000"/>
                <w:lang w:val="en-IN" w:eastAsia="en-IN"/>
              </w:rPr>
            </w:pPr>
            <w:r w:rsidRPr="00B53423">
              <w:rPr>
                <w:rFonts w:asciiTheme="minorHAnsi" w:hAnsiTheme="minorHAnsi" w:cstheme="minorHAnsi"/>
                <w:b/>
                <w:bCs/>
                <w:color w:val="000000"/>
              </w:rPr>
              <w:t>6</w:t>
            </w:r>
            <w:r w:rsidR="00C673AB" w:rsidRPr="00B53423">
              <w:rPr>
                <w:rFonts w:asciiTheme="minorHAnsi" w:hAnsiTheme="minorHAnsi" w:cstheme="minorHAnsi"/>
                <w:b/>
                <w:bCs/>
                <w:color w:val="000000"/>
              </w:rPr>
              <w:t>%</w:t>
            </w:r>
          </w:p>
        </w:tc>
      </w:tr>
    </w:tbl>
    <w:p w:rsidR="004C74C2" w:rsidRPr="00B53423" w:rsidRDefault="004C74C2" w:rsidP="0015232B">
      <w:pPr>
        <w:spacing w:before="0" w:line="240" w:lineRule="auto"/>
        <w:jc w:val="center"/>
      </w:pPr>
    </w:p>
    <w:p w:rsidR="004C74C2" w:rsidRPr="00B53423" w:rsidRDefault="004C74C2" w:rsidP="0015232B">
      <w:pPr>
        <w:spacing w:line="240" w:lineRule="auto"/>
        <w:jc w:val="left"/>
        <w:sectPr w:rsidR="004C74C2" w:rsidRPr="00B53423" w:rsidSect="006711BC">
          <w:pgSz w:w="16834" w:h="11909" w:orient="landscape"/>
          <w:pgMar w:top="165" w:right="1440" w:bottom="1440" w:left="1440" w:header="624" w:footer="624" w:gutter="0"/>
          <w:pgNumType w:chapSep="colon"/>
          <w:cols w:space="720"/>
          <w:docGrid w:linePitch="326"/>
        </w:sectPr>
      </w:pPr>
    </w:p>
    <w:p w:rsidR="004C74C2" w:rsidRPr="00B53423" w:rsidRDefault="004C74C2" w:rsidP="0015232B">
      <w:pPr>
        <w:pStyle w:val="Heading3"/>
        <w:keepNext w:val="0"/>
        <w:ind w:hanging="1080"/>
      </w:pPr>
      <w:bookmarkStart w:id="602" w:name="_Toc356322587"/>
      <w:bookmarkStart w:id="603" w:name="_Toc357733323"/>
      <w:r w:rsidRPr="00B53423">
        <w:t>As regards the metering of consumers, Section 55 of the Electricity Act, 2003 stipulates as follows:</w:t>
      </w:r>
    </w:p>
    <w:p w:rsidR="004C74C2" w:rsidRPr="00B53423" w:rsidRDefault="004C74C2" w:rsidP="0015232B">
      <w:pPr>
        <w:pStyle w:val="Heading3"/>
        <w:keepNext w:val="0"/>
        <w:numPr>
          <w:ilvl w:val="0"/>
          <w:numId w:val="0"/>
        </w:numPr>
      </w:pPr>
    </w:p>
    <w:p w:rsidR="004C74C2" w:rsidRPr="00B53423" w:rsidRDefault="004C74C2" w:rsidP="0015232B">
      <w:pPr>
        <w:pStyle w:val="Heading3"/>
        <w:keepNext w:val="0"/>
        <w:numPr>
          <w:ilvl w:val="0"/>
          <w:numId w:val="0"/>
        </w:numPr>
        <w:ind w:left="1440"/>
        <w:rPr>
          <w:i/>
        </w:rPr>
      </w:pPr>
      <w:r w:rsidRPr="00B53423">
        <w:rPr>
          <w:i/>
        </w:rPr>
        <w:t xml:space="preserve">“55. (1) No licensee shall supply electricity, after the expiry of two years from the appointed date, except through installation of a correct meter in accordance with regulations to be made in this behalf by the Authority:”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Chapter 5 ‘Metering’ of the U.P. Electricity Supply Code 2005, specifies as follows: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numPr>
          <w:ilvl w:val="0"/>
          <w:numId w:val="0"/>
        </w:numPr>
        <w:ind w:left="1440"/>
        <w:rPr>
          <w:i/>
        </w:rPr>
      </w:pPr>
      <w:r w:rsidRPr="00B53423">
        <w:rPr>
          <w:i/>
        </w:rPr>
        <w:t>“5.1 Licensees obligation to give supply on meters: Requirement of Meters</w:t>
      </w:r>
    </w:p>
    <w:p w:rsidR="004C74C2" w:rsidRPr="00B53423" w:rsidRDefault="004C74C2" w:rsidP="0015232B">
      <w:pPr>
        <w:pStyle w:val="Heading3"/>
        <w:keepNext w:val="0"/>
        <w:numPr>
          <w:ilvl w:val="0"/>
          <w:numId w:val="0"/>
        </w:numPr>
        <w:ind w:left="1440"/>
        <w:rPr>
          <w:i/>
        </w:rPr>
      </w:pPr>
      <w:r w:rsidRPr="00B53423">
        <w:rPr>
          <w:i/>
        </w:rPr>
        <w:t>(a) 2 [No new connection shall be given without a Meter and Miniature Circuit Breaker (MCB) or Circuit Breaker (CB) of appropriate specification from the date of issue of this code.</w:t>
      </w:r>
    </w:p>
    <w:p w:rsidR="004C74C2" w:rsidRPr="00B53423" w:rsidRDefault="004C74C2" w:rsidP="0015232B">
      <w:pPr>
        <w:pStyle w:val="Heading3"/>
        <w:keepNext w:val="0"/>
        <w:numPr>
          <w:ilvl w:val="0"/>
          <w:numId w:val="0"/>
        </w:numPr>
        <w:ind w:left="1440"/>
        <w:rPr>
          <w:i/>
        </w:rPr>
      </w:pPr>
      <w:r w:rsidRPr="00B53423">
        <w:rPr>
          <w:i/>
        </w:rPr>
        <w:t>(b) All unmetered connections including PTW, streetlights shall be metered by the licensee.</w:t>
      </w:r>
    </w:p>
    <w:p w:rsidR="004C74C2" w:rsidRPr="00B53423" w:rsidRDefault="004C74C2" w:rsidP="0015232B">
      <w:pPr>
        <w:pStyle w:val="Heading3"/>
        <w:keepNext w:val="0"/>
        <w:numPr>
          <w:ilvl w:val="0"/>
          <w:numId w:val="0"/>
        </w:numPr>
        <w:ind w:left="1440"/>
        <w:rPr>
          <w:i/>
        </w:rPr>
      </w:pPr>
      <w:r w:rsidRPr="00B53423">
        <w:rPr>
          <w:i/>
        </w:rPr>
        <w:t>(c) The Licensee shall not supply electricity to any person, except through installation of a correct meter in accordance with the regulations to be made by the Central Electricity Authority under Electricity Act, 2003.]</w:t>
      </w:r>
    </w:p>
    <w:p w:rsidR="004C74C2" w:rsidRPr="00B53423" w:rsidRDefault="004C74C2" w:rsidP="0015232B">
      <w:pPr>
        <w:pStyle w:val="Heading3"/>
        <w:keepNext w:val="0"/>
        <w:numPr>
          <w:ilvl w:val="0"/>
          <w:numId w:val="0"/>
        </w:numPr>
        <w:ind w:left="1440"/>
        <w:rPr>
          <w:i/>
        </w:rPr>
      </w:pPr>
      <w:r w:rsidRPr="00B53423">
        <w:rPr>
          <w:i/>
        </w:rPr>
        <w:t>Provided that the Commission may, by notification, extend the said period for a class or classes of persons or for such area as may be specified in that notification.</w:t>
      </w:r>
    </w:p>
    <w:p w:rsidR="004C74C2" w:rsidRPr="00B53423" w:rsidRDefault="004C74C2" w:rsidP="0015232B">
      <w:pPr>
        <w:pStyle w:val="Heading3"/>
        <w:keepNext w:val="0"/>
        <w:numPr>
          <w:ilvl w:val="0"/>
          <w:numId w:val="0"/>
        </w:numPr>
        <w:ind w:left="1440"/>
        <w:rPr>
          <w:i/>
        </w:rPr>
      </w:pPr>
      <w:r w:rsidRPr="00B53423">
        <w:rPr>
          <w:i/>
        </w:rPr>
        <w:t>2 [Provided also that if a person makes default in complying with the provisions contained in the clauses 5.1(a), (b) and (c), UPERC may make such order as it thinks fit for requiring the default to be made good by the generating company or licensee or by any officer of a company or other association or any person who is responsible for the default.”</w:t>
      </w:r>
    </w:p>
    <w:p w:rsidR="004C74C2" w:rsidRPr="00B53423" w:rsidRDefault="004C74C2" w:rsidP="0015232B">
      <w:pPr>
        <w:pStyle w:val="Heading3"/>
        <w:keepNext w:val="0"/>
        <w:numPr>
          <w:ilvl w:val="0"/>
          <w:numId w:val="0"/>
        </w:numPr>
        <w:ind w:left="1440"/>
        <w:rPr>
          <w:i/>
        </w:rPr>
      </w:pPr>
    </w:p>
    <w:p w:rsidR="004C74C2" w:rsidRPr="00B53423" w:rsidRDefault="004C74C2" w:rsidP="0015232B">
      <w:pPr>
        <w:pStyle w:val="Heading3"/>
        <w:keepNext w:val="0"/>
        <w:ind w:hanging="1080"/>
      </w:pPr>
      <w:r w:rsidRPr="00B53423">
        <w:t>From the above, it is evident that metering of consumers is essential. However, by not complying with the above, the Distribution Licensees are contravening and are in default of above provisions / Regulations. The Distribution Licensees must demonstrate on best effort basis, their will and intent to comply with the provisions of the Act and Regulations, failing which they are liable for being dealt with appropriately as per provisions of the Act / Regulations.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rPr>
          <w:bCs w:val="0"/>
        </w:rPr>
        <w:t xml:space="preserve">The Distribution Losses of the Petition are amongst the highest in the country and one of the major reasons for high distribution losses is higher number of unmetered connections which ultimately leads to disallowance of power purchase cost on one hand and loss of revenue </w:t>
      </w:r>
      <w:r w:rsidRPr="00B53423">
        <w:t>on</w:t>
      </w:r>
      <w:r w:rsidRPr="00B53423">
        <w:rPr>
          <w:bCs w:val="0"/>
        </w:rPr>
        <w:t xml:space="preserve"> other hand. Thus, it becomes extremely necessary for the Petitioner to ensure that it achieve</w:t>
      </w:r>
      <w:r w:rsidRPr="00B53423">
        <w:t>s the</w:t>
      </w:r>
      <w:r w:rsidRPr="00B53423">
        <w:rPr>
          <w:bCs w:val="0"/>
        </w:rPr>
        <w:t xml:space="preserve"> target of 100% metering within its distribution area.</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Although bound by the various provisions of the Electricity Act, 2003, various Regulations, and several directions given by the Commission, the Distribution Licensee has not been able to improve the metering status in its distribution areas. The Commission opines that part of the problem has </w:t>
      </w:r>
      <w:r w:rsidR="002A251F" w:rsidRPr="00B53423">
        <w:t>aroused</w:t>
      </w:r>
      <w:r w:rsidRPr="00B53423">
        <w:t xml:space="preserve"> because of lack of strong will power and determination of the Distribution Licensee to tackle the above issue and part of the problem has been due to the resistance that the Distribution Licensee faces in this regards.  The Commission is of the view that a solution to the above problem can only be evolved if both the consumers and the Distribution Licensee work together under the supervision of the Commission to achieve a goal towards 100% metering.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In view of the above, to encourage the unmetered consumers to shift to metered connections the Commission thinks it appropriate to reduce the variable charge for such consumers who shift from unmetered to metered category to some extent ensuring that the monthly electricity bills for such consumers is reduced if they shift from unmetered to metered category. By this way of incentivising the consumers, the consumers will be encouraged to go to the Distribution Licensees themselves, making it easier for the Distribution Licensees to achieve its target of 100% metering.</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Further to discourage the unmetered connections the Commission has decided to increase the Tariff for unmetered category of consumers, for instance the tariff for rural domestic consumers will be specified based on per kW / month from the existing per / connection / month. </w:t>
      </w:r>
      <w:r w:rsidR="003762E0" w:rsidRPr="00B53423">
        <w:t>The Commission appreciates that</w:t>
      </w:r>
      <w:r w:rsidRPr="00B53423">
        <w:t xml:space="preserve"> it is a big task for both the Distribution Licensees as well as the consumers to implement the Commission’s proposal, therefore, </w:t>
      </w:r>
      <w:r w:rsidRPr="00B53423">
        <w:rPr>
          <w:b/>
        </w:rPr>
        <w:t xml:space="preserve">the </w:t>
      </w:r>
      <w:proofErr w:type="gramStart"/>
      <w:r w:rsidRPr="00B53423">
        <w:rPr>
          <w:b/>
        </w:rPr>
        <w:t xml:space="preserve">Commission </w:t>
      </w:r>
      <w:r w:rsidR="00F10E89" w:rsidRPr="00B53423">
        <w:rPr>
          <w:b/>
        </w:rPr>
        <w:t xml:space="preserve"> provides</w:t>
      </w:r>
      <w:proofErr w:type="gramEnd"/>
      <w:r w:rsidR="00F10E89" w:rsidRPr="00B53423">
        <w:rPr>
          <w:b/>
        </w:rPr>
        <w:t xml:space="preserve"> a final opportunity t</w:t>
      </w:r>
      <w:r w:rsidRPr="00B53423">
        <w:rPr>
          <w:b/>
        </w:rPr>
        <w:t xml:space="preserve">o all such </w:t>
      </w:r>
      <w:r w:rsidR="00F10E89" w:rsidRPr="00B53423">
        <w:rPr>
          <w:b/>
        </w:rPr>
        <w:t xml:space="preserve">unmetered </w:t>
      </w:r>
      <w:r w:rsidRPr="00B53423">
        <w:rPr>
          <w:b/>
        </w:rPr>
        <w:t>consumers to mandatorily get metered connection</w:t>
      </w:r>
      <w:r w:rsidR="00F10E89" w:rsidRPr="00B53423">
        <w:rPr>
          <w:b/>
        </w:rPr>
        <w:t xml:space="preserve"> latest by 31</w:t>
      </w:r>
      <w:r w:rsidR="00BC60A3" w:rsidRPr="00B53423">
        <w:rPr>
          <w:b/>
          <w:vertAlign w:val="superscript"/>
        </w:rPr>
        <w:t>st</w:t>
      </w:r>
      <w:r w:rsidR="00F10E89" w:rsidRPr="00B53423">
        <w:rPr>
          <w:b/>
        </w:rPr>
        <w:t xml:space="preserve"> March, 2015</w:t>
      </w:r>
      <w:r w:rsidRPr="00B53423">
        <w:rPr>
          <w:b/>
        </w:rPr>
        <w:t>.</w:t>
      </w:r>
      <w:r w:rsidRPr="00B53423">
        <w:t xml:space="preserve"> </w:t>
      </w:r>
    </w:p>
    <w:p w:rsidR="00463EEA" w:rsidRPr="00B53423" w:rsidRDefault="00463EEA" w:rsidP="0015232B">
      <w:pPr>
        <w:pStyle w:val="ListParagraph"/>
      </w:pPr>
    </w:p>
    <w:p w:rsidR="004C74C2" w:rsidRPr="00B53423" w:rsidRDefault="004C74C2" w:rsidP="0015232B">
      <w:pPr>
        <w:pStyle w:val="Heading3"/>
        <w:keepNext w:val="0"/>
        <w:ind w:hanging="1080"/>
      </w:pPr>
      <w:r w:rsidRPr="00B53423">
        <w:t xml:space="preserve">To further, encourage the consumers to get metered connection, the </w:t>
      </w:r>
      <w:r w:rsidR="002A251F" w:rsidRPr="00B53423">
        <w:t>c</w:t>
      </w:r>
      <w:r w:rsidRPr="00B53423">
        <w:t xml:space="preserve">ost of meter may be borne initially by the Licensee which shall be adjusted in the consumers’ bill within 6 months of time. However, the above scheme would be applicable only for the </w:t>
      </w:r>
      <w:r w:rsidR="002A251F" w:rsidRPr="00B53423">
        <w:t>consumers,</w:t>
      </w:r>
      <w:r w:rsidRPr="00B53423">
        <w:t xml:space="preserve"> who install the meters</w:t>
      </w:r>
      <w:r w:rsidR="00F10E89" w:rsidRPr="00B53423">
        <w:t xml:space="preserve"> by 31</w:t>
      </w:r>
      <w:r w:rsidR="00BC60A3" w:rsidRPr="00B53423">
        <w:rPr>
          <w:vertAlign w:val="superscript"/>
        </w:rPr>
        <w:t>st</w:t>
      </w:r>
      <w:r w:rsidR="00F10E89" w:rsidRPr="00B53423">
        <w:t xml:space="preserve"> March, 2015</w:t>
      </w:r>
      <w:r w:rsidRPr="00B53423">
        <w:t xml:space="preserve">. </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As discussed above also, it should be noted that while undertaking the above procedure of converting the unmetered connections into metered connections, the Licensee will require a huge number of meters and it may be difficult for the Licensee to procure so many meters by itself. The Distribution Licensee may also provide an option to the consumers to procure meters by themselves. For this the Distribution Licensee should take necessary actions as it deems fit to achieve 100% metering targets. Further, the Commission would like to suggest some steps that shall help the Distribution Licensee to achieve the targets of 100% metering. As an initial step, the Licensee may empanel meter manufacturing firms, more than one, through a transparent process of open tender for supply of meters for direct procurement by consumers or in any other way the Distribution Licensee deem fit and provide the information regarding the meter and its supplier’s outlet to the consumer by way of putting it on the website of the Licensee and by any other appropriate means.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Further, the Commission also floated an In-House paper on achieving 100% metering targets in the State and invited suggestions / views of the stakeholders including the Licensees. Various stakeholders submitted that the power should not be supplied to the consumers having unmetered connections, however, no response regarding the same has been provided by the Licensees.</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The Commission in the above mentioned In-House Paper has also suggested a model, “</w:t>
      </w:r>
      <w:r w:rsidRPr="00B53423">
        <w:rPr>
          <w:b/>
        </w:rPr>
        <w:t>Direct procurement of meter by the Consumer</w:t>
      </w:r>
      <w:r w:rsidRPr="00B53423">
        <w:t>” for procurement of consumer meters, single phase and three phase, including smart and prepaid meters for new connections and replacement that will help the Distribution Licensees in achieving the metering targets. The Licensee may refer the same and choose appropriate methodology for procurement of meters by the consumers as it deems necessary.</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Thus, the Commission expressing its utmost </w:t>
      </w:r>
      <w:proofErr w:type="gramStart"/>
      <w:r w:rsidRPr="00B53423">
        <w:t>concern,</w:t>
      </w:r>
      <w:proofErr w:type="gramEnd"/>
      <w:r w:rsidRPr="00B53423">
        <w:t xml:space="preserve"> </w:t>
      </w:r>
      <w:r w:rsidRPr="00B53423">
        <w:rPr>
          <w:b/>
        </w:rPr>
        <w:t>accords a final opportunity to the Distribution Licensees and direct them to ensure that all their unmetered consumers get converted into metered connection</w:t>
      </w:r>
      <w:r w:rsidR="00F10E89" w:rsidRPr="00B53423">
        <w:rPr>
          <w:b/>
        </w:rPr>
        <w:t xml:space="preserve"> latest by 31</w:t>
      </w:r>
      <w:r w:rsidR="00BC60A3" w:rsidRPr="00B53423">
        <w:rPr>
          <w:b/>
          <w:vertAlign w:val="superscript"/>
        </w:rPr>
        <w:t>st</w:t>
      </w:r>
      <w:r w:rsidR="00F10E89" w:rsidRPr="00B53423">
        <w:rPr>
          <w:b/>
        </w:rPr>
        <w:t xml:space="preserve"> March, 2015</w:t>
      </w:r>
      <w:r w:rsidRPr="00B53423">
        <w:rPr>
          <w:b/>
        </w:rPr>
        <w:t xml:space="preserve"> beyond which, the Tariff for unmetered categories shall be discontinued</w:t>
      </w:r>
      <w:r w:rsidR="00F10E89" w:rsidRPr="00B53423">
        <w:rPr>
          <w:b/>
        </w:rPr>
        <w:t xml:space="preserve">. </w:t>
      </w:r>
      <w:r w:rsidR="00F10E89" w:rsidRPr="00B53423">
        <w:t>The above has been detailed subsequently in this Order in section Tariff philosophy</w:t>
      </w:r>
      <w:r w:rsidRPr="00B53423">
        <w:t>.</w:t>
      </w:r>
    </w:p>
    <w:p w:rsidR="004C74C2" w:rsidRPr="00B53423" w:rsidRDefault="004C74C2" w:rsidP="0015232B">
      <w:pPr>
        <w:pStyle w:val="Heading2"/>
        <w:keepNext w:val="0"/>
        <w:numPr>
          <w:ilvl w:val="0"/>
          <w:numId w:val="0"/>
        </w:numPr>
        <w:ind w:left="576"/>
      </w:pPr>
    </w:p>
    <w:p w:rsidR="004C74C2" w:rsidRPr="00B53423" w:rsidRDefault="004C74C2" w:rsidP="0015232B">
      <w:pPr>
        <w:pStyle w:val="Heading2"/>
        <w:keepNext w:val="0"/>
        <w:ind w:left="720" w:hanging="1080"/>
      </w:pPr>
      <w:bookmarkStart w:id="604" w:name="_Toc399626221"/>
      <w:r w:rsidRPr="00B53423">
        <w:t>DISTRIBUTION LOSSES AND ENERGY BALANCE</w:t>
      </w:r>
      <w:bookmarkEnd w:id="602"/>
      <w:bookmarkEnd w:id="603"/>
      <w:bookmarkEnd w:id="604"/>
    </w:p>
    <w:p w:rsidR="004C74C2" w:rsidRPr="00B53423" w:rsidRDefault="004C74C2" w:rsidP="0015232B"/>
    <w:p w:rsidR="004C74C2" w:rsidRPr="00B53423" w:rsidRDefault="004C74C2" w:rsidP="0015232B">
      <w:pPr>
        <w:pStyle w:val="Heading3"/>
        <w:keepNext w:val="0"/>
        <w:ind w:hanging="1080"/>
      </w:pPr>
      <w:bookmarkStart w:id="605" w:name="_Toc357349053"/>
      <w:bookmarkStart w:id="606" w:name="_Toc357356106"/>
      <w:r w:rsidRPr="00B53423">
        <w:t xml:space="preserve">The Petitioner submitted that the actual T&amp;D losses in FY 2012-13 were 31.41%. The Petitioner has estimated its T&amp;D losses at 30.78% for FY 2013-14. In the ensuing year FY 2014-15, the Petitioner has projected a T&amp;D loss of 30.17%.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submitted that pending the proper loss estimate studies and establishment of base line losses under the Multi Year Tariff framework, it has estimated a 2% improvement in T&amp;D losses each year over the actual loss levels for FY 2012-13.</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bookmarkStart w:id="607" w:name="_Toc357349057"/>
      <w:bookmarkStart w:id="608" w:name="_Toc357356110"/>
      <w:bookmarkEnd w:id="605"/>
      <w:bookmarkEnd w:id="606"/>
      <w:r w:rsidRPr="00B53423">
        <w:t xml:space="preserve">Based on review of actual performance of the Petitioner, the Commission is of the view that there is ample room for reduction in distribution losses; however, the Petitioner has failed to act upon the same. There is an urgent need to have an appreciable loss reduction trajectory and aggressive follow-up efforts to achieve it.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In this regard, the Commission in its previous Tariff Orders had directed the Petitioner to conduct proper loss estimate studies for assessment of technical and commercial losses under its supervision and submit the report to the Commission so that the Commission may set the base line losses in accordance with Clause 3.2.3 and Clause 3.2.4 of the Distribution Tariff Regulations, 2006. The study shall segregate voltage-wise distribution losses into technical loss (i.e. Ohmic /Core loss in the lines, substations and equipment) and commercial loss (i.e. unaccounted energy due to metering inaccuracies / inadequacies, pilferage of energy, improper billing, no billing, bad debts, etc.). The Commission also directed the Licensee to complete the study and submit the report within 3 months of the Order, i.e., by 31</w:t>
      </w:r>
      <w:r w:rsidRPr="00B53423">
        <w:rPr>
          <w:vertAlign w:val="superscript"/>
        </w:rPr>
        <w:t>st</w:t>
      </w:r>
      <w:r w:rsidRPr="00B53423">
        <w:t xml:space="preserve"> August, 2013.</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In this regards, the Distribution Licensees submitted that M/s PFC Consulting Ltd. has been appointed to draft a strategy paper for the turnaround of the distribution licensees which covers the voltage wise loss studies.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As per the current status of compliance of the Commission’s Direction, the mentioned study has not been completed and no report has been submitted for perusal of the Commission. The Commission would like to reiterate that the distribution loss proposal of the Licensee should be based on correct energy audit data and supported by a report on the study carried out on such data. The Commission has been continuously stressing upon such study so that the appropriate target of distribution losses could be given to the Distribution Licensee.</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Commission in its deficiency note asked the Distribution Licensees to submit the basis of arriving at the above mentioned losses proposed for FY 2014-15. The Commission also asked the Licensees to submit the reason for variation in the projected losses as per the ARR / Tariff Petition and as approved in the FRP.</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In reply to the above, the Licensees submitted that the projected distribution losses for FY 2014-15 have been worked out by considering the year on year improvement in losses of around 2% from FY 2012-13 </w:t>
      </w:r>
      <w:proofErr w:type="gramStart"/>
      <w:r w:rsidRPr="00B53423">
        <w:t>level</w:t>
      </w:r>
      <w:proofErr w:type="gramEnd"/>
      <w:r w:rsidRPr="00B53423">
        <w:t>. The Licensees further submitted that while granting in-principle approval of FRP on 19</w:t>
      </w:r>
      <w:r w:rsidRPr="00B53423">
        <w:rPr>
          <w:vertAlign w:val="superscript"/>
        </w:rPr>
        <w:t>th</w:t>
      </w:r>
      <w:r w:rsidRPr="00B53423">
        <w:t xml:space="preserve"> March, 2013, the Commission had stated that the determination of ARR and Tariff would be governed by the Commission’s Regulations. The Licensee submitted that their proposal is as per the principles laid down in the Distribution Tariff Regulations, 2006.</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summary of the actual distribution loss for the past years as submitted by the Petitioner, distribution loss approved in the FRP for FY 2014-15 and the distribution loss as projected by the Licensee for FY 2014-15 is shown in the Table below:</w:t>
      </w:r>
    </w:p>
    <w:p w:rsidR="004C74C2" w:rsidRPr="00B53423" w:rsidRDefault="004C74C2" w:rsidP="0015232B">
      <w:pPr>
        <w:pStyle w:val="ListParagraph"/>
        <w:ind w:left="180"/>
      </w:pPr>
    </w:p>
    <w:p w:rsidR="004C74C2" w:rsidRPr="00B53423" w:rsidRDefault="004C74C2" w:rsidP="0015232B">
      <w:pPr>
        <w:pStyle w:val="Caption"/>
        <w:jc w:val="center"/>
      </w:pPr>
      <w:bookmarkStart w:id="609" w:name="_Toc399626415"/>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10</w:t>
      </w:r>
      <w:r w:rsidR="005D68E7" w:rsidRPr="00B53423">
        <w:fldChar w:fldCharType="end"/>
      </w:r>
      <w:r w:rsidRPr="00B53423">
        <w:t>: SUMMARY OF DISTRIBUTION LOSSES</w:t>
      </w:r>
      <w:bookmarkEnd w:id="609"/>
    </w:p>
    <w:tbl>
      <w:tblPr>
        <w:tblW w:w="10145" w:type="dxa"/>
        <w:tblInd w:w="-70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350"/>
        <w:gridCol w:w="1080"/>
        <w:gridCol w:w="990"/>
        <w:gridCol w:w="990"/>
        <w:gridCol w:w="990"/>
        <w:gridCol w:w="990"/>
        <w:gridCol w:w="1350"/>
        <w:gridCol w:w="1311"/>
        <w:gridCol w:w="1094"/>
      </w:tblGrid>
      <w:tr w:rsidR="004C74C2" w:rsidRPr="00B53423" w:rsidTr="009268E4">
        <w:trPr>
          <w:trHeight w:val="395"/>
          <w:tblHeader/>
        </w:trPr>
        <w:tc>
          <w:tcPr>
            <w:tcW w:w="1350" w:type="dxa"/>
            <w:shd w:val="clear" w:color="000000" w:fill="DBE5F1"/>
            <w:vAlign w:val="center"/>
            <w:hideMark/>
          </w:tcPr>
          <w:p w:rsidR="004C74C2" w:rsidRPr="00B53423" w:rsidRDefault="003A6B3B" w:rsidP="0015232B">
            <w:pPr>
              <w:spacing w:before="0"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color w:val="000000"/>
                <w:sz w:val="20"/>
                <w:szCs w:val="20"/>
                <w:lang w:val="en-US"/>
              </w:rPr>
              <w:t>Distribution Licensee</w:t>
            </w:r>
          </w:p>
        </w:tc>
        <w:tc>
          <w:tcPr>
            <w:tcW w:w="1080" w:type="dxa"/>
            <w:shd w:val="clear" w:color="000000" w:fill="DBE5F1"/>
            <w:vAlign w:val="center"/>
            <w:hideMark/>
          </w:tcPr>
          <w:p w:rsidR="004C74C2" w:rsidRPr="00B53423" w:rsidRDefault="003A6B3B" w:rsidP="0015232B">
            <w:pPr>
              <w:spacing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 xml:space="preserve">Actual </w:t>
            </w:r>
          </w:p>
          <w:p w:rsidR="004C74C2" w:rsidRPr="00B53423" w:rsidRDefault="003A6B3B" w:rsidP="0015232B">
            <w:pPr>
              <w:spacing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FY</w:t>
            </w:r>
          </w:p>
          <w:p w:rsidR="004C74C2" w:rsidRPr="00B53423" w:rsidRDefault="003A6B3B" w:rsidP="0015232B">
            <w:pPr>
              <w:spacing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sz w:val="20"/>
                <w:szCs w:val="20"/>
                <w:lang w:val="en-US"/>
              </w:rPr>
              <w:t xml:space="preserve"> 2008-09</w:t>
            </w:r>
          </w:p>
        </w:tc>
        <w:tc>
          <w:tcPr>
            <w:tcW w:w="990" w:type="dxa"/>
            <w:shd w:val="clear" w:color="000000" w:fill="DBE5F1"/>
            <w:vAlign w:val="center"/>
            <w:hideMark/>
          </w:tcPr>
          <w:p w:rsidR="004C74C2" w:rsidRPr="00B53423" w:rsidRDefault="003A6B3B" w:rsidP="0015232B">
            <w:pPr>
              <w:spacing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 xml:space="preserve">Actual </w:t>
            </w:r>
          </w:p>
          <w:p w:rsidR="002A251F" w:rsidRPr="00B53423" w:rsidRDefault="003A6B3B" w:rsidP="0015232B">
            <w:pPr>
              <w:spacing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 xml:space="preserve">FY </w:t>
            </w:r>
          </w:p>
          <w:p w:rsidR="004C74C2" w:rsidRPr="00B53423" w:rsidRDefault="003A6B3B" w:rsidP="0015232B">
            <w:pPr>
              <w:spacing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sz w:val="20"/>
                <w:szCs w:val="20"/>
                <w:lang w:val="en-US"/>
              </w:rPr>
              <w:t>2009-10</w:t>
            </w:r>
          </w:p>
        </w:tc>
        <w:tc>
          <w:tcPr>
            <w:tcW w:w="990" w:type="dxa"/>
            <w:shd w:val="clear" w:color="000000" w:fill="DBE5F1"/>
            <w:vAlign w:val="center"/>
            <w:hideMark/>
          </w:tcPr>
          <w:p w:rsidR="004C74C2" w:rsidRPr="00B53423" w:rsidRDefault="003A6B3B" w:rsidP="0015232B">
            <w:pPr>
              <w:spacing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 xml:space="preserve">Actual </w:t>
            </w:r>
          </w:p>
          <w:p w:rsidR="002A251F" w:rsidRPr="00B53423" w:rsidRDefault="003A6B3B" w:rsidP="0015232B">
            <w:pPr>
              <w:spacing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 xml:space="preserve">FY </w:t>
            </w:r>
          </w:p>
          <w:p w:rsidR="004C74C2" w:rsidRPr="00B53423" w:rsidRDefault="003A6B3B" w:rsidP="0015232B">
            <w:pPr>
              <w:spacing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sz w:val="20"/>
                <w:szCs w:val="20"/>
                <w:lang w:val="en-US"/>
              </w:rPr>
              <w:t>2010-11</w:t>
            </w:r>
          </w:p>
        </w:tc>
        <w:tc>
          <w:tcPr>
            <w:tcW w:w="990" w:type="dxa"/>
            <w:shd w:val="clear" w:color="000000" w:fill="DBE5F1"/>
            <w:vAlign w:val="center"/>
            <w:hideMark/>
          </w:tcPr>
          <w:p w:rsidR="004C74C2" w:rsidRPr="00B53423" w:rsidRDefault="003A6B3B" w:rsidP="0015232B">
            <w:pPr>
              <w:spacing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 xml:space="preserve">Actual </w:t>
            </w:r>
          </w:p>
          <w:p w:rsidR="002A251F" w:rsidRPr="00B53423" w:rsidRDefault="003A6B3B" w:rsidP="0015232B">
            <w:pPr>
              <w:spacing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 xml:space="preserve">FY </w:t>
            </w:r>
          </w:p>
          <w:p w:rsidR="004C74C2" w:rsidRPr="00B53423" w:rsidRDefault="003A6B3B" w:rsidP="0015232B">
            <w:pPr>
              <w:spacing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sz w:val="20"/>
                <w:szCs w:val="20"/>
                <w:lang w:val="en-US"/>
              </w:rPr>
              <w:t>2011-12</w:t>
            </w:r>
          </w:p>
        </w:tc>
        <w:tc>
          <w:tcPr>
            <w:tcW w:w="990" w:type="dxa"/>
            <w:shd w:val="clear" w:color="000000" w:fill="DBE5F1"/>
            <w:vAlign w:val="center"/>
            <w:hideMark/>
          </w:tcPr>
          <w:p w:rsidR="004C74C2" w:rsidRPr="00B53423" w:rsidRDefault="003A6B3B" w:rsidP="0015232B">
            <w:pPr>
              <w:spacing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 xml:space="preserve">Actual </w:t>
            </w:r>
          </w:p>
          <w:p w:rsidR="004C74C2" w:rsidRPr="00B53423" w:rsidRDefault="003A6B3B" w:rsidP="0015232B">
            <w:pPr>
              <w:spacing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 xml:space="preserve">FY </w:t>
            </w:r>
          </w:p>
          <w:p w:rsidR="004C74C2" w:rsidRPr="00B53423" w:rsidRDefault="003A6B3B" w:rsidP="0015232B">
            <w:pPr>
              <w:spacing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sz w:val="20"/>
                <w:szCs w:val="20"/>
                <w:lang w:val="en-US"/>
              </w:rPr>
              <w:t>2012-13</w:t>
            </w:r>
          </w:p>
        </w:tc>
        <w:tc>
          <w:tcPr>
            <w:tcW w:w="1350" w:type="dxa"/>
            <w:shd w:val="clear" w:color="000000" w:fill="DBE5F1"/>
            <w:vAlign w:val="center"/>
          </w:tcPr>
          <w:p w:rsidR="004C74C2" w:rsidRPr="00B53423" w:rsidRDefault="003A6B3B" w:rsidP="0015232B">
            <w:pPr>
              <w:spacing w:before="0"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 xml:space="preserve"> Approved by the Commission for FY </w:t>
            </w:r>
          </w:p>
          <w:p w:rsidR="004C74C2" w:rsidRPr="00B53423" w:rsidRDefault="003A6B3B" w:rsidP="0015232B">
            <w:pPr>
              <w:spacing w:before="0"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 xml:space="preserve">2013-14 </w:t>
            </w:r>
          </w:p>
        </w:tc>
        <w:tc>
          <w:tcPr>
            <w:tcW w:w="1311" w:type="dxa"/>
            <w:shd w:val="clear" w:color="000000" w:fill="DBE5F1"/>
            <w:vAlign w:val="center"/>
            <w:hideMark/>
          </w:tcPr>
          <w:p w:rsidR="004C74C2" w:rsidRPr="00B53423" w:rsidRDefault="003A6B3B" w:rsidP="0015232B">
            <w:pPr>
              <w:spacing w:before="0"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Approved in FRP for FY</w:t>
            </w:r>
          </w:p>
          <w:p w:rsidR="004C74C2" w:rsidRPr="00B53423" w:rsidRDefault="003A6B3B" w:rsidP="0015232B">
            <w:pPr>
              <w:spacing w:before="0"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 xml:space="preserve"> 2014-15</w:t>
            </w:r>
          </w:p>
        </w:tc>
        <w:tc>
          <w:tcPr>
            <w:tcW w:w="1094" w:type="dxa"/>
            <w:shd w:val="clear" w:color="000000" w:fill="DBE5F1"/>
            <w:vAlign w:val="center"/>
            <w:hideMark/>
          </w:tcPr>
          <w:p w:rsidR="004C74C2" w:rsidRPr="00B53423" w:rsidRDefault="003A6B3B" w:rsidP="0015232B">
            <w:pPr>
              <w:spacing w:before="0" w:line="240" w:lineRule="auto"/>
              <w:jc w:val="center"/>
              <w:rPr>
                <w:rFonts w:asciiTheme="minorHAnsi" w:hAnsiTheme="minorHAnsi" w:cstheme="minorHAnsi"/>
                <w:b/>
                <w:bCs/>
                <w:sz w:val="20"/>
                <w:szCs w:val="20"/>
                <w:lang w:val="en-US"/>
              </w:rPr>
            </w:pPr>
            <w:r w:rsidRPr="00B53423">
              <w:rPr>
                <w:rFonts w:asciiTheme="minorHAnsi" w:hAnsiTheme="minorHAnsi" w:cstheme="minorHAnsi"/>
                <w:b/>
                <w:bCs/>
                <w:sz w:val="20"/>
                <w:szCs w:val="20"/>
                <w:lang w:val="en-US"/>
              </w:rPr>
              <w:t>Projected by Licensees for FY 2014-15</w:t>
            </w:r>
          </w:p>
        </w:tc>
      </w:tr>
      <w:tr w:rsidR="004C74C2" w:rsidRPr="00B53423" w:rsidTr="009268E4">
        <w:trPr>
          <w:trHeight w:val="315"/>
        </w:trPr>
        <w:tc>
          <w:tcPr>
            <w:tcW w:w="1350" w:type="dxa"/>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KESCO</w:t>
            </w:r>
          </w:p>
        </w:tc>
        <w:tc>
          <w:tcPr>
            <w:tcW w:w="1080" w:type="dxa"/>
            <w:shd w:val="clear" w:color="auto" w:fill="auto"/>
            <w:vAlign w:val="center"/>
            <w:hideMark/>
          </w:tcPr>
          <w:p w:rsidR="004C74C2" w:rsidRPr="00B53423" w:rsidRDefault="004C74C2" w:rsidP="0015232B">
            <w:pPr>
              <w:spacing w:before="0" w:line="240" w:lineRule="auto"/>
              <w:jc w:val="right"/>
              <w:rPr>
                <w:rFonts w:asciiTheme="minorHAnsi" w:hAnsiTheme="minorHAnsi" w:cstheme="minorHAnsi"/>
                <w:lang w:val="en-US"/>
              </w:rPr>
            </w:pPr>
            <w:r w:rsidRPr="00B53423">
              <w:rPr>
                <w:rFonts w:asciiTheme="minorHAnsi" w:hAnsiTheme="minorHAnsi" w:cstheme="minorHAnsi"/>
                <w:lang w:val="en-US"/>
              </w:rPr>
              <w:t>25.86%</w:t>
            </w:r>
          </w:p>
        </w:tc>
        <w:tc>
          <w:tcPr>
            <w:tcW w:w="990" w:type="dxa"/>
            <w:shd w:val="clear" w:color="auto" w:fill="auto"/>
            <w:vAlign w:val="center"/>
            <w:hideMark/>
          </w:tcPr>
          <w:p w:rsidR="004C74C2" w:rsidRPr="00B53423" w:rsidRDefault="004C74C2" w:rsidP="0015232B">
            <w:pPr>
              <w:spacing w:before="0" w:line="240" w:lineRule="auto"/>
              <w:jc w:val="right"/>
              <w:rPr>
                <w:rFonts w:asciiTheme="minorHAnsi" w:hAnsiTheme="minorHAnsi" w:cstheme="minorHAnsi"/>
                <w:lang w:val="en-US"/>
              </w:rPr>
            </w:pPr>
            <w:r w:rsidRPr="00B53423">
              <w:rPr>
                <w:rFonts w:asciiTheme="minorHAnsi" w:hAnsiTheme="minorHAnsi" w:cstheme="minorHAnsi"/>
                <w:lang w:val="en-US"/>
              </w:rPr>
              <w:t>36.79%</w:t>
            </w:r>
          </w:p>
        </w:tc>
        <w:tc>
          <w:tcPr>
            <w:tcW w:w="990" w:type="dxa"/>
            <w:shd w:val="clear" w:color="auto" w:fill="auto"/>
            <w:vAlign w:val="center"/>
            <w:hideMark/>
          </w:tcPr>
          <w:p w:rsidR="004C74C2" w:rsidRPr="00B53423" w:rsidRDefault="004C74C2" w:rsidP="0015232B">
            <w:pPr>
              <w:spacing w:before="0" w:line="240" w:lineRule="auto"/>
              <w:jc w:val="right"/>
              <w:rPr>
                <w:rFonts w:asciiTheme="minorHAnsi" w:hAnsiTheme="minorHAnsi" w:cstheme="minorHAnsi"/>
                <w:lang w:val="en-US"/>
              </w:rPr>
            </w:pPr>
            <w:r w:rsidRPr="00B53423">
              <w:rPr>
                <w:rFonts w:asciiTheme="minorHAnsi" w:hAnsiTheme="minorHAnsi" w:cstheme="minorHAnsi"/>
                <w:lang w:val="en-US"/>
              </w:rPr>
              <w:t>37.30%</w:t>
            </w:r>
          </w:p>
        </w:tc>
        <w:tc>
          <w:tcPr>
            <w:tcW w:w="990" w:type="dxa"/>
            <w:shd w:val="clear" w:color="auto" w:fill="auto"/>
            <w:vAlign w:val="center"/>
            <w:hideMark/>
          </w:tcPr>
          <w:p w:rsidR="004C74C2" w:rsidRPr="00B53423" w:rsidRDefault="004C74C2" w:rsidP="0015232B">
            <w:pPr>
              <w:spacing w:before="0" w:line="240" w:lineRule="auto"/>
              <w:jc w:val="right"/>
              <w:rPr>
                <w:rFonts w:asciiTheme="minorHAnsi" w:hAnsiTheme="minorHAnsi" w:cstheme="minorHAnsi"/>
                <w:lang w:val="en-US"/>
              </w:rPr>
            </w:pPr>
            <w:r w:rsidRPr="00B53423">
              <w:rPr>
                <w:rFonts w:asciiTheme="minorHAnsi" w:hAnsiTheme="minorHAnsi" w:cstheme="minorHAnsi"/>
                <w:lang w:val="en-US"/>
              </w:rPr>
              <w:t>33.33%</w:t>
            </w:r>
          </w:p>
        </w:tc>
        <w:tc>
          <w:tcPr>
            <w:tcW w:w="990" w:type="dxa"/>
            <w:shd w:val="clear" w:color="auto" w:fill="auto"/>
            <w:vAlign w:val="center"/>
            <w:hideMark/>
          </w:tcPr>
          <w:p w:rsidR="004C74C2" w:rsidRPr="00B53423" w:rsidRDefault="004C74C2" w:rsidP="0015232B">
            <w:pPr>
              <w:spacing w:before="0" w:line="240" w:lineRule="auto"/>
              <w:jc w:val="right"/>
              <w:rPr>
                <w:rFonts w:asciiTheme="minorHAnsi" w:hAnsiTheme="minorHAnsi" w:cstheme="minorHAnsi"/>
                <w:lang w:val="en-US"/>
              </w:rPr>
            </w:pPr>
            <w:r w:rsidRPr="00B53423">
              <w:rPr>
                <w:rFonts w:asciiTheme="minorHAnsi" w:hAnsiTheme="minorHAnsi" w:cstheme="minorHAnsi"/>
                <w:lang w:val="en-US"/>
              </w:rPr>
              <w:t>31.41%</w:t>
            </w:r>
          </w:p>
        </w:tc>
        <w:tc>
          <w:tcPr>
            <w:tcW w:w="1350" w:type="dxa"/>
            <w:vAlign w:val="center"/>
          </w:tcPr>
          <w:p w:rsidR="004C74C2" w:rsidRPr="00B53423" w:rsidRDefault="004C74C2" w:rsidP="0015232B">
            <w:pPr>
              <w:spacing w:before="0" w:line="240" w:lineRule="auto"/>
              <w:jc w:val="right"/>
              <w:rPr>
                <w:rFonts w:asciiTheme="minorHAnsi" w:hAnsiTheme="minorHAnsi" w:cstheme="minorHAnsi"/>
                <w:lang w:val="en-US"/>
              </w:rPr>
            </w:pPr>
            <w:r w:rsidRPr="00B53423">
              <w:rPr>
                <w:rFonts w:asciiTheme="minorHAnsi" w:hAnsiTheme="minorHAnsi" w:cstheme="minorHAnsi"/>
                <w:lang w:val="en-US"/>
              </w:rPr>
              <w:t>23.00%</w:t>
            </w:r>
          </w:p>
        </w:tc>
        <w:tc>
          <w:tcPr>
            <w:tcW w:w="1311" w:type="dxa"/>
            <w:shd w:val="clear" w:color="auto" w:fill="auto"/>
            <w:noWrap/>
            <w:vAlign w:val="center"/>
            <w:hideMark/>
          </w:tcPr>
          <w:p w:rsidR="004C74C2" w:rsidRPr="00B53423" w:rsidRDefault="004C74C2" w:rsidP="0015232B">
            <w:pPr>
              <w:spacing w:before="0" w:line="240" w:lineRule="auto"/>
              <w:jc w:val="right"/>
              <w:rPr>
                <w:rFonts w:asciiTheme="minorHAnsi" w:hAnsiTheme="minorHAnsi" w:cstheme="minorHAnsi"/>
                <w:lang w:val="en-US"/>
              </w:rPr>
            </w:pPr>
            <w:r w:rsidRPr="00B53423">
              <w:rPr>
                <w:rFonts w:asciiTheme="minorHAnsi" w:hAnsiTheme="minorHAnsi" w:cstheme="minorHAnsi"/>
                <w:lang w:val="en-US"/>
              </w:rPr>
              <w:t>21.00%</w:t>
            </w:r>
          </w:p>
        </w:tc>
        <w:tc>
          <w:tcPr>
            <w:tcW w:w="1094" w:type="dxa"/>
            <w:shd w:val="clear" w:color="auto" w:fill="auto"/>
            <w:vAlign w:val="center"/>
            <w:hideMark/>
          </w:tcPr>
          <w:p w:rsidR="004C74C2" w:rsidRPr="00B53423" w:rsidRDefault="004C74C2" w:rsidP="0015232B">
            <w:pPr>
              <w:spacing w:before="0" w:line="240" w:lineRule="auto"/>
              <w:jc w:val="right"/>
              <w:rPr>
                <w:rFonts w:asciiTheme="minorHAnsi" w:hAnsiTheme="minorHAnsi" w:cstheme="minorHAnsi"/>
                <w:lang w:val="en-US"/>
              </w:rPr>
            </w:pPr>
            <w:r w:rsidRPr="00B53423">
              <w:rPr>
                <w:rFonts w:asciiTheme="minorHAnsi" w:hAnsiTheme="minorHAnsi" w:cstheme="minorHAnsi"/>
                <w:lang w:val="en-US"/>
              </w:rPr>
              <w:t>30.17%</w:t>
            </w:r>
          </w:p>
        </w:tc>
      </w:tr>
    </w:tbl>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Licensees, in their subsequent submission vide letter no. 1851/RAU/ARR &amp; Tariff/2014-15 dated 31</w:t>
      </w:r>
      <w:r w:rsidR="003A6B3B" w:rsidRPr="00B53423">
        <w:rPr>
          <w:vertAlign w:val="superscript"/>
        </w:rPr>
        <w:t>st</w:t>
      </w:r>
      <w:r w:rsidRPr="00B53423">
        <w:t xml:space="preserve"> July, 2014 submitted the revised projections of the Distribution Losses for FY 2014-15 based on the AT&amp;C loss reduction trajectory suggested by Ministry of Power, Government of India for the period from FY 2013-14 to FY 2021-22. The revised Distribution Losses as projected by the Licensees is shown in the Table below:</w:t>
      </w:r>
    </w:p>
    <w:p w:rsidR="007A5ECB" w:rsidRPr="00B53423" w:rsidRDefault="007A5ECB" w:rsidP="0015232B">
      <w:pPr>
        <w:pStyle w:val="Heading3"/>
        <w:keepNext w:val="0"/>
        <w:numPr>
          <w:ilvl w:val="0"/>
          <w:numId w:val="0"/>
        </w:numPr>
        <w:ind w:left="720"/>
      </w:pPr>
    </w:p>
    <w:p w:rsidR="004C74C2" w:rsidRPr="00B53423" w:rsidRDefault="004C74C2" w:rsidP="0015232B">
      <w:pPr>
        <w:jc w:val="center"/>
        <w:rPr>
          <w:rFonts w:cstheme="minorHAnsi"/>
          <w:b/>
        </w:rPr>
      </w:pPr>
      <w:bookmarkStart w:id="610" w:name="_Toc395657930"/>
      <w:bookmarkStart w:id="611" w:name="_Toc399626416"/>
      <w:r w:rsidRPr="00B53423">
        <w:rPr>
          <w:rFonts w:asciiTheme="minorHAnsi" w:hAnsiTheme="minorHAnsi" w:cstheme="minorHAnsi"/>
          <w:b/>
        </w:rPr>
        <w:t xml:space="preserve">Table </w:t>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STYLEREF 1 \s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9</w:t>
      </w:r>
      <w:r w:rsidR="005D68E7" w:rsidRPr="00B53423">
        <w:rPr>
          <w:rFonts w:asciiTheme="minorHAnsi" w:hAnsiTheme="minorHAnsi" w:cstheme="minorHAnsi"/>
          <w:b/>
        </w:rPr>
        <w:fldChar w:fldCharType="end"/>
      </w:r>
      <w:r w:rsidRPr="00B53423">
        <w:rPr>
          <w:rFonts w:asciiTheme="minorHAnsi" w:hAnsiTheme="minorHAnsi" w:cstheme="minorHAnsi"/>
          <w:b/>
        </w:rPr>
        <w:noBreakHyphen/>
      </w:r>
      <w:r w:rsidR="005D68E7" w:rsidRPr="00B53423">
        <w:rPr>
          <w:rFonts w:asciiTheme="minorHAnsi" w:hAnsiTheme="minorHAnsi" w:cstheme="minorHAnsi"/>
          <w:b/>
        </w:rPr>
        <w:fldChar w:fldCharType="begin"/>
      </w:r>
      <w:r w:rsidRPr="00B53423">
        <w:rPr>
          <w:rFonts w:asciiTheme="minorHAnsi" w:hAnsiTheme="minorHAnsi" w:cstheme="minorHAnsi"/>
          <w:b/>
        </w:rPr>
        <w:instrText xml:space="preserve"> SEQ Table \* ARABIC \s 1 </w:instrText>
      </w:r>
      <w:r w:rsidR="005D68E7" w:rsidRPr="00B53423">
        <w:rPr>
          <w:rFonts w:asciiTheme="minorHAnsi" w:hAnsiTheme="minorHAnsi" w:cstheme="minorHAnsi"/>
          <w:b/>
        </w:rPr>
        <w:fldChar w:fldCharType="separate"/>
      </w:r>
      <w:r w:rsidR="00847C1B">
        <w:rPr>
          <w:rFonts w:asciiTheme="minorHAnsi" w:hAnsiTheme="minorHAnsi" w:cstheme="minorHAnsi"/>
          <w:b/>
          <w:noProof/>
        </w:rPr>
        <w:t>11</w:t>
      </w:r>
      <w:r w:rsidR="005D68E7" w:rsidRPr="00B53423">
        <w:rPr>
          <w:rFonts w:asciiTheme="minorHAnsi" w:hAnsiTheme="minorHAnsi" w:cstheme="minorHAnsi"/>
          <w:b/>
        </w:rPr>
        <w:fldChar w:fldCharType="end"/>
      </w:r>
      <w:r w:rsidRPr="00B53423">
        <w:rPr>
          <w:rFonts w:asciiTheme="minorHAnsi" w:hAnsiTheme="minorHAnsi" w:cstheme="minorHAnsi"/>
          <w:b/>
        </w:rPr>
        <w:t>: REVISED DISTRIBUTION LOSS TRAJECTORY SUBMITTED BY THE PETITIONERS FOR ARR PURPOSE</w:t>
      </w:r>
      <w:bookmarkEnd w:id="610"/>
      <w:r w:rsidRPr="00B53423">
        <w:rPr>
          <w:rFonts w:asciiTheme="minorHAnsi" w:hAnsiTheme="minorHAnsi" w:cstheme="minorHAnsi"/>
          <w:b/>
        </w:rPr>
        <w:t>S</w:t>
      </w:r>
      <w:bookmarkEnd w:id="611"/>
    </w:p>
    <w:tbl>
      <w:tblPr>
        <w:tblStyle w:val="TableGrid"/>
        <w:tblW w:w="4553"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209"/>
        <w:gridCol w:w="815"/>
        <w:gridCol w:w="815"/>
        <w:gridCol w:w="815"/>
        <w:gridCol w:w="815"/>
        <w:gridCol w:w="815"/>
        <w:gridCol w:w="815"/>
        <w:gridCol w:w="815"/>
        <w:gridCol w:w="815"/>
        <w:gridCol w:w="815"/>
      </w:tblGrid>
      <w:tr w:rsidR="004C74C2" w:rsidRPr="00B53423" w:rsidTr="009268E4">
        <w:trPr>
          <w:jc w:val="center"/>
        </w:trPr>
        <w:tc>
          <w:tcPr>
            <w:tcW w:w="587" w:type="pct"/>
            <w:shd w:val="clear" w:color="auto" w:fill="C6D9F1" w:themeFill="text2" w:themeFillTint="33"/>
            <w:vAlign w:val="center"/>
          </w:tcPr>
          <w:p w:rsidR="004C74C2" w:rsidRPr="00B53423" w:rsidRDefault="004C74C2" w:rsidP="0015232B">
            <w:pPr>
              <w:spacing w:before="0"/>
              <w:jc w:val="center"/>
              <w:rPr>
                <w:rFonts w:asciiTheme="minorHAnsi" w:eastAsiaTheme="minorEastAsia" w:hAnsiTheme="minorHAnsi" w:cstheme="minorBidi"/>
                <w:b/>
                <w:color w:val="333399"/>
                <w:kern w:val="32"/>
                <w:sz w:val="20"/>
                <w:szCs w:val="20"/>
              </w:rPr>
            </w:pPr>
            <w:r w:rsidRPr="00B53423">
              <w:rPr>
                <w:rFonts w:cstheme="minorBidi"/>
                <w:b/>
                <w:sz w:val="20"/>
                <w:szCs w:val="20"/>
              </w:rPr>
              <w:t>Distribution Licensee</w:t>
            </w:r>
          </w:p>
        </w:tc>
        <w:tc>
          <w:tcPr>
            <w:tcW w:w="491" w:type="pct"/>
            <w:shd w:val="clear" w:color="auto" w:fill="C6D9F1" w:themeFill="text2" w:themeFillTint="33"/>
            <w:vAlign w:val="center"/>
          </w:tcPr>
          <w:p w:rsidR="004C74C2" w:rsidRPr="00B53423" w:rsidRDefault="004C74C2" w:rsidP="0015232B">
            <w:pPr>
              <w:spacing w:before="0"/>
              <w:jc w:val="center"/>
              <w:rPr>
                <w:rFonts w:cstheme="minorBidi"/>
                <w:b/>
                <w:sz w:val="20"/>
                <w:szCs w:val="20"/>
              </w:rPr>
            </w:pPr>
            <w:r w:rsidRPr="00B53423">
              <w:rPr>
                <w:rFonts w:cstheme="minorBidi"/>
                <w:b/>
                <w:sz w:val="20"/>
                <w:szCs w:val="20"/>
              </w:rPr>
              <w:t>FY</w:t>
            </w:r>
          </w:p>
          <w:p w:rsidR="004C74C2" w:rsidRPr="00B53423" w:rsidRDefault="004C74C2" w:rsidP="0015232B">
            <w:pPr>
              <w:spacing w:before="0"/>
              <w:jc w:val="center"/>
              <w:rPr>
                <w:rFonts w:cstheme="minorBidi"/>
                <w:b/>
                <w:sz w:val="20"/>
                <w:szCs w:val="20"/>
              </w:rPr>
            </w:pPr>
            <w:r w:rsidRPr="00B53423">
              <w:rPr>
                <w:rFonts w:cstheme="minorBidi"/>
                <w:b/>
                <w:sz w:val="20"/>
                <w:szCs w:val="20"/>
              </w:rPr>
              <w:t>13-14</w:t>
            </w:r>
          </w:p>
        </w:tc>
        <w:tc>
          <w:tcPr>
            <w:tcW w:w="490" w:type="pct"/>
            <w:shd w:val="clear" w:color="auto" w:fill="C6D9F1" w:themeFill="text2" w:themeFillTint="33"/>
            <w:vAlign w:val="center"/>
          </w:tcPr>
          <w:p w:rsidR="004C74C2" w:rsidRPr="00B53423" w:rsidRDefault="004C74C2" w:rsidP="0015232B">
            <w:pPr>
              <w:spacing w:before="0"/>
              <w:jc w:val="center"/>
              <w:rPr>
                <w:rFonts w:cstheme="minorBidi"/>
                <w:b/>
                <w:sz w:val="20"/>
                <w:szCs w:val="20"/>
              </w:rPr>
            </w:pPr>
            <w:r w:rsidRPr="00B53423">
              <w:rPr>
                <w:rFonts w:cstheme="minorBidi"/>
                <w:b/>
                <w:sz w:val="20"/>
                <w:szCs w:val="20"/>
              </w:rPr>
              <w:t>FY</w:t>
            </w:r>
          </w:p>
          <w:p w:rsidR="004C74C2" w:rsidRPr="00B53423" w:rsidRDefault="004C74C2" w:rsidP="0015232B">
            <w:pPr>
              <w:spacing w:before="0"/>
              <w:jc w:val="center"/>
              <w:rPr>
                <w:rFonts w:ascii="Times New Roman" w:hAnsi="Times New Roman"/>
                <w:b/>
                <w:sz w:val="20"/>
                <w:szCs w:val="20"/>
              </w:rPr>
            </w:pPr>
            <w:r w:rsidRPr="00B53423">
              <w:rPr>
                <w:rFonts w:cstheme="minorBidi"/>
                <w:b/>
                <w:sz w:val="20"/>
                <w:szCs w:val="20"/>
              </w:rPr>
              <w:t>14-15</w:t>
            </w:r>
          </w:p>
        </w:tc>
        <w:tc>
          <w:tcPr>
            <w:tcW w:w="490" w:type="pct"/>
            <w:shd w:val="clear" w:color="auto" w:fill="C6D9F1" w:themeFill="text2" w:themeFillTint="33"/>
            <w:vAlign w:val="center"/>
          </w:tcPr>
          <w:p w:rsidR="004C74C2" w:rsidRPr="00B53423" w:rsidRDefault="004C74C2" w:rsidP="0015232B">
            <w:pPr>
              <w:spacing w:before="0"/>
              <w:jc w:val="center"/>
              <w:rPr>
                <w:rFonts w:cstheme="minorBidi"/>
                <w:b/>
                <w:sz w:val="20"/>
                <w:szCs w:val="20"/>
              </w:rPr>
            </w:pPr>
            <w:r w:rsidRPr="00B53423">
              <w:rPr>
                <w:rFonts w:cstheme="minorBidi"/>
                <w:b/>
                <w:sz w:val="20"/>
                <w:szCs w:val="20"/>
              </w:rPr>
              <w:t>FY</w:t>
            </w:r>
          </w:p>
          <w:p w:rsidR="004C74C2" w:rsidRPr="00B53423" w:rsidRDefault="004C74C2" w:rsidP="0015232B">
            <w:pPr>
              <w:spacing w:before="0"/>
              <w:jc w:val="center"/>
              <w:rPr>
                <w:rFonts w:ascii="Times New Roman" w:hAnsi="Times New Roman"/>
                <w:b/>
                <w:sz w:val="20"/>
                <w:szCs w:val="20"/>
              </w:rPr>
            </w:pPr>
            <w:r w:rsidRPr="00B53423">
              <w:rPr>
                <w:rFonts w:cstheme="minorBidi"/>
                <w:b/>
                <w:sz w:val="20"/>
                <w:szCs w:val="20"/>
              </w:rPr>
              <w:t>15-16</w:t>
            </w:r>
          </w:p>
        </w:tc>
        <w:tc>
          <w:tcPr>
            <w:tcW w:w="490" w:type="pct"/>
            <w:shd w:val="clear" w:color="auto" w:fill="C6D9F1" w:themeFill="text2" w:themeFillTint="33"/>
            <w:vAlign w:val="center"/>
          </w:tcPr>
          <w:p w:rsidR="004C74C2" w:rsidRPr="00B53423" w:rsidRDefault="004C74C2" w:rsidP="0015232B">
            <w:pPr>
              <w:spacing w:before="0"/>
              <w:jc w:val="center"/>
              <w:rPr>
                <w:rFonts w:cstheme="minorBidi"/>
                <w:b/>
                <w:sz w:val="20"/>
                <w:szCs w:val="20"/>
              </w:rPr>
            </w:pPr>
            <w:r w:rsidRPr="00B53423">
              <w:rPr>
                <w:rFonts w:cstheme="minorBidi"/>
                <w:b/>
                <w:sz w:val="20"/>
                <w:szCs w:val="20"/>
              </w:rPr>
              <w:t>FY</w:t>
            </w:r>
          </w:p>
          <w:p w:rsidR="004C74C2" w:rsidRPr="00B53423" w:rsidRDefault="004C74C2" w:rsidP="0015232B">
            <w:pPr>
              <w:spacing w:before="0"/>
              <w:jc w:val="center"/>
              <w:rPr>
                <w:rFonts w:ascii="Times New Roman" w:hAnsi="Times New Roman"/>
                <w:b/>
                <w:sz w:val="20"/>
                <w:szCs w:val="20"/>
              </w:rPr>
            </w:pPr>
            <w:r w:rsidRPr="00B53423">
              <w:rPr>
                <w:rFonts w:cstheme="minorBidi"/>
                <w:b/>
                <w:sz w:val="20"/>
                <w:szCs w:val="20"/>
              </w:rPr>
              <w:t>16-17</w:t>
            </w:r>
          </w:p>
        </w:tc>
        <w:tc>
          <w:tcPr>
            <w:tcW w:w="490" w:type="pct"/>
            <w:shd w:val="clear" w:color="auto" w:fill="C6D9F1" w:themeFill="text2" w:themeFillTint="33"/>
            <w:vAlign w:val="center"/>
          </w:tcPr>
          <w:p w:rsidR="004C74C2" w:rsidRPr="00B53423" w:rsidRDefault="004C74C2" w:rsidP="0015232B">
            <w:pPr>
              <w:spacing w:before="0"/>
              <w:jc w:val="center"/>
              <w:rPr>
                <w:rFonts w:cstheme="minorBidi"/>
                <w:b/>
                <w:sz w:val="20"/>
                <w:szCs w:val="20"/>
              </w:rPr>
            </w:pPr>
            <w:r w:rsidRPr="00B53423">
              <w:rPr>
                <w:rFonts w:cstheme="minorBidi"/>
                <w:b/>
                <w:sz w:val="20"/>
                <w:szCs w:val="20"/>
              </w:rPr>
              <w:t>FY</w:t>
            </w:r>
          </w:p>
          <w:p w:rsidR="004C74C2" w:rsidRPr="00B53423" w:rsidRDefault="004C74C2" w:rsidP="0015232B">
            <w:pPr>
              <w:spacing w:before="0"/>
              <w:jc w:val="center"/>
              <w:rPr>
                <w:rFonts w:ascii="Times New Roman" w:hAnsi="Times New Roman"/>
                <w:b/>
                <w:sz w:val="20"/>
                <w:szCs w:val="20"/>
              </w:rPr>
            </w:pPr>
            <w:r w:rsidRPr="00B53423">
              <w:rPr>
                <w:rFonts w:cstheme="minorBidi"/>
                <w:b/>
                <w:sz w:val="20"/>
                <w:szCs w:val="20"/>
              </w:rPr>
              <w:t>17-18</w:t>
            </w:r>
          </w:p>
        </w:tc>
        <w:tc>
          <w:tcPr>
            <w:tcW w:w="490" w:type="pct"/>
            <w:shd w:val="clear" w:color="auto" w:fill="C6D9F1" w:themeFill="text2" w:themeFillTint="33"/>
            <w:vAlign w:val="center"/>
          </w:tcPr>
          <w:p w:rsidR="004C74C2" w:rsidRPr="00B53423" w:rsidRDefault="004C74C2" w:rsidP="0015232B">
            <w:pPr>
              <w:spacing w:before="0"/>
              <w:jc w:val="center"/>
              <w:rPr>
                <w:rFonts w:cstheme="minorBidi"/>
                <w:b/>
                <w:sz w:val="20"/>
                <w:szCs w:val="20"/>
              </w:rPr>
            </w:pPr>
            <w:r w:rsidRPr="00B53423">
              <w:rPr>
                <w:rFonts w:cstheme="minorBidi"/>
                <w:b/>
                <w:sz w:val="20"/>
                <w:szCs w:val="20"/>
              </w:rPr>
              <w:t>FY</w:t>
            </w:r>
          </w:p>
          <w:p w:rsidR="004C74C2" w:rsidRPr="00B53423" w:rsidRDefault="004C74C2" w:rsidP="0015232B">
            <w:pPr>
              <w:spacing w:before="0"/>
              <w:jc w:val="center"/>
              <w:rPr>
                <w:rFonts w:ascii="Times New Roman" w:hAnsi="Times New Roman"/>
                <w:b/>
                <w:sz w:val="20"/>
                <w:szCs w:val="20"/>
              </w:rPr>
            </w:pPr>
            <w:r w:rsidRPr="00B53423">
              <w:rPr>
                <w:rFonts w:cstheme="minorBidi"/>
                <w:b/>
                <w:sz w:val="20"/>
                <w:szCs w:val="20"/>
              </w:rPr>
              <w:t>18-19</w:t>
            </w:r>
          </w:p>
        </w:tc>
        <w:tc>
          <w:tcPr>
            <w:tcW w:w="490" w:type="pct"/>
            <w:shd w:val="clear" w:color="auto" w:fill="C6D9F1" w:themeFill="text2" w:themeFillTint="33"/>
            <w:vAlign w:val="center"/>
          </w:tcPr>
          <w:p w:rsidR="004C74C2" w:rsidRPr="00B53423" w:rsidRDefault="004C74C2" w:rsidP="0015232B">
            <w:pPr>
              <w:spacing w:before="0"/>
              <w:jc w:val="center"/>
              <w:rPr>
                <w:rFonts w:cstheme="minorBidi"/>
                <w:b/>
                <w:sz w:val="20"/>
                <w:szCs w:val="20"/>
              </w:rPr>
            </w:pPr>
            <w:r w:rsidRPr="00B53423">
              <w:rPr>
                <w:rFonts w:cstheme="minorBidi"/>
                <w:b/>
                <w:sz w:val="20"/>
                <w:szCs w:val="20"/>
              </w:rPr>
              <w:t>FY</w:t>
            </w:r>
          </w:p>
          <w:p w:rsidR="004C74C2" w:rsidRPr="00B53423" w:rsidRDefault="004C74C2" w:rsidP="0015232B">
            <w:pPr>
              <w:spacing w:before="0"/>
              <w:jc w:val="center"/>
              <w:rPr>
                <w:rFonts w:ascii="Times New Roman" w:hAnsi="Times New Roman"/>
                <w:b/>
                <w:sz w:val="20"/>
                <w:szCs w:val="20"/>
              </w:rPr>
            </w:pPr>
            <w:r w:rsidRPr="00B53423">
              <w:rPr>
                <w:rFonts w:cstheme="minorBidi"/>
                <w:b/>
                <w:sz w:val="20"/>
                <w:szCs w:val="20"/>
              </w:rPr>
              <w:t>19-20</w:t>
            </w:r>
          </w:p>
        </w:tc>
        <w:tc>
          <w:tcPr>
            <w:tcW w:w="490" w:type="pct"/>
            <w:shd w:val="clear" w:color="auto" w:fill="C6D9F1" w:themeFill="text2" w:themeFillTint="33"/>
            <w:vAlign w:val="center"/>
          </w:tcPr>
          <w:p w:rsidR="004C74C2" w:rsidRPr="00B53423" w:rsidRDefault="004C74C2" w:rsidP="0015232B">
            <w:pPr>
              <w:spacing w:before="0"/>
              <w:jc w:val="center"/>
              <w:rPr>
                <w:rFonts w:cstheme="minorBidi"/>
                <w:b/>
                <w:sz w:val="20"/>
                <w:szCs w:val="20"/>
              </w:rPr>
            </w:pPr>
            <w:r w:rsidRPr="00B53423">
              <w:rPr>
                <w:rFonts w:cstheme="minorBidi"/>
                <w:b/>
                <w:sz w:val="20"/>
                <w:szCs w:val="20"/>
              </w:rPr>
              <w:t>FY</w:t>
            </w:r>
          </w:p>
          <w:p w:rsidR="004C74C2" w:rsidRPr="00B53423" w:rsidRDefault="004C74C2" w:rsidP="0015232B">
            <w:pPr>
              <w:spacing w:before="0"/>
              <w:jc w:val="center"/>
              <w:rPr>
                <w:rFonts w:ascii="Times New Roman" w:hAnsi="Times New Roman"/>
                <w:b/>
                <w:sz w:val="20"/>
                <w:szCs w:val="20"/>
              </w:rPr>
            </w:pPr>
            <w:r w:rsidRPr="00B53423">
              <w:rPr>
                <w:rFonts w:cstheme="minorBidi"/>
                <w:b/>
                <w:sz w:val="20"/>
                <w:szCs w:val="20"/>
              </w:rPr>
              <w:t>20-21</w:t>
            </w:r>
          </w:p>
        </w:tc>
        <w:tc>
          <w:tcPr>
            <w:tcW w:w="490" w:type="pct"/>
            <w:shd w:val="clear" w:color="auto" w:fill="C6D9F1" w:themeFill="text2" w:themeFillTint="33"/>
            <w:vAlign w:val="center"/>
          </w:tcPr>
          <w:p w:rsidR="004C74C2" w:rsidRPr="00B53423" w:rsidRDefault="004C74C2" w:rsidP="0015232B">
            <w:pPr>
              <w:spacing w:before="0"/>
              <w:jc w:val="center"/>
              <w:rPr>
                <w:rFonts w:cstheme="minorBidi"/>
                <w:b/>
                <w:sz w:val="20"/>
                <w:szCs w:val="20"/>
              </w:rPr>
            </w:pPr>
            <w:r w:rsidRPr="00B53423">
              <w:rPr>
                <w:rFonts w:cstheme="minorBidi"/>
                <w:b/>
                <w:sz w:val="20"/>
                <w:szCs w:val="20"/>
              </w:rPr>
              <w:t>FY</w:t>
            </w:r>
          </w:p>
          <w:p w:rsidR="004C74C2" w:rsidRPr="00B53423" w:rsidRDefault="004C74C2" w:rsidP="0015232B">
            <w:pPr>
              <w:spacing w:before="0"/>
              <w:jc w:val="center"/>
              <w:rPr>
                <w:rFonts w:ascii="Times New Roman" w:hAnsi="Times New Roman"/>
                <w:b/>
                <w:sz w:val="20"/>
                <w:szCs w:val="20"/>
              </w:rPr>
            </w:pPr>
            <w:r w:rsidRPr="00B53423">
              <w:rPr>
                <w:rFonts w:cstheme="minorBidi"/>
                <w:b/>
                <w:sz w:val="20"/>
                <w:szCs w:val="20"/>
              </w:rPr>
              <w:t>21-22</w:t>
            </w:r>
          </w:p>
        </w:tc>
      </w:tr>
      <w:tr w:rsidR="004C74C2" w:rsidRPr="00B53423" w:rsidTr="009268E4">
        <w:trPr>
          <w:jc w:val="center"/>
        </w:trPr>
        <w:tc>
          <w:tcPr>
            <w:tcW w:w="587" w:type="pct"/>
            <w:vAlign w:val="center"/>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DVVNL</w:t>
            </w:r>
          </w:p>
        </w:tc>
        <w:tc>
          <w:tcPr>
            <w:tcW w:w="491"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35.85%</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35.13%</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32.63%</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30.13%</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28.13%</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26.13%</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24.13%</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21.73%</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19.28%</w:t>
            </w:r>
          </w:p>
        </w:tc>
      </w:tr>
      <w:tr w:rsidR="004C74C2" w:rsidRPr="00B53423" w:rsidTr="009268E4">
        <w:trPr>
          <w:jc w:val="center"/>
        </w:trPr>
        <w:tc>
          <w:tcPr>
            <w:tcW w:w="587" w:type="pct"/>
            <w:vAlign w:val="center"/>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MVVNL</w:t>
            </w:r>
          </w:p>
        </w:tc>
        <w:tc>
          <w:tcPr>
            <w:tcW w:w="491"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24.35%</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23.86%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22.66%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22.16%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21.66%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20.16%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18.66%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16.66%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14.66%</w:t>
            </w:r>
          </w:p>
        </w:tc>
      </w:tr>
      <w:tr w:rsidR="004C74C2" w:rsidRPr="00B53423" w:rsidTr="009268E4">
        <w:trPr>
          <w:jc w:val="center"/>
        </w:trPr>
        <w:tc>
          <w:tcPr>
            <w:tcW w:w="587" w:type="pct"/>
            <w:vAlign w:val="center"/>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PVVNL</w:t>
            </w:r>
          </w:p>
        </w:tc>
        <w:tc>
          <w:tcPr>
            <w:tcW w:w="491"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26.68%</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26.15%</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25.15%</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23.95%</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22.60%</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21.10%</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19.60%</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17.60%</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15.60%</w:t>
            </w:r>
          </w:p>
        </w:tc>
      </w:tr>
      <w:tr w:rsidR="004C74C2" w:rsidRPr="00B53423" w:rsidTr="009268E4">
        <w:trPr>
          <w:jc w:val="center"/>
        </w:trPr>
        <w:tc>
          <w:tcPr>
            <w:tcW w:w="587" w:type="pct"/>
            <w:vAlign w:val="center"/>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PuVNNL</w:t>
            </w:r>
          </w:p>
        </w:tc>
        <w:tc>
          <w:tcPr>
            <w:tcW w:w="491"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25.15%</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24.65%</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23.55%</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22.30%</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21.80%</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20.30%</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19.30%</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17.30%</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15.30%</w:t>
            </w:r>
          </w:p>
        </w:tc>
      </w:tr>
      <w:tr w:rsidR="004C74C2" w:rsidRPr="00B53423" w:rsidTr="009268E4">
        <w:trPr>
          <w:jc w:val="center"/>
        </w:trPr>
        <w:tc>
          <w:tcPr>
            <w:tcW w:w="587" w:type="pct"/>
            <w:vAlign w:val="center"/>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KESCO</w:t>
            </w:r>
          </w:p>
        </w:tc>
        <w:tc>
          <w:tcPr>
            <w:tcW w:w="491"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28.05%</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27.66%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26.66%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25.46%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23.46%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21.46%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19.96%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17.96%</w:t>
            </w:r>
          </w:p>
        </w:tc>
        <w:tc>
          <w:tcPr>
            <w:tcW w:w="490" w:type="pct"/>
            <w:vAlign w:val="bottom"/>
          </w:tcPr>
          <w:p w:rsidR="004C74C2" w:rsidRPr="00B53423" w:rsidRDefault="004C74C2" w:rsidP="0015232B">
            <w:pPr>
              <w:spacing w:before="0" w:line="276" w:lineRule="auto"/>
              <w:jc w:val="left"/>
              <w:rPr>
                <w:rFonts w:ascii="Times New Roman" w:hAnsi="Times New Roman"/>
                <w:sz w:val="20"/>
                <w:szCs w:val="20"/>
              </w:rPr>
            </w:pPr>
            <w:r w:rsidRPr="00B53423">
              <w:rPr>
                <w:rFonts w:cstheme="minorBidi"/>
                <w:sz w:val="20"/>
                <w:szCs w:val="20"/>
              </w:rPr>
              <w:t>15.96%</w:t>
            </w:r>
          </w:p>
        </w:tc>
      </w:tr>
    </w:tbl>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It may be observed that the above revised projections submitted by the Petitioners for consideration in the ARR are same for DVVNL, MVVNL, PVVNL and PuVVNL, and only for KESCO such projections has been revised from 30.17% to 27.66%, which is still at higher end.</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In the above matter of setting up of the target distribution loss for FY 2014-15, UPPCL in the meeting held on 28</w:t>
      </w:r>
      <w:r w:rsidRPr="00B53423">
        <w:rPr>
          <w:vertAlign w:val="superscript"/>
        </w:rPr>
        <w:t>th</w:t>
      </w:r>
      <w:r w:rsidRPr="00B53423">
        <w:t xml:space="preserve"> April, 2014, requested the Commission that the targets for distribution loss reduction as mentioned in the FRP should be considered for the Tariff approval for FY 2014-15 and future years. Considering the same, the Commission in its Order dated 6</w:t>
      </w:r>
      <w:r w:rsidRPr="00B53423">
        <w:rPr>
          <w:vertAlign w:val="superscript"/>
        </w:rPr>
        <w:t>th</w:t>
      </w:r>
      <w:r w:rsidRPr="00B53423">
        <w:t xml:space="preserve"> June, 2014 for Extension of Applicability of Regulatory Surcharge also considered the Distribution Loss target for FY 2014-15 at the same levels as approved in the FRP.</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However, as may be observed in the above Table, the actual distribution losses of the Licensees for FY 2012-13 are very high as compared to the loss target approved in the FRP for FY 2014-15. Therefore approving the target losses at the levels approved in the FRP would not be practically achievable by the Licensees.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Commission is of the view that the revised projected Distribution Losses which are also arrived by considering the year on year improvement of only 2% is very low. As the actual losses are very high, there is ample room to reduce the distribution losses with appropriate measures. The Commission for the purpose of approving the target losses for FY 2014-15 has considered the year on year improvement of 8% as against 2% proposed by the Licensee over actual losses of FY 2012-13. Further, as the Commission in its Tariff Order dated 31</w:t>
      </w:r>
      <w:r w:rsidRPr="00B53423">
        <w:rPr>
          <w:vertAlign w:val="superscript"/>
        </w:rPr>
        <w:t>st</w:t>
      </w:r>
      <w:r w:rsidRPr="00B53423">
        <w:t xml:space="preserve"> May, 2013 has approved the losses for FY 2013-14 and considering that the Loss target level for FY 2014-15 should not be higher than the target for FY 2013-14, the Commission in such cases, has limited the target distribution losses for FY 2014-15 to the level approved for FY 2013-14 in Tariff Order dated 31</w:t>
      </w:r>
      <w:r w:rsidRPr="00B53423">
        <w:rPr>
          <w:vertAlign w:val="superscript"/>
        </w:rPr>
        <w:t>st</w:t>
      </w:r>
      <w:r w:rsidRPr="00B53423">
        <w:t xml:space="preserve"> May, 2013.</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Further, Transmission Losses has been considered as proposed by the Petitioner.</w:t>
      </w:r>
    </w:p>
    <w:p w:rsidR="004C74C2" w:rsidRPr="00B53423" w:rsidRDefault="004C74C2" w:rsidP="0015232B">
      <w:pPr>
        <w:pStyle w:val="Heading3"/>
        <w:keepNext w:val="0"/>
        <w:numPr>
          <w:ilvl w:val="0"/>
          <w:numId w:val="0"/>
        </w:numPr>
        <w:ind w:left="576"/>
      </w:pPr>
    </w:p>
    <w:p w:rsidR="004C74C2" w:rsidRPr="00B53423" w:rsidRDefault="004C74C2" w:rsidP="0015232B">
      <w:pPr>
        <w:pStyle w:val="Heading3"/>
        <w:keepNext w:val="0"/>
        <w:ind w:hanging="1080"/>
      </w:pPr>
      <w:r w:rsidRPr="00B53423">
        <w:t>Considering the above methodology, the Commission has approved the target distribution losses for the Petitioner as shown in the Table below:</w:t>
      </w:r>
    </w:p>
    <w:p w:rsidR="004C74C2" w:rsidRPr="00B53423" w:rsidRDefault="004C74C2" w:rsidP="0015232B">
      <w:pPr>
        <w:pStyle w:val="Heading3"/>
        <w:keepNext w:val="0"/>
        <w:numPr>
          <w:ilvl w:val="0"/>
          <w:numId w:val="0"/>
        </w:numPr>
        <w:ind w:left="720"/>
      </w:pPr>
    </w:p>
    <w:p w:rsidR="004C74C2" w:rsidRPr="00B53423" w:rsidRDefault="004C74C2" w:rsidP="0015232B">
      <w:pPr>
        <w:pStyle w:val="Caption"/>
        <w:jc w:val="center"/>
      </w:pPr>
      <w:bookmarkStart w:id="612" w:name="_Toc399626417"/>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12</w:t>
      </w:r>
      <w:r w:rsidR="005D68E7" w:rsidRPr="00B53423">
        <w:fldChar w:fldCharType="end"/>
      </w:r>
      <w:r w:rsidRPr="00B53423">
        <w:t>: DISTRIBUTION LOSS APPROVED BY THE COMMISSION FOR FY 2014-15</w:t>
      </w:r>
      <w:bookmarkEnd w:id="612"/>
    </w:p>
    <w:tbl>
      <w:tblPr>
        <w:tblW w:w="8555"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360"/>
        <w:gridCol w:w="1345"/>
        <w:gridCol w:w="1530"/>
        <w:gridCol w:w="1260"/>
        <w:gridCol w:w="1620"/>
        <w:gridCol w:w="1440"/>
      </w:tblGrid>
      <w:tr w:rsidR="004C74C2" w:rsidRPr="00B53423" w:rsidTr="009268E4">
        <w:trPr>
          <w:trHeight w:val="900"/>
          <w:tblHeader/>
        </w:trPr>
        <w:tc>
          <w:tcPr>
            <w:tcW w:w="1360" w:type="dxa"/>
            <w:shd w:val="clear" w:color="000000" w:fill="DBE5F1"/>
            <w:vAlign w:val="center"/>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Distribution Licensee</w:t>
            </w:r>
          </w:p>
        </w:tc>
        <w:tc>
          <w:tcPr>
            <w:tcW w:w="1345" w:type="dxa"/>
            <w:shd w:val="clear" w:color="000000" w:fill="DBE5F1"/>
            <w:vAlign w:val="center"/>
            <w:hideMark/>
          </w:tcPr>
          <w:p w:rsidR="004C74C2" w:rsidRPr="00B53423" w:rsidRDefault="004C74C2" w:rsidP="0015232B">
            <w:pPr>
              <w:spacing w:before="0" w:line="240" w:lineRule="auto"/>
              <w:jc w:val="center"/>
              <w:rPr>
                <w:rFonts w:asciiTheme="minorHAnsi" w:hAnsiTheme="minorHAnsi" w:cstheme="minorHAnsi"/>
                <w:b/>
                <w:bCs/>
                <w:lang w:val="en-US"/>
              </w:rPr>
            </w:pPr>
            <w:r w:rsidRPr="00B53423">
              <w:rPr>
                <w:rFonts w:asciiTheme="minorHAnsi" w:hAnsiTheme="minorHAnsi" w:cstheme="minorHAnsi"/>
                <w:b/>
                <w:bCs/>
                <w:lang w:val="en-US"/>
              </w:rPr>
              <w:t>Actual submitted by Licensee FY 2012-13</w:t>
            </w:r>
          </w:p>
        </w:tc>
        <w:tc>
          <w:tcPr>
            <w:tcW w:w="1530" w:type="dxa"/>
            <w:shd w:val="clear" w:color="000000" w:fill="DBE5F1"/>
            <w:vAlign w:val="center"/>
          </w:tcPr>
          <w:p w:rsidR="004C74C2" w:rsidRPr="00B53423" w:rsidRDefault="004C74C2" w:rsidP="0015232B">
            <w:pPr>
              <w:spacing w:before="0" w:line="240" w:lineRule="auto"/>
              <w:jc w:val="center"/>
              <w:rPr>
                <w:rFonts w:asciiTheme="minorHAnsi" w:hAnsiTheme="minorHAnsi" w:cstheme="minorHAnsi"/>
                <w:b/>
                <w:bCs/>
                <w:lang w:val="en-US"/>
              </w:rPr>
            </w:pPr>
            <w:r w:rsidRPr="00B53423">
              <w:rPr>
                <w:rFonts w:asciiTheme="minorHAnsi" w:hAnsiTheme="minorHAnsi" w:cstheme="minorHAnsi"/>
                <w:b/>
                <w:bCs/>
                <w:lang w:val="en-US"/>
              </w:rPr>
              <w:t>Projected by Licensees for FY 2014-15</w:t>
            </w:r>
          </w:p>
        </w:tc>
        <w:tc>
          <w:tcPr>
            <w:tcW w:w="1260" w:type="dxa"/>
            <w:shd w:val="clear" w:color="000000" w:fill="DBE5F1"/>
            <w:noWrap/>
            <w:vAlign w:val="center"/>
            <w:hideMark/>
          </w:tcPr>
          <w:p w:rsidR="004C74C2" w:rsidRPr="00B53423" w:rsidRDefault="004C74C2" w:rsidP="0015232B">
            <w:pPr>
              <w:spacing w:before="0" w:line="240" w:lineRule="auto"/>
              <w:jc w:val="center"/>
              <w:rPr>
                <w:rFonts w:asciiTheme="minorHAnsi" w:hAnsiTheme="minorHAnsi" w:cstheme="minorHAnsi"/>
                <w:b/>
                <w:bCs/>
                <w:lang w:val="en-US"/>
              </w:rPr>
            </w:pPr>
            <w:r w:rsidRPr="00B53423">
              <w:rPr>
                <w:rFonts w:asciiTheme="minorHAnsi" w:hAnsiTheme="minorHAnsi" w:cstheme="minorHAnsi"/>
                <w:b/>
                <w:bCs/>
                <w:lang w:val="en-US"/>
              </w:rPr>
              <w:t>Approved in TO for FY 2013-14 (B)</w:t>
            </w:r>
          </w:p>
        </w:tc>
        <w:tc>
          <w:tcPr>
            <w:tcW w:w="1620" w:type="dxa"/>
            <w:shd w:val="clear" w:color="000000" w:fill="DBE5F1"/>
            <w:vAlign w:val="center"/>
            <w:hideMark/>
          </w:tcPr>
          <w:p w:rsidR="004C74C2" w:rsidRPr="00B53423" w:rsidRDefault="004C74C2"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Worked out with 8% Y-o-Y improvement FY 2014-15 (A)</w:t>
            </w:r>
          </w:p>
        </w:tc>
        <w:tc>
          <w:tcPr>
            <w:tcW w:w="1440" w:type="dxa"/>
            <w:shd w:val="clear" w:color="000000" w:fill="DBE5F1"/>
            <w:noWrap/>
            <w:vAlign w:val="center"/>
            <w:hideMark/>
          </w:tcPr>
          <w:p w:rsidR="004C74C2" w:rsidRPr="00B53423" w:rsidRDefault="004C74C2" w:rsidP="0015232B">
            <w:pPr>
              <w:spacing w:before="0" w:line="240" w:lineRule="auto"/>
              <w:jc w:val="center"/>
              <w:rPr>
                <w:rFonts w:asciiTheme="minorHAnsi" w:hAnsiTheme="minorHAnsi" w:cstheme="minorHAnsi"/>
                <w:b/>
                <w:bCs/>
                <w:lang w:val="en-US"/>
              </w:rPr>
            </w:pPr>
            <w:r w:rsidRPr="00B53423">
              <w:rPr>
                <w:rFonts w:asciiTheme="minorHAnsi" w:hAnsiTheme="minorHAnsi" w:cstheme="minorHAnsi"/>
                <w:b/>
                <w:bCs/>
                <w:lang w:val="en-US"/>
              </w:rPr>
              <w:t>Approved for FY 2014-15 (Minimum of A &amp; B)</w:t>
            </w:r>
          </w:p>
        </w:tc>
      </w:tr>
      <w:tr w:rsidR="004C74C2" w:rsidRPr="00B53423" w:rsidTr="009268E4">
        <w:trPr>
          <w:trHeight w:val="315"/>
        </w:trPr>
        <w:tc>
          <w:tcPr>
            <w:tcW w:w="1360" w:type="dxa"/>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KESCO</w:t>
            </w:r>
          </w:p>
        </w:tc>
        <w:tc>
          <w:tcPr>
            <w:tcW w:w="1345" w:type="dxa"/>
            <w:shd w:val="clear" w:color="auto" w:fill="auto"/>
            <w:vAlign w:val="center"/>
            <w:hideMark/>
          </w:tcPr>
          <w:p w:rsidR="004C74C2" w:rsidRPr="00B53423" w:rsidRDefault="004C74C2" w:rsidP="0015232B">
            <w:pPr>
              <w:spacing w:before="0" w:line="240" w:lineRule="auto"/>
              <w:jc w:val="center"/>
              <w:rPr>
                <w:rFonts w:asciiTheme="minorHAnsi" w:hAnsiTheme="minorHAnsi" w:cstheme="minorHAnsi"/>
                <w:lang w:val="en-US"/>
              </w:rPr>
            </w:pPr>
            <w:r w:rsidRPr="00B53423">
              <w:rPr>
                <w:rFonts w:asciiTheme="minorHAnsi" w:hAnsiTheme="minorHAnsi" w:cstheme="minorHAnsi"/>
                <w:lang w:val="en-US"/>
              </w:rPr>
              <w:t>31.41%</w:t>
            </w:r>
          </w:p>
        </w:tc>
        <w:tc>
          <w:tcPr>
            <w:tcW w:w="1530" w:type="dxa"/>
            <w:vAlign w:val="center"/>
          </w:tcPr>
          <w:p w:rsidR="004C74C2" w:rsidRPr="00B53423" w:rsidRDefault="004C74C2" w:rsidP="0015232B">
            <w:pPr>
              <w:spacing w:before="0" w:line="240" w:lineRule="auto"/>
              <w:jc w:val="center"/>
              <w:rPr>
                <w:rFonts w:asciiTheme="minorHAnsi" w:hAnsiTheme="minorHAnsi" w:cstheme="minorHAnsi"/>
                <w:lang w:val="en-US"/>
              </w:rPr>
            </w:pPr>
            <w:r w:rsidRPr="00B53423">
              <w:rPr>
                <w:rFonts w:asciiTheme="minorHAnsi" w:hAnsiTheme="minorHAnsi" w:cstheme="minorHAnsi"/>
                <w:lang w:val="en-US"/>
              </w:rPr>
              <w:t>30.17%</w:t>
            </w:r>
          </w:p>
        </w:tc>
        <w:tc>
          <w:tcPr>
            <w:tcW w:w="1260" w:type="dxa"/>
            <w:shd w:val="clear" w:color="auto" w:fill="auto"/>
            <w:vAlign w:val="bottom"/>
            <w:hideMark/>
          </w:tcPr>
          <w:p w:rsidR="004C74C2" w:rsidRPr="00B53423" w:rsidRDefault="004C74C2" w:rsidP="0015232B">
            <w:pPr>
              <w:spacing w:before="0" w:line="240" w:lineRule="auto"/>
              <w:jc w:val="center"/>
              <w:rPr>
                <w:rFonts w:asciiTheme="minorHAnsi" w:hAnsiTheme="minorHAnsi" w:cstheme="minorHAnsi"/>
                <w:lang w:val="en-US"/>
              </w:rPr>
            </w:pPr>
            <w:r w:rsidRPr="00B53423">
              <w:rPr>
                <w:rFonts w:asciiTheme="minorHAnsi" w:hAnsiTheme="minorHAnsi" w:cstheme="minorHAnsi"/>
                <w:lang w:val="en-US"/>
              </w:rPr>
              <w:t>23.00%</w:t>
            </w:r>
          </w:p>
        </w:tc>
        <w:tc>
          <w:tcPr>
            <w:tcW w:w="1620" w:type="dxa"/>
            <w:shd w:val="clear" w:color="auto" w:fill="auto"/>
            <w:noWrap/>
            <w:vAlign w:val="bottom"/>
            <w:hideMark/>
          </w:tcPr>
          <w:p w:rsidR="004C74C2" w:rsidRPr="00B53423" w:rsidRDefault="004C74C2" w:rsidP="0015232B">
            <w:pPr>
              <w:spacing w:before="0" w:line="240" w:lineRule="auto"/>
              <w:jc w:val="center"/>
              <w:rPr>
                <w:rFonts w:asciiTheme="minorHAnsi" w:hAnsiTheme="minorHAnsi" w:cstheme="minorHAnsi"/>
                <w:lang w:val="en-US"/>
              </w:rPr>
            </w:pPr>
            <w:r w:rsidRPr="00B53423">
              <w:rPr>
                <w:rFonts w:asciiTheme="minorHAnsi" w:hAnsiTheme="minorHAnsi" w:cstheme="minorHAnsi"/>
                <w:lang w:val="en-US"/>
              </w:rPr>
              <w:t>26.59%</w:t>
            </w:r>
          </w:p>
        </w:tc>
        <w:tc>
          <w:tcPr>
            <w:tcW w:w="1440" w:type="dxa"/>
            <w:shd w:val="clear" w:color="auto" w:fill="auto"/>
            <w:vAlign w:val="bottom"/>
            <w:hideMark/>
          </w:tcPr>
          <w:p w:rsidR="004C74C2" w:rsidRPr="00B53423" w:rsidRDefault="004C74C2" w:rsidP="0015232B">
            <w:pPr>
              <w:spacing w:before="0" w:line="240" w:lineRule="auto"/>
              <w:jc w:val="center"/>
              <w:rPr>
                <w:rFonts w:asciiTheme="minorHAnsi" w:hAnsiTheme="minorHAnsi" w:cstheme="minorHAnsi"/>
                <w:lang w:val="en-US"/>
              </w:rPr>
            </w:pPr>
            <w:r w:rsidRPr="00B53423">
              <w:rPr>
                <w:rFonts w:asciiTheme="minorHAnsi" w:hAnsiTheme="minorHAnsi" w:cstheme="minorHAnsi"/>
                <w:lang w:val="en-US"/>
              </w:rPr>
              <w:t>23.00%</w:t>
            </w:r>
          </w:p>
        </w:tc>
      </w:tr>
    </w:tbl>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energy balance for FY 2014-15 submitted by the Petitioner and that approved by the Commission is given in Table below:</w:t>
      </w:r>
      <w:bookmarkEnd w:id="607"/>
      <w:bookmarkEnd w:id="608"/>
    </w:p>
    <w:p w:rsidR="004C74C2" w:rsidRPr="00B53423" w:rsidRDefault="004C74C2" w:rsidP="0015232B">
      <w:pPr>
        <w:spacing w:before="0" w:line="240" w:lineRule="auto"/>
        <w:jc w:val="left"/>
        <w:rPr>
          <w:b/>
          <w:bCs/>
          <w:szCs w:val="20"/>
        </w:rPr>
      </w:pPr>
      <w:bookmarkStart w:id="613" w:name="_Ref325534563"/>
      <w:bookmarkStart w:id="614" w:name="_Toc338310674"/>
      <w:bookmarkStart w:id="615" w:name="_Toc338419504"/>
    </w:p>
    <w:p w:rsidR="004C74C2" w:rsidRPr="00B53423" w:rsidRDefault="004C74C2" w:rsidP="0015232B">
      <w:pPr>
        <w:pStyle w:val="Caption"/>
        <w:jc w:val="center"/>
      </w:pPr>
      <w:bookmarkStart w:id="616" w:name="_Ref395883328"/>
      <w:bookmarkStart w:id="617" w:name="_Toc357738731"/>
      <w:bookmarkStart w:id="618" w:name="_Toc399626418"/>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13</w:t>
      </w:r>
      <w:r w:rsidR="005D68E7" w:rsidRPr="00B53423">
        <w:fldChar w:fldCharType="end"/>
      </w:r>
      <w:bookmarkEnd w:id="613"/>
      <w:bookmarkEnd w:id="616"/>
      <w:r w:rsidRPr="00B53423">
        <w:t xml:space="preserve">: APPROVED ENERGY BALANCE FOR FY </w:t>
      </w:r>
      <w:bookmarkEnd w:id="614"/>
      <w:bookmarkEnd w:id="615"/>
      <w:r w:rsidRPr="00B53423">
        <w:t>201</w:t>
      </w:r>
      <w:bookmarkEnd w:id="617"/>
      <w:r w:rsidRPr="00B53423">
        <w:t>4-15</w:t>
      </w:r>
      <w:bookmarkEnd w:id="618"/>
    </w:p>
    <w:tbl>
      <w:tblPr>
        <w:tblW w:w="9129" w:type="dxa"/>
        <w:jc w:val="center"/>
        <w:tblInd w:w="-71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651"/>
        <w:gridCol w:w="1519"/>
        <w:gridCol w:w="1350"/>
        <w:gridCol w:w="1609"/>
      </w:tblGrid>
      <w:tr w:rsidR="004C74C2" w:rsidRPr="00B53423" w:rsidTr="00C12159">
        <w:trPr>
          <w:trHeight w:val="1223"/>
          <w:tblHeader/>
          <w:jc w:val="center"/>
        </w:trPr>
        <w:tc>
          <w:tcPr>
            <w:tcW w:w="4651" w:type="dxa"/>
            <w:shd w:val="clear" w:color="000000" w:fill="DBE5F1"/>
            <w:noWrap/>
            <w:vAlign w:val="center"/>
            <w:hideMark/>
          </w:tcPr>
          <w:p w:rsidR="004C74C2" w:rsidRPr="00B53423" w:rsidRDefault="004C74C2" w:rsidP="0015232B">
            <w:pPr>
              <w:spacing w:before="0" w:line="240" w:lineRule="auto"/>
              <w:jc w:val="center"/>
              <w:rPr>
                <w:rFonts w:asciiTheme="minorHAnsi" w:hAnsiTheme="minorHAnsi" w:cstheme="minorHAnsi"/>
                <w:b/>
                <w:bCs/>
                <w:color w:val="000000"/>
                <w:lang w:val="en-IN" w:eastAsia="en-IN"/>
              </w:rPr>
            </w:pPr>
            <w:r w:rsidRPr="00B53423">
              <w:rPr>
                <w:rFonts w:asciiTheme="minorHAnsi" w:hAnsiTheme="minorHAnsi" w:cstheme="minorHAnsi"/>
                <w:b/>
                <w:bCs/>
                <w:color w:val="000000"/>
                <w:lang w:val="en-IN" w:eastAsia="en-IN"/>
              </w:rPr>
              <w:t>Particulars</w:t>
            </w:r>
          </w:p>
        </w:tc>
        <w:tc>
          <w:tcPr>
            <w:tcW w:w="1519" w:type="dxa"/>
            <w:shd w:val="clear" w:color="000000" w:fill="DBE5F1"/>
            <w:vAlign w:val="center"/>
          </w:tcPr>
          <w:p w:rsidR="004C74C2" w:rsidRPr="00B53423" w:rsidRDefault="004C74C2" w:rsidP="0015232B">
            <w:pPr>
              <w:spacing w:before="0" w:line="240" w:lineRule="auto"/>
              <w:jc w:val="center"/>
              <w:rPr>
                <w:rFonts w:asciiTheme="minorHAnsi" w:hAnsiTheme="minorHAnsi" w:cstheme="minorHAnsi"/>
                <w:b/>
                <w:bCs/>
                <w:color w:val="000000"/>
                <w:lang w:val="en-IN" w:eastAsia="en-IN"/>
              </w:rPr>
            </w:pPr>
            <w:r w:rsidRPr="00B53423">
              <w:rPr>
                <w:rFonts w:asciiTheme="minorHAnsi" w:hAnsiTheme="minorHAnsi" w:cstheme="minorHAnsi"/>
                <w:b/>
                <w:bCs/>
                <w:color w:val="000000"/>
                <w:lang w:val="en-IN" w:eastAsia="en-IN"/>
              </w:rPr>
              <w:t>ARR Petition</w:t>
            </w:r>
          </w:p>
        </w:tc>
        <w:tc>
          <w:tcPr>
            <w:tcW w:w="1350" w:type="dxa"/>
            <w:shd w:val="clear" w:color="000000" w:fill="DBE5F1"/>
            <w:vAlign w:val="center"/>
            <w:hideMark/>
          </w:tcPr>
          <w:p w:rsidR="004C74C2" w:rsidRPr="00B53423" w:rsidRDefault="004C74C2" w:rsidP="0015232B">
            <w:pPr>
              <w:spacing w:before="0" w:line="240" w:lineRule="auto"/>
              <w:jc w:val="center"/>
              <w:rPr>
                <w:rFonts w:asciiTheme="minorHAnsi" w:hAnsiTheme="minorHAnsi" w:cstheme="minorHAnsi"/>
                <w:b/>
                <w:bCs/>
                <w:color w:val="000000"/>
                <w:kern w:val="32"/>
                <w:lang w:val="en-IN" w:eastAsia="en-IN"/>
              </w:rPr>
            </w:pPr>
            <w:r w:rsidRPr="00B53423">
              <w:rPr>
                <w:rFonts w:asciiTheme="minorHAnsi" w:hAnsiTheme="minorHAnsi" w:cstheme="minorHAnsi"/>
                <w:b/>
                <w:bCs/>
                <w:color w:val="000000"/>
                <w:lang w:val="en-IN" w:eastAsia="en-IN"/>
              </w:rPr>
              <w:t>Approved for KESCO</w:t>
            </w:r>
          </w:p>
        </w:tc>
        <w:tc>
          <w:tcPr>
            <w:tcW w:w="1609" w:type="dxa"/>
            <w:shd w:val="clear" w:color="000000" w:fill="DBE5F1"/>
            <w:vAlign w:val="center"/>
          </w:tcPr>
          <w:p w:rsidR="004C74C2" w:rsidRPr="00B53423" w:rsidRDefault="004C74C2" w:rsidP="0015232B">
            <w:pPr>
              <w:spacing w:before="0" w:line="240" w:lineRule="auto"/>
              <w:jc w:val="center"/>
              <w:rPr>
                <w:rFonts w:asciiTheme="minorHAnsi" w:hAnsiTheme="minorHAnsi" w:cstheme="minorHAnsi"/>
                <w:b/>
                <w:bCs/>
                <w:color w:val="000000"/>
                <w:lang w:val="en-IN" w:eastAsia="en-IN"/>
              </w:rPr>
            </w:pPr>
            <w:r w:rsidRPr="00B53423">
              <w:rPr>
                <w:rFonts w:asciiTheme="minorHAnsi" w:hAnsiTheme="minorHAnsi" w:cstheme="minorHAnsi"/>
                <w:b/>
                <w:bCs/>
                <w:color w:val="000000"/>
                <w:lang w:val="en-IN" w:eastAsia="en-IN"/>
              </w:rPr>
              <w:t>Approved for Consolidated State Sector *</w:t>
            </w:r>
          </w:p>
        </w:tc>
      </w:tr>
      <w:tr w:rsidR="004C74C2" w:rsidRPr="00B53423" w:rsidTr="009268E4">
        <w:trPr>
          <w:trHeight w:val="306"/>
          <w:jc w:val="center"/>
        </w:trPr>
        <w:tc>
          <w:tcPr>
            <w:tcW w:w="4651" w:type="dxa"/>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Retail Sales (MU)</w:t>
            </w:r>
          </w:p>
        </w:tc>
        <w:tc>
          <w:tcPr>
            <w:tcW w:w="1519" w:type="dxa"/>
            <w:vAlign w:val="bottom"/>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2711.23</w:t>
            </w:r>
          </w:p>
        </w:tc>
        <w:tc>
          <w:tcPr>
            <w:tcW w:w="1350" w:type="dxa"/>
            <w:shd w:val="clear" w:color="auto" w:fill="auto"/>
            <w:noWrap/>
            <w:vAlign w:val="center"/>
            <w:hideMark/>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 xml:space="preserve"> 2,474.67 </w:t>
            </w:r>
          </w:p>
        </w:tc>
        <w:tc>
          <w:tcPr>
            <w:tcW w:w="1609" w:type="dxa"/>
            <w:vAlign w:val="center"/>
          </w:tcPr>
          <w:p w:rsidR="004C74C2" w:rsidRPr="00B53423" w:rsidRDefault="004C74C2" w:rsidP="0015232B">
            <w:pPr>
              <w:spacing w:before="0" w:line="240" w:lineRule="auto"/>
              <w:ind w:right="241"/>
              <w:jc w:val="right"/>
              <w:rPr>
                <w:rFonts w:asciiTheme="minorHAnsi" w:hAnsiTheme="minorHAnsi" w:cstheme="minorHAnsi"/>
              </w:rPr>
            </w:pPr>
            <w:r w:rsidRPr="00B53423">
              <w:rPr>
                <w:rFonts w:asciiTheme="minorHAnsi" w:hAnsiTheme="minorHAnsi" w:cstheme="minorHAnsi"/>
              </w:rPr>
              <w:t xml:space="preserve">63,183.13 </w:t>
            </w:r>
          </w:p>
        </w:tc>
      </w:tr>
      <w:tr w:rsidR="004C74C2" w:rsidRPr="00B53423" w:rsidTr="009268E4">
        <w:trPr>
          <w:trHeight w:val="306"/>
          <w:jc w:val="center"/>
        </w:trPr>
        <w:tc>
          <w:tcPr>
            <w:tcW w:w="4651" w:type="dxa"/>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Bulk Sales (MU)</w:t>
            </w:r>
          </w:p>
        </w:tc>
        <w:tc>
          <w:tcPr>
            <w:tcW w:w="1519" w:type="dxa"/>
            <w:vAlign w:val="bottom"/>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 </w:t>
            </w:r>
          </w:p>
        </w:tc>
        <w:tc>
          <w:tcPr>
            <w:tcW w:w="1350" w:type="dxa"/>
            <w:shd w:val="clear" w:color="auto" w:fill="auto"/>
            <w:noWrap/>
            <w:vAlign w:val="center"/>
            <w:hideMark/>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 </w:t>
            </w:r>
          </w:p>
        </w:tc>
        <w:tc>
          <w:tcPr>
            <w:tcW w:w="1609" w:type="dxa"/>
            <w:vAlign w:val="center"/>
          </w:tcPr>
          <w:p w:rsidR="004C74C2" w:rsidRPr="00B53423" w:rsidRDefault="004C74C2" w:rsidP="0015232B">
            <w:pPr>
              <w:spacing w:before="0" w:line="240" w:lineRule="auto"/>
              <w:ind w:right="241"/>
              <w:jc w:val="right"/>
              <w:rPr>
                <w:rFonts w:asciiTheme="minorHAnsi" w:hAnsiTheme="minorHAnsi" w:cstheme="minorHAnsi"/>
              </w:rPr>
            </w:pPr>
            <w:r w:rsidRPr="00B53423">
              <w:rPr>
                <w:rFonts w:asciiTheme="minorHAnsi" w:hAnsiTheme="minorHAnsi" w:cstheme="minorHAnsi"/>
              </w:rPr>
              <w:t> </w:t>
            </w:r>
          </w:p>
        </w:tc>
      </w:tr>
      <w:tr w:rsidR="004C74C2" w:rsidRPr="00B53423" w:rsidTr="009268E4">
        <w:trPr>
          <w:trHeight w:val="306"/>
          <w:jc w:val="center"/>
        </w:trPr>
        <w:tc>
          <w:tcPr>
            <w:tcW w:w="4651" w:type="dxa"/>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Distribution Losses (%)</w:t>
            </w:r>
          </w:p>
        </w:tc>
        <w:tc>
          <w:tcPr>
            <w:tcW w:w="1519" w:type="dxa"/>
            <w:vAlign w:val="bottom"/>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30.17%</w:t>
            </w:r>
          </w:p>
        </w:tc>
        <w:tc>
          <w:tcPr>
            <w:tcW w:w="1350" w:type="dxa"/>
            <w:shd w:val="clear" w:color="auto" w:fill="auto"/>
            <w:noWrap/>
            <w:vAlign w:val="center"/>
            <w:hideMark/>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23.00%</w:t>
            </w:r>
          </w:p>
        </w:tc>
        <w:tc>
          <w:tcPr>
            <w:tcW w:w="1609" w:type="dxa"/>
            <w:vAlign w:val="center"/>
          </w:tcPr>
          <w:p w:rsidR="004C74C2" w:rsidRPr="00B53423" w:rsidRDefault="004C74C2" w:rsidP="0015232B">
            <w:pPr>
              <w:spacing w:before="0" w:line="240" w:lineRule="auto"/>
              <w:ind w:right="241"/>
              <w:jc w:val="right"/>
              <w:rPr>
                <w:rFonts w:asciiTheme="minorHAnsi" w:hAnsiTheme="minorHAnsi" w:cstheme="minorHAnsi"/>
              </w:rPr>
            </w:pPr>
            <w:r w:rsidRPr="00B53423">
              <w:rPr>
                <w:rFonts w:asciiTheme="minorHAnsi" w:hAnsiTheme="minorHAnsi" w:cstheme="minorHAnsi"/>
              </w:rPr>
              <w:t>23.50%</w:t>
            </w:r>
          </w:p>
        </w:tc>
      </w:tr>
      <w:tr w:rsidR="004C74C2" w:rsidRPr="00B53423" w:rsidTr="009268E4">
        <w:trPr>
          <w:trHeight w:val="306"/>
          <w:jc w:val="center"/>
        </w:trPr>
        <w:tc>
          <w:tcPr>
            <w:tcW w:w="4651" w:type="dxa"/>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Energy at Discom Periphery for Retail Sales (MU)</w:t>
            </w:r>
          </w:p>
        </w:tc>
        <w:tc>
          <w:tcPr>
            <w:tcW w:w="1519" w:type="dxa"/>
            <w:vAlign w:val="bottom"/>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3882.42</w:t>
            </w:r>
          </w:p>
        </w:tc>
        <w:tc>
          <w:tcPr>
            <w:tcW w:w="1350" w:type="dxa"/>
            <w:shd w:val="clear" w:color="auto" w:fill="auto"/>
            <w:noWrap/>
            <w:vAlign w:val="center"/>
            <w:hideMark/>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 xml:space="preserve">3,213.85 </w:t>
            </w:r>
          </w:p>
        </w:tc>
        <w:tc>
          <w:tcPr>
            <w:tcW w:w="1609" w:type="dxa"/>
            <w:vAlign w:val="center"/>
          </w:tcPr>
          <w:p w:rsidR="004C74C2" w:rsidRPr="00B53423" w:rsidRDefault="004C74C2" w:rsidP="0015232B">
            <w:pPr>
              <w:spacing w:before="0" w:line="240" w:lineRule="auto"/>
              <w:ind w:right="241"/>
              <w:jc w:val="right"/>
              <w:rPr>
                <w:rFonts w:asciiTheme="minorHAnsi" w:hAnsiTheme="minorHAnsi" w:cstheme="minorHAnsi"/>
              </w:rPr>
            </w:pPr>
            <w:r w:rsidRPr="00B53423">
              <w:rPr>
                <w:rFonts w:asciiTheme="minorHAnsi" w:hAnsiTheme="minorHAnsi" w:cstheme="minorHAnsi"/>
              </w:rPr>
              <w:t xml:space="preserve">82,592.76 </w:t>
            </w:r>
          </w:p>
        </w:tc>
      </w:tr>
      <w:tr w:rsidR="004C74C2" w:rsidRPr="00B53423" w:rsidTr="009268E4">
        <w:trPr>
          <w:trHeight w:val="306"/>
          <w:jc w:val="center"/>
        </w:trPr>
        <w:tc>
          <w:tcPr>
            <w:tcW w:w="4651" w:type="dxa"/>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Inter-State Transmission Losses %</w:t>
            </w:r>
          </w:p>
        </w:tc>
        <w:tc>
          <w:tcPr>
            <w:tcW w:w="1519" w:type="dxa"/>
            <w:vAlign w:val="bottom"/>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3.67%</w:t>
            </w:r>
          </w:p>
        </w:tc>
        <w:tc>
          <w:tcPr>
            <w:tcW w:w="1350" w:type="dxa"/>
            <w:shd w:val="clear" w:color="auto" w:fill="auto"/>
            <w:noWrap/>
            <w:vAlign w:val="center"/>
            <w:hideMark/>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3.67%</w:t>
            </w:r>
          </w:p>
        </w:tc>
        <w:tc>
          <w:tcPr>
            <w:tcW w:w="1609" w:type="dxa"/>
            <w:vAlign w:val="center"/>
          </w:tcPr>
          <w:p w:rsidR="004C74C2" w:rsidRPr="00B53423" w:rsidRDefault="004C74C2" w:rsidP="0015232B">
            <w:pPr>
              <w:spacing w:before="0" w:line="240" w:lineRule="auto"/>
              <w:ind w:right="241"/>
              <w:jc w:val="right"/>
              <w:rPr>
                <w:rFonts w:asciiTheme="minorHAnsi" w:hAnsiTheme="minorHAnsi" w:cstheme="minorHAnsi"/>
              </w:rPr>
            </w:pPr>
            <w:r w:rsidRPr="00B53423">
              <w:rPr>
                <w:rFonts w:asciiTheme="minorHAnsi" w:hAnsiTheme="minorHAnsi" w:cstheme="minorHAnsi"/>
              </w:rPr>
              <w:t>3.67%</w:t>
            </w:r>
          </w:p>
        </w:tc>
      </w:tr>
      <w:tr w:rsidR="004C74C2" w:rsidRPr="00B53423" w:rsidTr="009268E4">
        <w:trPr>
          <w:trHeight w:val="306"/>
          <w:jc w:val="center"/>
        </w:trPr>
        <w:tc>
          <w:tcPr>
            <w:tcW w:w="4651" w:type="dxa"/>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lang w:val="en-IN" w:eastAsia="en-IN"/>
              </w:rPr>
            </w:pPr>
            <w:r w:rsidRPr="00B53423">
              <w:rPr>
                <w:rFonts w:asciiTheme="minorHAnsi" w:hAnsiTheme="minorHAnsi" w:cstheme="minorHAnsi"/>
                <w:lang w:val="en-IN" w:eastAsia="en-IN"/>
              </w:rPr>
              <w:t>Energy Available at State periphery for Transmission(MU)</w:t>
            </w:r>
          </w:p>
        </w:tc>
        <w:tc>
          <w:tcPr>
            <w:tcW w:w="1519" w:type="dxa"/>
            <w:vAlign w:val="center"/>
          </w:tcPr>
          <w:p w:rsidR="004C74C2" w:rsidRPr="00B53423" w:rsidRDefault="004C74C2" w:rsidP="0015232B">
            <w:pPr>
              <w:spacing w:before="0" w:line="240" w:lineRule="auto"/>
              <w:ind w:right="342"/>
              <w:jc w:val="right"/>
              <w:rPr>
                <w:rFonts w:asciiTheme="minorHAnsi" w:hAnsiTheme="minorHAnsi" w:cstheme="minorHAnsi"/>
              </w:rPr>
            </w:pPr>
            <w:r w:rsidRPr="00B53423">
              <w:rPr>
                <w:rFonts w:asciiTheme="minorHAnsi" w:hAnsiTheme="minorHAnsi" w:cstheme="minorHAnsi"/>
              </w:rPr>
              <w:t>4030.33</w:t>
            </w:r>
          </w:p>
        </w:tc>
        <w:tc>
          <w:tcPr>
            <w:tcW w:w="1350" w:type="dxa"/>
            <w:shd w:val="clear" w:color="auto" w:fill="auto"/>
            <w:noWrap/>
            <w:vAlign w:val="center"/>
            <w:hideMark/>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 xml:space="preserve">3,336.32 </w:t>
            </w:r>
          </w:p>
        </w:tc>
        <w:tc>
          <w:tcPr>
            <w:tcW w:w="1609" w:type="dxa"/>
            <w:vAlign w:val="center"/>
          </w:tcPr>
          <w:p w:rsidR="004C74C2" w:rsidRPr="00B53423" w:rsidRDefault="004C74C2" w:rsidP="0015232B">
            <w:pPr>
              <w:spacing w:before="0" w:line="240" w:lineRule="auto"/>
              <w:ind w:right="241"/>
              <w:jc w:val="right"/>
              <w:rPr>
                <w:rFonts w:asciiTheme="minorHAnsi" w:hAnsiTheme="minorHAnsi" w:cstheme="minorHAnsi"/>
              </w:rPr>
            </w:pPr>
            <w:r w:rsidRPr="00B53423">
              <w:rPr>
                <w:rFonts w:asciiTheme="minorHAnsi" w:hAnsiTheme="minorHAnsi" w:cstheme="minorHAnsi"/>
              </w:rPr>
              <w:t xml:space="preserve">85,739.90 </w:t>
            </w:r>
          </w:p>
        </w:tc>
      </w:tr>
      <w:tr w:rsidR="004C74C2" w:rsidRPr="00B53423" w:rsidTr="009268E4">
        <w:trPr>
          <w:trHeight w:val="306"/>
          <w:jc w:val="center"/>
        </w:trPr>
        <w:tc>
          <w:tcPr>
            <w:tcW w:w="4651" w:type="dxa"/>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lang w:val="en-IN" w:eastAsia="en-IN"/>
              </w:rPr>
            </w:pPr>
            <w:r w:rsidRPr="00B53423">
              <w:rPr>
                <w:rFonts w:asciiTheme="minorHAnsi" w:hAnsiTheme="minorHAnsi" w:cstheme="minorHAnsi"/>
                <w:lang w:val="en-IN" w:eastAsia="en-IN"/>
              </w:rPr>
              <w:t>Inter-State Transmission Losses (%)</w:t>
            </w:r>
          </w:p>
        </w:tc>
        <w:tc>
          <w:tcPr>
            <w:tcW w:w="1519" w:type="dxa"/>
            <w:vAlign w:val="center"/>
          </w:tcPr>
          <w:p w:rsidR="004C74C2" w:rsidRPr="00B53423" w:rsidRDefault="004C74C2" w:rsidP="0015232B">
            <w:pPr>
              <w:spacing w:before="0" w:line="240" w:lineRule="auto"/>
              <w:ind w:right="342"/>
              <w:jc w:val="right"/>
              <w:rPr>
                <w:rFonts w:asciiTheme="minorHAnsi" w:hAnsiTheme="minorHAnsi" w:cstheme="minorHAnsi"/>
              </w:rPr>
            </w:pPr>
            <w:r w:rsidRPr="00B53423">
              <w:rPr>
                <w:rFonts w:asciiTheme="minorHAnsi" w:hAnsiTheme="minorHAnsi" w:cstheme="minorHAnsi"/>
              </w:rPr>
              <w:t>1.65%</w:t>
            </w:r>
          </w:p>
        </w:tc>
        <w:tc>
          <w:tcPr>
            <w:tcW w:w="1350" w:type="dxa"/>
            <w:shd w:val="clear" w:color="auto" w:fill="auto"/>
            <w:noWrap/>
            <w:vAlign w:val="center"/>
            <w:hideMark/>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1.65%</w:t>
            </w:r>
          </w:p>
        </w:tc>
        <w:tc>
          <w:tcPr>
            <w:tcW w:w="1609" w:type="dxa"/>
            <w:vAlign w:val="center"/>
          </w:tcPr>
          <w:p w:rsidR="004C74C2" w:rsidRPr="00B53423" w:rsidRDefault="004C74C2" w:rsidP="0015232B">
            <w:pPr>
              <w:spacing w:before="0" w:line="240" w:lineRule="auto"/>
              <w:ind w:right="241"/>
              <w:jc w:val="right"/>
              <w:rPr>
                <w:rFonts w:asciiTheme="minorHAnsi" w:hAnsiTheme="minorHAnsi" w:cstheme="minorHAnsi"/>
              </w:rPr>
            </w:pPr>
            <w:r w:rsidRPr="00B53423">
              <w:rPr>
                <w:rFonts w:asciiTheme="minorHAnsi" w:hAnsiTheme="minorHAnsi" w:cstheme="minorHAnsi"/>
              </w:rPr>
              <w:t>1.65%</w:t>
            </w:r>
          </w:p>
        </w:tc>
      </w:tr>
      <w:tr w:rsidR="004C74C2" w:rsidRPr="00B53423" w:rsidTr="009268E4">
        <w:trPr>
          <w:trHeight w:val="306"/>
          <w:jc w:val="center"/>
        </w:trPr>
        <w:tc>
          <w:tcPr>
            <w:tcW w:w="4651" w:type="dxa"/>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lang w:val="en-IN" w:eastAsia="en-IN"/>
              </w:rPr>
            </w:pPr>
            <w:r w:rsidRPr="00B53423">
              <w:rPr>
                <w:rFonts w:asciiTheme="minorHAnsi" w:hAnsiTheme="minorHAnsi" w:cstheme="minorHAnsi"/>
                <w:lang w:val="en-IN" w:eastAsia="en-IN"/>
              </w:rPr>
              <w:t>Purchases Required &amp; Billed Energy (MU)</w:t>
            </w:r>
          </w:p>
        </w:tc>
        <w:tc>
          <w:tcPr>
            <w:tcW w:w="1519" w:type="dxa"/>
            <w:vAlign w:val="center"/>
          </w:tcPr>
          <w:p w:rsidR="004C74C2" w:rsidRPr="00B53423" w:rsidRDefault="004C74C2" w:rsidP="0015232B">
            <w:pPr>
              <w:spacing w:before="0" w:line="240" w:lineRule="auto"/>
              <w:ind w:right="342"/>
              <w:jc w:val="right"/>
              <w:rPr>
                <w:rFonts w:asciiTheme="minorHAnsi" w:hAnsiTheme="minorHAnsi" w:cstheme="minorHAnsi"/>
              </w:rPr>
            </w:pPr>
            <w:r w:rsidRPr="00B53423">
              <w:rPr>
                <w:rFonts w:asciiTheme="minorHAnsi" w:hAnsiTheme="minorHAnsi" w:cstheme="minorHAnsi"/>
              </w:rPr>
              <w:t>4097.95</w:t>
            </w:r>
          </w:p>
        </w:tc>
        <w:tc>
          <w:tcPr>
            <w:tcW w:w="1350" w:type="dxa"/>
            <w:shd w:val="clear" w:color="auto" w:fill="auto"/>
            <w:noWrap/>
            <w:vAlign w:val="center"/>
            <w:hideMark/>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 xml:space="preserve">3,392.29 </w:t>
            </w:r>
          </w:p>
        </w:tc>
        <w:tc>
          <w:tcPr>
            <w:tcW w:w="1609" w:type="dxa"/>
            <w:vAlign w:val="center"/>
          </w:tcPr>
          <w:p w:rsidR="004C74C2" w:rsidRPr="00B53423" w:rsidRDefault="004C74C2" w:rsidP="0015232B">
            <w:pPr>
              <w:spacing w:before="0" w:line="240" w:lineRule="auto"/>
              <w:ind w:right="241"/>
              <w:jc w:val="right"/>
              <w:rPr>
                <w:rFonts w:asciiTheme="minorHAnsi" w:hAnsiTheme="minorHAnsi" w:cstheme="minorHAnsi"/>
              </w:rPr>
            </w:pPr>
            <w:r w:rsidRPr="00B53423">
              <w:rPr>
                <w:rFonts w:asciiTheme="minorHAnsi" w:hAnsiTheme="minorHAnsi" w:cstheme="minorHAnsi"/>
              </w:rPr>
              <w:t xml:space="preserve">87,178.35 </w:t>
            </w:r>
          </w:p>
        </w:tc>
      </w:tr>
      <w:tr w:rsidR="004C74C2" w:rsidRPr="00B53423" w:rsidTr="009268E4">
        <w:trPr>
          <w:trHeight w:val="306"/>
          <w:jc w:val="center"/>
        </w:trPr>
        <w:tc>
          <w:tcPr>
            <w:tcW w:w="4651" w:type="dxa"/>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color w:val="000000"/>
                <w:lang w:val="en-IN" w:eastAsia="en-IN"/>
              </w:rPr>
            </w:pPr>
            <w:r w:rsidRPr="00B53423">
              <w:rPr>
                <w:rFonts w:asciiTheme="minorHAnsi" w:hAnsiTheme="minorHAnsi" w:cstheme="minorHAnsi"/>
                <w:color w:val="000000"/>
                <w:lang w:val="en-IN" w:eastAsia="en-IN"/>
              </w:rPr>
              <w:t>Total Inter &amp; Intra State Transmission Losses (%)</w:t>
            </w:r>
          </w:p>
        </w:tc>
        <w:tc>
          <w:tcPr>
            <w:tcW w:w="1519" w:type="dxa"/>
            <w:vAlign w:val="bottom"/>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5.26%</w:t>
            </w:r>
          </w:p>
        </w:tc>
        <w:tc>
          <w:tcPr>
            <w:tcW w:w="1350" w:type="dxa"/>
            <w:shd w:val="clear" w:color="auto" w:fill="auto"/>
            <w:noWrap/>
            <w:vAlign w:val="center"/>
            <w:hideMark/>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5.26%</w:t>
            </w:r>
          </w:p>
        </w:tc>
        <w:tc>
          <w:tcPr>
            <w:tcW w:w="1609" w:type="dxa"/>
            <w:vAlign w:val="center"/>
          </w:tcPr>
          <w:p w:rsidR="004C74C2" w:rsidRPr="00B53423" w:rsidRDefault="004C74C2" w:rsidP="0015232B">
            <w:pPr>
              <w:spacing w:before="0" w:line="240" w:lineRule="auto"/>
              <w:ind w:right="241"/>
              <w:jc w:val="right"/>
              <w:rPr>
                <w:rFonts w:asciiTheme="minorHAnsi" w:hAnsiTheme="minorHAnsi" w:cstheme="minorHAnsi"/>
              </w:rPr>
            </w:pPr>
            <w:r w:rsidRPr="00B53423">
              <w:rPr>
                <w:rFonts w:asciiTheme="minorHAnsi" w:hAnsiTheme="minorHAnsi" w:cstheme="minorHAnsi"/>
              </w:rPr>
              <w:t>5.26%</w:t>
            </w:r>
          </w:p>
        </w:tc>
      </w:tr>
      <w:tr w:rsidR="004C74C2" w:rsidRPr="00B53423" w:rsidTr="009268E4">
        <w:trPr>
          <w:trHeight w:val="306"/>
          <w:jc w:val="center"/>
        </w:trPr>
        <w:tc>
          <w:tcPr>
            <w:tcW w:w="4651" w:type="dxa"/>
            <w:shd w:val="clear" w:color="auto" w:fill="auto"/>
            <w:noWrap/>
            <w:vAlign w:val="bottom"/>
            <w:hideMark/>
          </w:tcPr>
          <w:p w:rsidR="004C74C2" w:rsidRPr="00B53423" w:rsidRDefault="004C74C2" w:rsidP="0015232B">
            <w:pPr>
              <w:spacing w:before="0" w:line="240" w:lineRule="auto"/>
              <w:jc w:val="left"/>
              <w:rPr>
                <w:rFonts w:asciiTheme="minorHAnsi" w:hAnsiTheme="minorHAnsi" w:cstheme="minorHAnsi"/>
                <w:bCs/>
                <w:color w:val="000000"/>
                <w:lang w:val="en-IN" w:eastAsia="en-IN"/>
              </w:rPr>
            </w:pPr>
            <w:r w:rsidRPr="00B53423">
              <w:rPr>
                <w:rFonts w:asciiTheme="minorHAnsi" w:hAnsiTheme="minorHAnsi" w:cstheme="minorHAnsi"/>
                <w:bCs/>
                <w:color w:val="000000"/>
                <w:lang w:val="en-IN" w:eastAsia="en-IN"/>
              </w:rPr>
              <w:t xml:space="preserve">Total T&amp;D Losses in Retail Sales </w:t>
            </w:r>
            <w:r w:rsidR="00C12159" w:rsidRPr="00B53423">
              <w:rPr>
                <w:rFonts w:asciiTheme="minorHAnsi" w:hAnsiTheme="minorHAnsi" w:cstheme="minorHAnsi"/>
                <w:bCs/>
                <w:color w:val="000000"/>
                <w:lang w:val="en-IN" w:eastAsia="en-IN"/>
              </w:rPr>
              <w:t>(MU)</w:t>
            </w:r>
            <w:proofErr w:type="gramStart"/>
            <w:r w:rsidR="00C12159" w:rsidRPr="00B53423">
              <w:rPr>
                <w:rFonts w:asciiTheme="minorHAnsi" w:hAnsiTheme="minorHAnsi" w:cstheme="minorHAnsi"/>
                <w:bCs/>
                <w:color w:val="000000"/>
                <w:lang w:val="en-IN" w:eastAsia="en-IN"/>
              </w:rPr>
              <w:t>/</w:t>
            </w:r>
            <w:r w:rsidRPr="00B53423">
              <w:rPr>
                <w:rFonts w:asciiTheme="minorHAnsi" w:hAnsiTheme="minorHAnsi" w:cstheme="minorHAnsi"/>
                <w:bCs/>
                <w:color w:val="000000"/>
                <w:lang w:val="en-IN" w:eastAsia="en-IN"/>
              </w:rPr>
              <w:t>(</w:t>
            </w:r>
            <w:proofErr w:type="gramEnd"/>
            <w:r w:rsidRPr="00B53423">
              <w:rPr>
                <w:rFonts w:asciiTheme="minorHAnsi" w:hAnsiTheme="minorHAnsi" w:cstheme="minorHAnsi"/>
                <w:bCs/>
                <w:color w:val="000000"/>
                <w:lang w:val="en-IN" w:eastAsia="en-IN"/>
              </w:rPr>
              <w:t>%)</w:t>
            </w:r>
          </w:p>
        </w:tc>
        <w:tc>
          <w:tcPr>
            <w:tcW w:w="1519" w:type="dxa"/>
            <w:vAlign w:val="center"/>
          </w:tcPr>
          <w:p w:rsidR="004C74C2" w:rsidRPr="00B53423" w:rsidRDefault="004C74C2" w:rsidP="0015232B">
            <w:pPr>
              <w:spacing w:before="0" w:line="240" w:lineRule="auto"/>
              <w:ind w:right="342"/>
              <w:jc w:val="right"/>
              <w:rPr>
                <w:rFonts w:asciiTheme="minorHAnsi" w:hAnsiTheme="minorHAnsi" w:cstheme="minorHAnsi"/>
              </w:rPr>
            </w:pPr>
            <w:r w:rsidRPr="00B53423">
              <w:rPr>
                <w:rFonts w:asciiTheme="minorHAnsi" w:hAnsiTheme="minorHAnsi" w:cstheme="minorHAnsi"/>
              </w:rPr>
              <w:t>33.84%</w:t>
            </w:r>
          </w:p>
        </w:tc>
        <w:tc>
          <w:tcPr>
            <w:tcW w:w="1350" w:type="dxa"/>
            <w:shd w:val="clear" w:color="auto" w:fill="auto"/>
            <w:noWrap/>
            <w:vAlign w:val="center"/>
            <w:hideMark/>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 xml:space="preserve">      917.62 </w:t>
            </w:r>
          </w:p>
        </w:tc>
        <w:tc>
          <w:tcPr>
            <w:tcW w:w="1609" w:type="dxa"/>
            <w:vAlign w:val="center"/>
          </w:tcPr>
          <w:p w:rsidR="004C74C2" w:rsidRPr="00B53423" w:rsidRDefault="004C74C2" w:rsidP="0015232B">
            <w:pPr>
              <w:spacing w:before="0" w:line="240" w:lineRule="auto"/>
              <w:ind w:right="241"/>
              <w:jc w:val="right"/>
              <w:rPr>
                <w:rFonts w:asciiTheme="minorHAnsi" w:hAnsiTheme="minorHAnsi" w:cstheme="minorHAnsi"/>
              </w:rPr>
            </w:pPr>
            <w:r w:rsidRPr="00B53423">
              <w:rPr>
                <w:rFonts w:asciiTheme="minorHAnsi" w:hAnsiTheme="minorHAnsi" w:cstheme="minorHAnsi"/>
              </w:rPr>
              <w:t>27.52%</w:t>
            </w:r>
          </w:p>
        </w:tc>
      </w:tr>
    </w:tbl>
    <w:p w:rsidR="004C74C2" w:rsidRPr="00B53423" w:rsidRDefault="004C74C2" w:rsidP="0015232B">
      <w:pPr>
        <w:spacing w:before="0"/>
        <w:jc w:val="left"/>
        <w:rPr>
          <w:i/>
          <w:sz w:val="22"/>
        </w:rPr>
      </w:pPr>
      <w:r w:rsidRPr="00B53423">
        <w:rPr>
          <w:i/>
          <w:sz w:val="22"/>
        </w:rPr>
        <w:t xml:space="preserve">  *Consolidated State Sector includes DVVNL, MVVNL, PVVNL, PuVVNL and KESCO</w:t>
      </w:r>
    </w:p>
    <w:p w:rsidR="004C74C2" w:rsidRPr="00B53423" w:rsidRDefault="004C74C2" w:rsidP="0015232B">
      <w:pPr>
        <w:spacing w:before="0"/>
        <w:jc w:val="left"/>
        <w:rPr>
          <w:i/>
          <w:sz w:val="22"/>
        </w:rPr>
      </w:pPr>
    </w:p>
    <w:p w:rsidR="004C74C2" w:rsidRPr="00B53423" w:rsidRDefault="004C74C2" w:rsidP="0015232B">
      <w:pPr>
        <w:pStyle w:val="Heading3"/>
        <w:keepNext w:val="0"/>
        <w:ind w:hanging="1080"/>
      </w:pPr>
      <w:r w:rsidRPr="00B53423">
        <w:t xml:space="preserve">Although, the Commission has approved the above losses based on the review of actual performance of the Petitioner, the Commission feels that the same are still on a higher side. Further, considering that the number of unmetered consumers of KESCO is lower compared to other State Distribution Licensees, the distribution losses for KESCO should not be as high as 31.41%. Such exorbitant losses clearly indicate performance failure of the Petitioner.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Keeping in view the high distribution losses (both technical and commercial) of the State-owned Distribution Licensees, the Commission in its previous Tariff Orders has been consistently directing the Licensees to carry out the energy audit / loss estimation study with voltage-wise break up of distribution losses into technical loss and commercial loss. Further, the Licensees were also directed to keep the Commission abreast regarding the study to be undertaken, scope of work, methodology being adopted, whether the study is being undertaken departmentally or assistance of experts in the field is being availed, etc. Such directions given by the Commission in its last Tariff Order dated 31</w:t>
      </w:r>
      <w:r w:rsidRPr="00B53423">
        <w:rPr>
          <w:vertAlign w:val="superscript"/>
        </w:rPr>
        <w:t>st</w:t>
      </w:r>
      <w:r w:rsidRPr="00B53423">
        <w:t xml:space="preserve"> May, 2013 are reproduced below:</w:t>
      </w:r>
    </w:p>
    <w:p w:rsidR="004C74C2" w:rsidRPr="00B53423" w:rsidRDefault="004C74C2" w:rsidP="0015232B">
      <w:pPr>
        <w:pStyle w:val="ListParagraph"/>
        <w:ind w:left="1440"/>
        <w:rPr>
          <w:i/>
        </w:rPr>
      </w:pPr>
      <w:r w:rsidRPr="00B53423">
        <w:rPr>
          <w:i/>
        </w:rPr>
        <w:t>“The Commission directs the Licensee to conduct proper loss estimate studies for assessment of technical and commercial losses under its supervision so that the Commission may set the base line losses in accordance with Clause 3.2.3 and Clause 3.2.4 of the Distribution Tariff Regulations and submit the report to the Commission. The study shall segregate voltage-wise distribution losses into technical loss (i.e. Ohmic /Core loss in the lines, substations and equipment) and commercial loss (i.e. unaccounted energy due to metering inaccuracies/inadequacies, pilferage of energy, improper billing, no billing, unrealized revenues etc.).”</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However, because of various reasons, no such study has been carried out by the Licensees and in the absence of any authentic data, the Commission had been approving the distribution loss targets based on the loss target claimed by the Licensees.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Distribution losses and collection efficiency are the two critical parameters to evaluate the performance of a Distribution Licensee and have to be brought to the desired levels, based on sound and authentic data and study analysis</w:t>
      </w:r>
      <w:r w:rsidR="002A251F" w:rsidRPr="00B53423">
        <w:t>.</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Although, the Commission while doing the True</w:t>
      </w:r>
      <w:r w:rsidR="002A251F" w:rsidRPr="00B53423">
        <w:t>-</w:t>
      </w:r>
      <w:r w:rsidRPr="00B53423">
        <w:t xml:space="preserve">up of previous years has disallowed the excess power purchase cost on account of higher losses. It is important to note that such disallowance of the cost is borne by the Distribution Licensees and the officials responsible for not achieving the targets have no direct accountability. The Commission opines that this methodology of reducing the power purchase cost on account of distribution losses neither directly affect the officials responsible for achieving the target loss levels nor does it encourage the employees to strive for achieving the loss targets for the benefit of the utility.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Further, it is a common industry practice that the employees achieving or exceeding their targets are provided with bonuses / incentives. Such practice may be introduced for the officials of the Distribution Licensees so as to encourage them to assist the utilities to achieve the targeted losses / collections efficiency. The accountability of achieving the targets should be assigned to the responsible officials. </w:t>
      </w:r>
    </w:p>
    <w:p w:rsidR="004C74C2" w:rsidRPr="00B53423" w:rsidRDefault="004C74C2" w:rsidP="0015232B">
      <w:pPr>
        <w:pStyle w:val="ListParagraph"/>
      </w:pPr>
    </w:p>
    <w:p w:rsidR="004C74C2" w:rsidRPr="00B53423" w:rsidRDefault="004C74C2" w:rsidP="0015232B">
      <w:pPr>
        <w:pStyle w:val="Heading3"/>
        <w:keepNext w:val="0"/>
        <w:ind w:hanging="1080"/>
      </w:pPr>
      <w:bookmarkStart w:id="619" w:name="_Ref397182766"/>
      <w:r w:rsidRPr="00B53423">
        <w:t xml:space="preserve">In view of the above, the Commission </w:t>
      </w:r>
      <w:r w:rsidRPr="00B53423">
        <w:rPr>
          <w:b/>
        </w:rPr>
        <w:t>directs the Distribution Licensees to formulate a mechanism so as to make their officials accountable by providing incentives or disincentives for achievement or non-achievement of distribution loss and the collection efficiency targets.</w:t>
      </w:r>
      <w:r w:rsidRPr="00B53423">
        <w:t xml:space="preserve"> Further, such policy should also cover the following aspects:</w:t>
      </w:r>
      <w:bookmarkEnd w:id="619"/>
    </w:p>
    <w:p w:rsidR="004C74C2" w:rsidRPr="00B53423" w:rsidRDefault="004C74C2" w:rsidP="0015232B">
      <w:pPr>
        <w:pStyle w:val="Heading3"/>
        <w:keepNext w:val="0"/>
        <w:numPr>
          <w:ilvl w:val="0"/>
          <w:numId w:val="14"/>
        </w:numPr>
        <w:tabs>
          <w:tab w:val="left" w:pos="720"/>
        </w:tabs>
        <w:spacing w:before="120"/>
      </w:pPr>
      <w:r w:rsidRPr="00B53423">
        <w:t>Allocation of such distribution loss and collection efficiency targets to various responsible officials based on current level of losses and efficiency levels in their area / zone / circle / division / sub-station, etc.</w:t>
      </w:r>
    </w:p>
    <w:p w:rsidR="004C74C2" w:rsidRPr="00B53423" w:rsidRDefault="004C74C2" w:rsidP="0015232B">
      <w:pPr>
        <w:pStyle w:val="Heading3"/>
        <w:keepNext w:val="0"/>
        <w:numPr>
          <w:ilvl w:val="0"/>
          <w:numId w:val="14"/>
        </w:numPr>
        <w:tabs>
          <w:tab w:val="num" w:pos="720"/>
        </w:tabs>
        <w:spacing w:before="120"/>
      </w:pPr>
      <w:r w:rsidRPr="00B53423">
        <w:t>The system of MoU signed by concerned Officer(s) regarding distribution loss target, which can be based on input energy, billed energy / amount and collection efficiency, etc. - Fixing of accountability of the concerned personnel of the Utilities will help considerably in reduction of losses. This may include making the relevant field level personnel accountable and through monitoring of their performance, to achieve result in the form of reduction of losses. Similarly, holding officials responsible for Zone / Circle / Division / sub-station wise revenue related performance parameters such as reduction in arrears etc. will help the Distribution Licensees in improving the cash flows for day to day operations.</w:t>
      </w:r>
    </w:p>
    <w:p w:rsidR="004C74C2" w:rsidRPr="00B53423" w:rsidRDefault="004C74C2" w:rsidP="0015232B">
      <w:pPr>
        <w:pStyle w:val="Heading3"/>
        <w:keepNext w:val="0"/>
        <w:numPr>
          <w:ilvl w:val="0"/>
          <w:numId w:val="14"/>
        </w:numPr>
        <w:tabs>
          <w:tab w:val="num" w:pos="720"/>
        </w:tabs>
        <w:spacing w:before="120"/>
      </w:pPr>
      <w:r w:rsidRPr="00B53423">
        <w:t xml:space="preserve">Senior officials including Chairman UPPCL, Managing Director, UPPCL, Managing Directors of all State owned Distribution Utilities and all other </w:t>
      </w:r>
      <w:proofErr w:type="gramStart"/>
      <w:r w:rsidRPr="00B53423">
        <w:t>officials</w:t>
      </w:r>
      <w:proofErr w:type="gramEnd"/>
      <w:r w:rsidRPr="00B53423">
        <w:t xml:space="preserve"> upto Junior Engineer level as per the hierarchy shall be part of the process of signing of the above MoU.</w:t>
      </w:r>
    </w:p>
    <w:p w:rsidR="004C74C2" w:rsidRPr="00B53423" w:rsidRDefault="004C74C2" w:rsidP="0015232B">
      <w:pPr>
        <w:pStyle w:val="Heading3"/>
        <w:keepNext w:val="0"/>
        <w:numPr>
          <w:ilvl w:val="0"/>
          <w:numId w:val="14"/>
        </w:numPr>
        <w:tabs>
          <w:tab w:val="num" w:pos="720"/>
        </w:tabs>
        <w:spacing w:before="120"/>
      </w:pPr>
      <w:proofErr w:type="gramStart"/>
      <w:r w:rsidRPr="00B53423">
        <w:t>Formulation of clear mechanism for providing incentives or disincentives to the concerned officials.</w:t>
      </w:r>
      <w:proofErr w:type="gramEnd"/>
    </w:p>
    <w:p w:rsidR="004C74C2" w:rsidRPr="00B53423" w:rsidRDefault="004C74C2" w:rsidP="0015232B">
      <w:pPr>
        <w:pStyle w:val="Heading3"/>
        <w:keepNext w:val="0"/>
        <w:numPr>
          <w:ilvl w:val="0"/>
          <w:numId w:val="14"/>
        </w:numPr>
        <w:tabs>
          <w:tab w:val="num" w:pos="720"/>
        </w:tabs>
        <w:spacing w:before="120"/>
      </w:pPr>
      <w:proofErr w:type="gramStart"/>
      <w:r w:rsidRPr="00B53423">
        <w:t>Regular monitoring of the entire mechanism along with submission of monthly reports to the Commission.</w:t>
      </w:r>
      <w:proofErr w:type="gramEnd"/>
    </w:p>
    <w:p w:rsidR="004C74C2" w:rsidRPr="00B53423" w:rsidRDefault="004C74C2" w:rsidP="0015232B">
      <w:pPr>
        <w:pStyle w:val="Heading3"/>
        <w:keepNext w:val="0"/>
        <w:numPr>
          <w:ilvl w:val="0"/>
          <w:numId w:val="14"/>
        </w:numPr>
        <w:tabs>
          <w:tab w:val="left" w:pos="720"/>
        </w:tabs>
        <w:spacing w:before="120"/>
      </w:pPr>
      <w:r w:rsidRPr="00B53423">
        <w:t>Further, the organisational structure and management system of the Distribution Licensees are best understood by the Distribution Licensees, hence, it would be more appropriate that any other important aspect as deemed necessary by the Licensees may also be included in addition to the above.</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The Petitioner in its submissions on the In-House paper prepared by the Commission in this regards have also agreed to the Commission’s approach to get the MoU signed by its officials. </w:t>
      </w:r>
      <w:r w:rsidRPr="00B53423">
        <w:rPr>
          <w:b/>
        </w:rPr>
        <w:t>The Commission further directs the Petitioner to submit draft MoU to be implemented at all levels for the Commission’s consideration within one month of the issue of this Order</w:t>
      </w:r>
      <w:r w:rsidRPr="00B53423">
        <w:t>.</w:t>
      </w:r>
    </w:p>
    <w:p w:rsidR="004C74C2" w:rsidRPr="00B53423" w:rsidRDefault="004C74C2" w:rsidP="0015232B">
      <w:pPr>
        <w:pStyle w:val="Heading3"/>
        <w:keepNext w:val="0"/>
        <w:numPr>
          <w:ilvl w:val="0"/>
          <w:numId w:val="0"/>
        </w:numPr>
        <w:ind w:left="720"/>
      </w:pPr>
    </w:p>
    <w:p w:rsidR="004C74C2" w:rsidRPr="00B53423" w:rsidRDefault="004C74C2" w:rsidP="0015232B">
      <w:pPr>
        <w:spacing w:before="0"/>
        <w:jc w:val="center"/>
      </w:pPr>
    </w:p>
    <w:p w:rsidR="004C74C2" w:rsidRPr="00B53423" w:rsidRDefault="004C74C2" w:rsidP="0015232B">
      <w:pPr>
        <w:pStyle w:val="Heading2"/>
        <w:keepNext w:val="0"/>
        <w:ind w:left="720" w:hanging="1080"/>
      </w:pPr>
      <w:bookmarkStart w:id="620" w:name="_Toc356322590"/>
      <w:bookmarkStart w:id="621" w:name="_Toc323652116"/>
      <w:bookmarkStart w:id="622" w:name="_Toc356322595"/>
      <w:bookmarkStart w:id="623" w:name="_Toc357733324"/>
      <w:bookmarkStart w:id="624" w:name="_Toc399626222"/>
      <w:bookmarkEnd w:id="620"/>
      <w:r w:rsidRPr="00B53423">
        <w:t xml:space="preserve">ANNUAL REVENUE REQUIREMENT OF KESCO FOR FY </w:t>
      </w:r>
      <w:bookmarkEnd w:id="621"/>
      <w:bookmarkEnd w:id="622"/>
      <w:r w:rsidRPr="00B53423">
        <w:t>201</w:t>
      </w:r>
      <w:bookmarkEnd w:id="623"/>
      <w:r w:rsidRPr="00B53423">
        <w:t>4-15</w:t>
      </w:r>
      <w:bookmarkEnd w:id="624"/>
    </w:p>
    <w:p w:rsidR="004C74C2" w:rsidRPr="00B53423" w:rsidRDefault="004C74C2" w:rsidP="0015232B">
      <w:pPr>
        <w:pStyle w:val="Heading3"/>
        <w:keepNext w:val="0"/>
        <w:numPr>
          <w:ilvl w:val="0"/>
          <w:numId w:val="0"/>
        </w:numPr>
        <w:ind w:left="720"/>
      </w:pPr>
      <w:bookmarkStart w:id="625" w:name="_Toc357349073"/>
      <w:bookmarkStart w:id="626" w:name="_Toc357356126"/>
    </w:p>
    <w:p w:rsidR="004C74C2" w:rsidRPr="00B53423" w:rsidRDefault="004C74C2" w:rsidP="0015232B">
      <w:pPr>
        <w:pStyle w:val="Heading3"/>
        <w:keepNext w:val="0"/>
        <w:ind w:hanging="1080"/>
      </w:pPr>
      <w:r w:rsidRPr="00B53423">
        <w:t xml:space="preserve">The Petitioner submitted that the Distribution Tariff Regulations, 2006 requires KESCO to file Aggregate Revenue Requirement (ARR) complete in all respect along with requisite fees as prescribed by the Commission.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submitted that as per the Regulations, the ARR Petition should contain details of estimated expenditure and expected revenue that it may recover in the ensuing financial year at the prevailing rate of Tariff. The Petitioner further submitted that the Distribution Tariff Regulations, 2006 require that the ARR should separately indicate Aggregate Revenue Requirement (ARR) for Wheeling &amp; Retail Supply function embedded in the distribution function and till such time complete segregation of accounts between Wheeling and Retail Supply Business takes place, ARR proposals for Wheeling and Retail Supply Business shall be prepared based on an allocation statement to as per the best judgement of the Distribution Licensee.</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The Petitioner submitted that the Distribution Tariff Regulations, 2006 has broadly classified cost incurred by the Petitioner as controllable and uncontrollable costs wherein the uncontrollable cost include fuel cost, increase in cost due to changes in interest rate, increase of cost due to inflation, taxes and cess, variation of power purchase unit costs etc.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further submitted that the Tariff Order for FY 2007-08 is the first Order issued by the Commission in accordance with the Distribution Tariff Regulations, 2006. The Petitioner submitted that in the aforesaid Tariff Order the Commission had used allocation methodology for segregation of Wheeling &amp; Retail Supply business function of ARR and accordingly, it has also adopted the same methodology for deriving wheeling charges, as the complete segregation of accounts between Wheeling and Retail Supply business has not yet been completed.</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submitted that it has filed the current ARR Petition in strict compliance with the Distribution Tariff Regulations, 2006 and in line with the philosophies established by the Commission in the True up Order dated 21</w:t>
      </w:r>
      <w:r w:rsidRPr="00B53423">
        <w:rPr>
          <w:vertAlign w:val="superscript"/>
        </w:rPr>
        <w:t xml:space="preserve">st </w:t>
      </w:r>
      <w:r w:rsidRPr="00B53423">
        <w:t>May, 2013 and suo-motu Tariff Order for FY 2013-14 dated 31</w:t>
      </w:r>
      <w:r w:rsidRPr="00B53423">
        <w:rPr>
          <w:vertAlign w:val="superscript"/>
        </w:rPr>
        <w:t>st</w:t>
      </w:r>
      <w:r w:rsidRPr="00B53423">
        <w:t xml:space="preserve"> May, 2013</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Commission has analysed all the components of the Aggregate Revenue Requirement (ARR) to arrive at suitable values. As per the Distribution Tariff Regulations, the ARR comprises the following components:</w:t>
      </w:r>
      <w:bookmarkEnd w:id="625"/>
      <w:bookmarkEnd w:id="626"/>
    </w:p>
    <w:p w:rsidR="004C74C2" w:rsidRPr="00B53423" w:rsidRDefault="004C74C2" w:rsidP="0015232B">
      <w:pPr>
        <w:autoSpaceDE w:val="0"/>
        <w:autoSpaceDN w:val="0"/>
        <w:adjustRightInd w:val="0"/>
        <w:spacing w:line="180" w:lineRule="auto"/>
        <w:ind w:firstLine="720"/>
        <w:rPr>
          <w:rFonts w:cstheme="minorHAnsi"/>
        </w:rPr>
      </w:pPr>
      <w:r w:rsidRPr="00B53423">
        <w:rPr>
          <w:rFonts w:cstheme="minorHAnsi"/>
        </w:rPr>
        <w:t>a) Power Purchase cost</w:t>
      </w:r>
    </w:p>
    <w:p w:rsidR="004C74C2" w:rsidRPr="00B53423" w:rsidRDefault="004C74C2" w:rsidP="0015232B">
      <w:pPr>
        <w:autoSpaceDE w:val="0"/>
        <w:autoSpaceDN w:val="0"/>
        <w:adjustRightInd w:val="0"/>
        <w:spacing w:line="180" w:lineRule="auto"/>
        <w:ind w:left="720"/>
        <w:rPr>
          <w:rFonts w:cstheme="minorHAnsi"/>
        </w:rPr>
      </w:pPr>
      <w:r w:rsidRPr="00B53423">
        <w:rPr>
          <w:rFonts w:cstheme="minorHAnsi"/>
        </w:rPr>
        <w:t>b) Transmission Charges</w:t>
      </w:r>
    </w:p>
    <w:p w:rsidR="004C74C2" w:rsidRPr="00B53423" w:rsidRDefault="004C74C2" w:rsidP="0015232B">
      <w:pPr>
        <w:autoSpaceDE w:val="0"/>
        <w:autoSpaceDN w:val="0"/>
        <w:adjustRightInd w:val="0"/>
        <w:spacing w:line="180" w:lineRule="auto"/>
        <w:ind w:left="720"/>
        <w:rPr>
          <w:rFonts w:cstheme="minorHAnsi"/>
        </w:rPr>
      </w:pPr>
      <w:r w:rsidRPr="00B53423">
        <w:rPr>
          <w:rFonts w:cstheme="minorHAnsi"/>
        </w:rPr>
        <w:t>c) SLDC Charges</w:t>
      </w:r>
    </w:p>
    <w:p w:rsidR="004C74C2" w:rsidRPr="00B53423" w:rsidRDefault="004C74C2" w:rsidP="0015232B">
      <w:pPr>
        <w:autoSpaceDE w:val="0"/>
        <w:autoSpaceDN w:val="0"/>
        <w:adjustRightInd w:val="0"/>
        <w:spacing w:line="180" w:lineRule="auto"/>
        <w:ind w:left="720"/>
        <w:rPr>
          <w:rFonts w:cstheme="minorHAnsi"/>
        </w:rPr>
      </w:pPr>
      <w:r w:rsidRPr="00B53423">
        <w:rPr>
          <w:rFonts w:cstheme="minorHAnsi"/>
        </w:rPr>
        <w:t xml:space="preserve">d) Operation and Maintenance Expenses </w:t>
      </w:r>
    </w:p>
    <w:p w:rsidR="004C74C2" w:rsidRPr="00B53423" w:rsidRDefault="004C74C2" w:rsidP="0015232B">
      <w:pPr>
        <w:pStyle w:val="ListParagraph"/>
        <w:numPr>
          <w:ilvl w:val="0"/>
          <w:numId w:val="7"/>
        </w:numPr>
        <w:autoSpaceDE w:val="0"/>
        <w:autoSpaceDN w:val="0"/>
        <w:adjustRightInd w:val="0"/>
        <w:spacing w:line="180" w:lineRule="auto"/>
        <w:rPr>
          <w:rFonts w:cstheme="minorHAnsi"/>
        </w:rPr>
      </w:pPr>
      <w:r w:rsidRPr="00B53423">
        <w:rPr>
          <w:rFonts w:cstheme="minorHAnsi"/>
        </w:rPr>
        <w:t xml:space="preserve">Employee Expenses </w:t>
      </w:r>
    </w:p>
    <w:p w:rsidR="004C74C2" w:rsidRPr="00B53423" w:rsidRDefault="004C74C2" w:rsidP="0015232B">
      <w:pPr>
        <w:pStyle w:val="ListParagraph"/>
        <w:numPr>
          <w:ilvl w:val="0"/>
          <w:numId w:val="7"/>
        </w:numPr>
        <w:autoSpaceDE w:val="0"/>
        <w:autoSpaceDN w:val="0"/>
        <w:adjustRightInd w:val="0"/>
        <w:spacing w:line="180" w:lineRule="auto"/>
        <w:rPr>
          <w:rFonts w:cstheme="minorHAnsi"/>
        </w:rPr>
      </w:pPr>
      <w:r w:rsidRPr="00B53423">
        <w:rPr>
          <w:rFonts w:cstheme="minorHAnsi"/>
        </w:rPr>
        <w:t xml:space="preserve">Administration &amp; General Expenses </w:t>
      </w:r>
    </w:p>
    <w:p w:rsidR="004C74C2" w:rsidRPr="00B53423" w:rsidRDefault="004C74C2" w:rsidP="0015232B">
      <w:pPr>
        <w:pStyle w:val="ListParagraph"/>
        <w:numPr>
          <w:ilvl w:val="0"/>
          <w:numId w:val="7"/>
        </w:numPr>
        <w:autoSpaceDE w:val="0"/>
        <w:autoSpaceDN w:val="0"/>
        <w:adjustRightInd w:val="0"/>
        <w:spacing w:line="180" w:lineRule="auto"/>
        <w:rPr>
          <w:rFonts w:cstheme="minorHAnsi"/>
        </w:rPr>
      </w:pPr>
      <w:r w:rsidRPr="00B53423">
        <w:rPr>
          <w:rFonts w:cstheme="minorHAnsi"/>
        </w:rPr>
        <w:t>Repairs and Maintenance Expenses</w:t>
      </w:r>
    </w:p>
    <w:p w:rsidR="004C74C2" w:rsidRPr="00B53423" w:rsidRDefault="004C74C2" w:rsidP="0015232B">
      <w:pPr>
        <w:autoSpaceDE w:val="0"/>
        <w:autoSpaceDN w:val="0"/>
        <w:adjustRightInd w:val="0"/>
        <w:spacing w:line="180" w:lineRule="auto"/>
        <w:ind w:left="720"/>
        <w:rPr>
          <w:rFonts w:cstheme="minorHAnsi"/>
        </w:rPr>
      </w:pPr>
      <w:r w:rsidRPr="00B53423">
        <w:rPr>
          <w:rFonts w:cstheme="minorHAnsi"/>
        </w:rPr>
        <w:t>e) Depreciation</w:t>
      </w:r>
    </w:p>
    <w:p w:rsidR="004C74C2" w:rsidRPr="00B53423" w:rsidRDefault="004C74C2" w:rsidP="0015232B">
      <w:pPr>
        <w:autoSpaceDE w:val="0"/>
        <w:autoSpaceDN w:val="0"/>
        <w:adjustRightInd w:val="0"/>
        <w:spacing w:line="180" w:lineRule="auto"/>
        <w:ind w:left="720"/>
        <w:rPr>
          <w:rFonts w:cstheme="minorHAnsi"/>
        </w:rPr>
      </w:pPr>
      <w:r w:rsidRPr="00B53423">
        <w:rPr>
          <w:rFonts w:cstheme="minorHAnsi"/>
        </w:rPr>
        <w:t>f) Interest and Financing Costs</w:t>
      </w:r>
    </w:p>
    <w:p w:rsidR="004C74C2" w:rsidRPr="00B53423" w:rsidRDefault="004C74C2" w:rsidP="0015232B">
      <w:pPr>
        <w:autoSpaceDE w:val="0"/>
        <w:autoSpaceDN w:val="0"/>
        <w:adjustRightInd w:val="0"/>
        <w:spacing w:line="180" w:lineRule="auto"/>
        <w:ind w:left="720"/>
        <w:rPr>
          <w:rFonts w:cstheme="minorHAnsi"/>
        </w:rPr>
      </w:pPr>
      <w:r w:rsidRPr="00B53423">
        <w:rPr>
          <w:rFonts w:cstheme="minorHAnsi"/>
        </w:rPr>
        <w:t>g) Bad and Doubtful Debts</w:t>
      </w:r>
    </w:p>
    <w:p w:rsidR="004C74C2" w:rsidRPr="00B53423" w:rsidRDefault="004C74C2" w:rsidP="0015232B">
      <w:pPr>
        <w:autoSpaceDE w:val="0"/>
        <w:autoSpaceDN w:val="0"/>
        <w:adjustRightInd w:val="0"/>
        <w:spacing w:line="180" w:lineRule="auto"/>
        <w:ind w:left="720"/>
        <w:rPr>
          <w:rFonts w:cstheme="minorHAnsi"/>
        </w:rPr>
      </w:pPr>
      <w:r w:rsidRPr="00B53423">
        <w:rPr>
          <w:rFonts w:cstheme="minorHAnsi"/>
        </w:rPr>
        <w:t>h) Return on Equity</w:t>
      </w:r>
    </w:p>
    <w:p w:rsidR="004C74C2" w:rsidRPr="00B53423" w:rsidRDefault="004C74C2" w:rsidP="0015232B">
      <w:pPr>
        <w:autoSpaceDE w:val="0"/>
        <w:autoSpaceDN w:val="0"/>
        <w:adjustRightInd w:val="0"/>
        <w:spacing w:line="180" w:lineRule="auto"/>
        <w:ind w:left="720"/>
        <w:rPr>
          <w:rFonts w:cstheme="minorHAnsi"/>
        </w:rPr>
      </w:pPr>
      <w:proofErr w:type="gramStart"/>
      <w:r w:rsidRPr="00B53423">
        <w:rPr>
          <w:rFonts w:cstheme="minorHAnsi"/>
        </w:rPr>
        <w:t>i</w:t>
      </w:r>
      <w:proofErr w:type="gramEnd"/>
      <w:r w:rsidRPr="00B53423">
        <w:rPr>
          <w:rFonts w:cstheme="minorHAnsi"/>
        </w:rPr>
        <w:t>) Taxes on Income</w:t>
      </w:r>
    </w:p>
    <w:p w:rsidR="004C74C2" w:rsidRPr="00B53423" w:rsidRDefault="004C74C2" w:rsidP="0015232B">
      <w:pPr>
        <w:autoSpaceDE w:val="0"/>
        <w:autoSpaceDN w:val="0"/>
        <w:adjustRightInd w:val="0"/>
        <w:spacing w:line="180" w:lineRule="auto"/>
        <w:ind w:left="720"/>
        <w:rPr>
          <w:rFonts w:cstheme="minorHAnsi"/>
        </w:rPr>
      </w:pPr>
      <w:r w:rsidRPr="00B53423">
        <w:rPr>
          <w:rFonts w:cstheme="minorHAnsi"/>
        </w:rPr>
        <w:t>j) Other Expenses</w:t>
      </w:r>
    </w:p>
    <w:p w:rsidR="004C74C2" w:rsidRPr="00B53423" w:rsidRDefault="004C74C2" w:rsidP="0015232B">
      <w:pPr>
        <w:autoSpaceDE w:val="0"/>
        <w:autoSpaceDN w:val="0"/>
        <w:adjustRightInd w:val="0"/>
        <w:spacing w:line="180" w:lineRule="auto"/>
        <w:ind w:left="720"/>
        <w:rPr>
          <w:rFonts w:cstheme="minorHAnsi"/>
        </w:rPr>
      </w:pPr>
      <w:r w:rsidRPr="00B53423">
        <w:rPr>
          <w:rFonts w:cstheme="minorHAnsi"/>
        </w:rPr>
        <w:t>k) Contribution to Contingency Reserve</w:t>
      </w:r>
    </w:p>
    <w:p w:rsidR="004C74C2" w:rsidRPr="00B53423" w:rsidRDefault="004C74C2" w:rsidP="0015232B">
      <w:pPr>
        <w:pStyle w:val="Heading2"/>
        <w:keepNext w:val="0"/>
        <w:numPr>
          <w:ilvl w:val="0"/>
          <w:numId w:val="0"/>
        </w:numPr>
        <w:ind w:left="720"/>
      </w:pPr>
    </w:p>
    <w:p w:rsidR="004C74C2" w:rsidRPr="00B53423" w:rsidRDefault="004C74C2" w:rsidP="0015232B">
      <w:pPr>
        <w:pStyle w:val="Heading3"/>
        <w:keepNext w:val="0"/>
        <w:ind w:hanging="1080"/>
      </w:pPr>
      <w:bookmarkStart w:id="627" w:name="_Toc357349074"/>
      <w:bookmarkStart w:id="628" w:name="_Toc357356127"/>
      <w:r w:rsidRPr="00B53423">
        <w:t>The detailed analysis of each and every element identified above alongwith the Petitioner’s submission in this regards is presented in the subsequent Sections. However, for approving the O&amp;M expenses for the ensuing year, the Distribution Tariff Regulations provides for a formula of escalation index to be applied to the base year.</w:t>
      </w:r>
      <w:bookmarkEnd w:id="627"/>
      <w:bookmarkEnd w:id="628"/>
    </w:p>
    <w:p w:rsidR="004C74C2" w:rsidRPr="00B53423" w:rsidRDefault="004C74C2" w:rsidP="0015232B">
      <w:pPr>
        <w:tabs>
          <w:tab w:val="left" w:pos="360"/>
        </w:tabs>
      </w:pPr>
    </w:p>
    <w:p w:rsidR="004C74C2" w:rsidRPr="00B53423" w:rsidRDefault="004C74C2" w:rsidP="0015232B">
      <w:pPr>
        <w:pStyle w:val="Heading2"/>
        <w:keepNext w:val="0"/>
        <w:ind w:left="720" w:hanging="1080"/>
      </w:pPr>
      <w:bookmarkStart w:id="629" w:name="_Toc356322596"/>
      <w:bookmarkStart w:id="630" w:name="_Toc357733325"/>
      <w:bookmarkStart w:id="631" w:name="_Toc399626223"/>
      <w:r w:rsidRPr="00B53423">
        <w:t>ESCALATION INDEX</w:t>
      </w:r>
      <w:bookmarkEnd w:id="629"/>
      <w:bookmarkEnd w:id="630"/>
      <w:bookmarkEnd w:id="631"/>
    </w:p>
    <w:p w:rsidR="004C74C2" w:rsidRPr="00B53423" w:rsidRDefault="004C74C2" w:rsidP="0015232B">
      <w:pPr>
        <w:pStyle w:val="Heading2"/>
        <w:keepNext w:val="0"/>
        <w:numPr>
          <w:ilvl w:val="0"/>
          <w:numId w:val="0"/>
        </w:numPr>
        <w:ind w:left="576"/>
      </w:pPr>
    </w:p>
    <w:p w:rsidR="004C74C2" w:rsidRPr="00B53423" w:rsidRDefault="004C74C2" w:rsidP="0015232B">
      <w:pPr>
        <w:pStyle w:val="Heading3"/>
        <w:keepNext w:val="0"/>
        <w:ind w:hanging="1080"/>
      </w:pPr>
      <w:r w:rsidRPr="00B53423">
        <w:t>The Petitioner submitted that the Distribution Tariff Regulations, 2006 issued by Commission specifies that the expenses of the base year shall be escalated at Inflation / Escalation rate notified by Central Government for different years. The Petitioner submitted that the inflation rate for this purpose shall be weighted average of Wholesale Price Index and Consumer Price Index in the ratio of 60:40.</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The Petitioner submitted that for the purpose of ARR, it has used the above methodology in arriving at Escalation Index/Inflation Rate of 8.75% in FY 2013-14 and 8.15% in FY 2014-15. This escalation / inflation index has been used in estimation of various components of ARR.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Regulation 4.3 of the Distribution Tariff Regulations, 2006 specifies the methodology for consideration of the O&amp;M Expenses, wherein such expenses are linked to the inflation index determined under these Regulations. Accordingly, the Commission has computed escalation / inflation index of 7.69% in FY 2014-15 as computed in </w:t>
      </w:r>
      <w:fldSimple w:instr=" REF _Ref395785845 \h  \* MERGEFORMAT ">
        <w:r w:rsidR="00847C1B" w:rsidRPr="00847C1B">
          <w:t xml:space="preserve">Table </w:t>
        </w:r>
        <w:r w:rsidR="00847C1B" w:rsidRPr="00847C1B">
          <w:rPr>
            <w:noProof/>
          </w:rPr>
          <w:t>4</w:t>
        </w:r>
        <w:r w:rsidR="00847C1B" w:rsidRPr="00847C1B">
          <w:rPr>
            <w:noProof/>
          </w:rPr>
          <w:noBreakHyphen/>
          <w:t>3</w:t>
        </w:r>
      </w:fldSimple>
      <w:r w:rsidRPr="00B53423">
        <w:t xml:space="preserve"> of Chapter 4 of this Order.</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2"/>
        <w:keepNext w:val="0"/>
        <w:ind w:left="720" w:hanging="1080"/>
      </w:pPr>
      <w:bookmarkStart w:id="632" w:name="_Toc323652118"/>
      <w:bookmarkStart w:id="633" w:name="_Toc356322597"/>
      <w:bookmarkStart w:id="634" w:name="_Toc357733326"/>
      <w:bookmarkStart w:id="635" w:name="_Toc399626224"/>
      <w:r w:rsidRPr="00B53423">
        <w:t>POWER PROCUREMENT COST</w:t>
      </w:r>
      <w:bookmarkEnd w:id="632"/>
      <w:bookmarkEnd w:id="633"/>
      <w:bookmarkEnd w:id="634"/>
      <w:bookmarkEnd w:id="635"/>
    </w:p>
    <w:p w:rsidR="004C74C2" w:rsidRPr="00B53423" w:rsidRDefault="004C74C2" w:rsidP="0015232B">
      <w:pPr>
        <w:pStyle w:val="Heading3"/>
        <w:keepNext w:val="0"/>
        <w:numPr>
          <w:ilvl w:val="0"/>
          <w:numId w:val="0"/>
        </w:numPr>
        <w:tabs>
          <w:tab w:val="left" w:pos="864"/>
        </w:tabs>
      </w:pPr>
    </w:p>
    <w:p w:rsidR="004C74C2" w:rsidRPr="00B53423" w:rsidRDefault="004C74C2" w:rsidP="0015232B">
      <w:pPr>
        <w:pStyle w:val="Heading3"/>
        <w:keepNext w:val="0"/>
        <w:ind w:hanging="1080"/>
      </w:pPr>
      <w:bookmarkStart w:id="636" w:name="_Toc357349079"/>
      <w:bookmarkStart w:id="637" w:name="_Toc357356132"/>
      <w:r w:rsidRPr="00B53423">
        <w:t>The rationale for projecting the power purchase units and expenses for FY 2014-15 as submitted by the Petitioner is explained below:-</w:t>
      </w:r>
    </w:p>
    <w:p w:rsidR="004C74C2" w:rsidRPr="00B53423" w:rsidRDefault="004C74C2" w:rsidP="0015232B">
      <w:pPr>
        <w:pStyle w:val="Heading3"/>
        <w:keepNext w:val="0"/>
        <w:numPr>
          <w:ilvl w:val="0"/>
          <w:numId w:val="10"/>
        </w:numPr>
        <w:tabs>
          <w:tab w:val="left" w:pos="720"/>
        </w:tabs>
        <w:spacing w:before="120"/>
      </w:pPr>
      <w:r w:rsidRPr="00B53423">
        <w:t>The power purchase units have been projected based on estimated T&amp;D losses of 30.17% in FY 2014-15.</w:t>
      </w:r>
    </w:p>
    <w:p w:rsidR="004C74C2" w:rsidRPr="00B53423" w:rsidRDefault="004C74C2" w:rsidP="0015232B">
      <w:pPr>
        <w:pStyle w:val="Heading3"/>
        <w:keepNext w:val="0"/>
        <w:numPr>
          <w:ilvl w:val="0"/>
          <w:numId w:val="0"/>
        </w:numPr>
        <w:tabs>
          <w:tab w:val="left" w:pos="720"/>
        </w:tabs>
        <w:spacing w:before="120"/>
        <w:ind w:left="1440"/>
      </w:pPr>
    </w:p>
    <w:p w:rsidR="004C74C2" w:rsidRPr="00B53423" w:rsidRDefault="004C74C2" w:rsidP="0015232B">
      <w:pPr>
        <w:pStyle w:val="Heading3"/>
        <w:keepNext w:val="0"/>
        <w:numPr>
          <w:ilvl w:val="0"/>
          <w:numId w:val="10"/>
        </w:numPr>
        <w:tabs>
          <w:tab w:val="left" w:pos="720"/>
        </w:tabs>
        <w:spacing w:before="120"/>
      </w:pPr>
      <w:r w:rsidRPr="00B53423">
        <w:t>KESCO which is 100% subsidiary of UPPCL sources all its power purchases from UPPCL (through Dakshinanchal Vidyut Vitran Nigam Limited)</w:t>
      </w:r>
    </w:p>
    <w:p w:rsidR="004C74C2" w:rsidRPr="00B53423" w:rsidRDefault="004C74C2" w:rsidP="0015232B">
      <w:pPr>
        <w:pStyle w:val="Heading3"/>
        <w:keepNext w:val="0"/>
        <w:numPr>
          <w:ilvl w:val="0"/>
          <w:numId w:val="0"/>
        </w:numPr>
        <w:tabs>
          <w:tab w:val="left" w:pos="720"/>
        </w:tabs>
        <w:spacing w:before="120"/>
        <w:ind w:left="1440"/>
      </w:pPr>
    </w:p>
    <w:p w:rsidR="004C74C2" w:rsidRPr="00B53423" w:rsidRDefault="004C74C2" w:rsidP="0015232B">
      <w:pPr>
        <w:pStyle w:val="Heading3"/>
        <w:keepNext w:val="0"/>
        <w:numPr>
          <w:ilvl w:val="0"/>
          <w:numId w:val="10"/>
        </w:numPr>
        <w:tabs>
          <w:tab w:val="left" w:pos="720"/>
        </w:tabs>
        <w:spacing w:before="120"/>
      </w:pPr>
      <w:r w:rsidRPr="00B53423">
        <w:t>The power purchase rate for FY 2014-15 have been traced from the ARR / Tariff filings of Dakshinanchal Vidyut Vitran Nigam Limited for FY 2014-15 filed before the Commission. The Power Purchase rate projected in the aforementioned Petition by Dakshinanchal Vidyut Vitran Nigam Ltd is Rs. 4.14 per kWh for FY 2014-15.</w:t>
      </w:r>
    </w:p>
    <w:p w:rsidR="004C74C2" w:rsidRPr="00B53423" w:rsidRDefault="004C74C2" w:rsidP="0015232B">
      <w:pPr>
        <w:pStyle w:val="ListParagraph"/>
        <w:ind w:left="180"/>
      </w:pPr>
    </w:p>
    <w:p w:rsidR="004C74C2" w:rsidRPr="00B53423" w:rsidRDefault="004C74C2" w:rsidP="0015232B">
      <w:pPr>
        <w:pStyle w:val="Heading3"/>
        <w:keepNext w:val="0"/>
        <w:numPr>
          <w:ilvl w:val="0"/>
          <w:numId w:val="10"/>
        </w:numPr>
        <w:tabs>
          <w:tab w:val="left" w:pos="720"/>
        </w:tabs>
        <w:spacing w:before="120"/>
      </w:pPr>
      <w:r w:rsidRPr="00B53423">
        <w:t>Further considering the supply constraints in the State, DVVNL in its ARR/Tariff Petition for the FY 2014-15 has considered 3882.42 MU as the energy which would be available to KESCO for power purchase.</w:t>
      </w:r>
    </w:p>
    <w:p w:rsidR="004C74C2" w:rsidRPr="00B53423" w:rsidRDefault="004C74C2" w:rsidP="0015232B">
      <w:pPr>
        <w:pStyle w:val="Heading3"/>
        <w:keepNext w:val="0"/>
        <w:numPr>
          <w:ilvl w:val="0"/>
          <w:numId w:val="0"/>
        </w:numPr>
        <w:tabs>
          <w:tab w:val="left" w:pos="720"/>
        </w:tabs>
        <w:spacing w:before="120"/>
        <w:ind w:left="1440"/>
      </w:pPr>
    </w:p>
    <w:p w:rsidR="004C74C2" w:rsidRPr="00B53423" w:rsidRDefault="004C74C2" w:rsidP="0015232B">
      <w:pPr>
        <w:pStyle w:val="Heading3"/>
        <w:keepNext w:val="0"/>
        <w:numPr>
          <w:ilvl w:val="0"/>
          <w:numId w:val="10"/>
        </w:numPr>
        <w:tabs>
          <w:tab w:val="left" w:pos="720"/>
        </w:tabs>
        <w:spacing w:before="120"/>
      </w:pPr>
      <w:r w:rsidRPr="00B53423">
        <w:t>Thus, considering the aforementioned rate and power purchase input, the power purchase cost of KESCO has been considered at Rs. 1,606.78 Crore for FY 2014-15.</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For FY 2014-15, the power purchase quantum approved by the Commission has been already determined in </w:t>
      </w:r>
      <w:fldSimple w:instr=" REF _Ref395883328 \h  \* MERGEFORMAT ">
        <w:r w:rsidR="00847C1B" w:rsidRPr="00B53423">
          <w:t xml:space="preserve">Table </w:t>
        </w:r>
        <w:r w:rsidR="00847C1B">
          <w:rPr>
            <w:noProof/>
          </w:rPr>
          <w:t>9</w:t>
        </w:r>
        <w:r w:rsidR="00847C1B" w:rsidRPr="00B53423">
          <w:rPr>
            <w:noProof/>
          </w:rPr>
          <w:noBreakHyphen/>
        </w:r>
        <w:r w:rsidR="00847C1B">
          <w:rPr>
            <w:noProof/>
          </w:rPr>
          <w:t>13</w:t>
        </w:r>
      </w:fldSimple>
      <w:r w:rsidRPr="00B53423">
        <w:t xml:space="preserve"> of energy balance described above. The bulk power purchase </w:t>
      </w:r>
      <w:r w:rsidR="00352029" w:rsidRPr="00B53423">
        <w:t xml:space="preserve">quantum </w:t>
      </w:r>
      <w:r w:rsidRPr="00B53423">
        <w:t>so determined has been multiplied by bulk supply tariff approved for other State Distribution Licensees by the Commission for FY 2014-15 in their respective Tariff Orders. Accordingly, the power purchase cost submitted by the Petitioner and that approved by the Commission for FY 2014-15 is shown in the Table below:</w:t>
      </w:r>
    </w:p>
    <w:p w:rsidR="004C74C2" w:rsidRPr="00B53423" w:rsidRDefault="004C74C2" w:rsidP="0015232B">
      <w:pPr>
        <w:pStyle w:val="Heading3"/>
        <w:keepNext w:val="0"/>
        <w:numPr>
          <w:ilvl w:val="0"/>
          <w:numId w:val="0"/>
        </w:numPr>
        <w:ind w:left="720"/>
      </w:pPr>
    </w:p>
    <w:p w:rsidR="004C74C2" w:rsidRPr="00B53423" w:rsidRDefault="004C74C2" w:rsidP="0015232B">
      <w:pPr>
        <w:pStyle w:val="Caption"/>
        <w:jc w:val="center"/>
      </w:pPr>
      <w:bookmarkStart w:id="638" w:name="_Toc357738733"/>
      <w:bookmarkStart w:id="639" w:name="_Toc399626419"/>
      <w:bookmarkEnd w:id="636"/>
      <w:bookmarkEnd w:id="637"/>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14</w:t>
      </w:r>
      <w:r w:rsidR="005D68E7" w:rsidRPr="00B53423">
        <w:fldChar w:fldCharType="end"/>
      </w:r>
      <w:r w:rsidRPr="00B53423">
        <w:t>: POWER PROCUREMENT COST FOR FY 201</w:t>
      </w:r>
      <w:bookmarkEnd w:id="638"/>
      <w:r w:rsidRPr="00B53423">
        <w:t>4-15</w:t>
      </w:r>
      <w:bookmarkEnd w:id="639"/>
    </w:p>
    <w:tbl>
      <w:tblPr>
        <w:tblW w:w="8915"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775"/>
        <w:gridCol w:w="1350"/>
        <w:gridCol w:w="1440"/>
        <w:gridCol w:w="1350"/>
      </w:tblGrid>
      <w:tr w:rsidR="004C74C2" w:rsidRPr="00B53423" w:rsidTr="009268E4">
        <w:trPr>
          <w:trHeight w:val="576"/>
          <w:tblHeader/>
        </w:trPr>
        <w:tc>
          <w:tcPr>
            <w:tcW w:w="4775" w:type="dxa"/>
            <w:shd w:val="clear" w:color="000000" w:fill="DBE5F1"/>
            <w:noWrap/>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Particulars</w:t>
            </w:r>
          </w:p>
        </w:tc>
        <w:tc>
          <w:tcPr>
            <w:tcW w:w="1350" w:type="dxa"/>
            <w:shd w:val="clear" w:color="000000" w:fill="DBE5F1"/>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Derivation</w:t>
            </w:r>
          </w:p>
        </w:tc>
        <w:tc>
          <w:tcPr>
            <w:tcW w:w="1440" w:type="dxa"/>
            <w:shd w:val="clear" w:color="000000" w:fill="DBE5F1"/>
            <w:vAlign w:val="center"/>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ARR Petition</w:t>
            </w:r>
          </w:p>
        </w:tc>
        <w:tc>
          <w:tcPr>
            <w:tcW w:w="1350" w:type="dxa"/>
            <w:shd w:val="clear" w:color="000000" w:fill="DBE5F1"/>
            <w:vAlign w:val="center"/>
            <w:hideMark/>
          </w:tcPr>
          <w:p w:rsidR="004C74C2" w:rsidRPr="00B53423" w:rsidRDefault="004C74C2" w:rsidP="0015232B">
            <w:pPr>
              <w:spacing w:before="0" w:line="240" w:lineRule="auto"/>
              <w:jc w:val="center"/>
              <w:rPr>
                <w:rFonts w:cs="Calibri"/>
                <w:b/>
                <w:bCs/>
                <w:color w:val="000000"/>
                <w:kern w:val="32"/>
                <w:lang w:val="en-IN" w:eastAsia="en-IN"/>
              </w:rPr>
            </w:pPr>
            <w:r w:rsidRPr="00B53423">
              <w:rPr>
                <w:rFonts w:cs="Calibri"/>
                <w:b/>
                <w:bCs/>
                <w:color w:val="000000"/>
                <w:lang w:val="en-IN" w:eastAsia="en-IN"/>
              </w:rPr>
              <w:t>Approved</w:t>
            </w:r>
          </w:p>
        </w:tc>
      </w:tr>
      <w:tr w:rsidR="004C74C2" w:rsidRPr="00B53423" w:rsidTr="009268E4">
        <w:trPr>
          <w:trHeight w:val="288"/>
        </w:trPr>
        <w:tc>
          <w:tcPr>
            <w:tcW w:w="4775" w:type="dxa"/>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Energy Input into Transmission-Distribution Interface (MU)</w:t>
            </w:r>
          </w:p>
        </w:tc>
        <w:tc>
          <w:tcPr>
            <w:tcW w:w="1350" w:type="dxa"/>
            <w:shd w:val="clear" w:color="auto" w:fill="auto"/>
            <w:noWrap/>
            <w:vAlign w:val="center"/>
            <w:hideMark/>
          </w:tcPr>
          <w:p w:rsidR="004C74C2" w:rsidRPr="00B53423" w:rsidRDefault="004C74C2" w:rsidP="0015232B">
            <w:pPr>
              <w:spacing w:before="0" w:line="240" w:lineRule="auto"/>
              <w:jc w:val="center"/>
              <w:rPr>
                <w:rFonts w:cs="Calibri"/>
                <w:color w:val="000000"/>
                <w:lang w:val="en-IN" w:eastAsia="en-IN"/>
              </w:rPr>
            </w:pPr>
            <w:r w:rsidRPr="00B53423">
              <w:rPr>
                <w:rFonts w:cs="Calibri"/>
                <w:color w:val="000000"/>
                <w:lang w:val="en-IN" w:eastAsia="en-IN"/>
              </w:rPr>
              <w:t>A</w:t>
            </w:r>
          </w:p>
        </w:tc>
        <w:tc>
          <w:tcPr>
            <w:tcW w:w="1440" w:type="dxa"/>
            <w:vAlign w:val="center"/>
          </w:tcPr>
          <w:p w:rsidR="004C74C2" w:rsidRPr="00B53423" w:rsidRDefault="004C74C2" w:rsidP="0015232B">
            <w:pPr>
              <w:spacing w:before="0" w:line="240" w:lineRule="auto"/>
              <w:ind w:right="252"/>
              <w:jc w:val="right"/>
              <w:rPr>
                <w:rFonts w:cs="Calibri"/>
                <w:color w:val="000000"/>
              </w:rPr>
            </w:pPr>
            <w:r w:rsidRPr="00B53423">
              <w:rPr>
                <w:rFonts w:cs="Calibri"/>
                <w:color w:val="000000"/>
              </w:rPr>
              <w:t>3,882.42</w:t>
            </w:r>
          </w:p>
        </w:tc>
        <w:tc>
          <w:tcPr>
            <w:tcW w:w="1350" w:type="dxa"/>
            <w:shd w:val="clear" w:color="auto" w:fill="auto"/>
            <w:noWrap/>
            <w:vAlign w:val="center"/>
            <w:hideMark/>
          </w:tcPr>
          <w:p w:rsidR="004C74C2" w:rsidRPr="00B53423" w:rsidRDefault="004C74C2" w:rsidP="0015232B">
            <w:pPr>
              <w:tabs>
                <w:tab w:val="left" w:pos="882"/>
              </w:tabs>
              <w:spacing w:before="0" w:line="240" w:lineRule="auto"/>
              <w:ind w:right="162"/>
              <w:jc w:val="right"/>
              <w:rPr>
                <w:rFonts w:cs="Calibri"/>
                <w:color w:val="000000"/>
              </w:rPr>
            </w:pPr>
            <w:r w:rsidRPr="00B53423">
              <w:rPr>
                <w:rFonts w:cs="Calibri"/>
                <w:color w:val="000000"/>
              </w:rPr>
              <w:t xml:space="preserve"> 3,213.85 </w:t>
            </w:r>
          </w:p>
        </w:tc>
      </w:tr>
      <w:tr w:rsidR="004C74C2" w:rsidRPr="00B53423" w:rsidTr="009268E4">
        <w:trPr>
          <w:trHeight w:val="288"/>
        </w:trPr>
        <w:tc>
          <w:tcPr>
            <w:tcW w:w="4775" w:type="dxa"/>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Bulk Supply Tariff (Rs./kWh)</w:t>
            </w:r>
          </w:p>
        </w:tc>
        <w:tc>
          <w:tcPr>
            <w:tcW w:w="1350" w:type="dxa"/>
            <w:shd w:val="clear" w:color="auto" w:fill="auto"/>
            <w:noWrap/>
            <w:vAlign w:val="center"/>
            <w:hideMark/>
          </w:tcPr>
          <w:p w:rsidR="004C74C2" w:rsidRPr="00B53423" w:rsidRDefault="004C74C2" w:rsidP="0015232B">
            <w:pPr>
              <w:spacing w:before="0" w:line="240" w:lineRule="auto"/>
              <w:jc w:val="center"/>
              <w:rPr>
                <w:rFonts w:cs="Calibri"/>
                <w:color w:val="000000"/>
                <w:lang w:val="en-IN" w:eastAsia="en-IN"/>
              </w:rPr>
            </w:pPr>
            <w:r w:rsidRPr="00B53423">
              <w:rPr>
                <w:rFonts w:cs="Calibri"/>
                <w:color w:val="000000"/>
                <w:lang w:val="en-IN" w:eastAsia="en-IN"/>
              </w:rPr>
              <w:t>B</w:t>
            </w:r>
          </w:p>
        </w:tc>
        <w:tc>
          <w:tcPr>
            <w:tcW w:w="1440" w:type="dxa"/>
            <w:vAlign w:val="center"/>
          </w:tcPr>
          <w:p w:rsidR="004C74C2" w:rsidRPr="00B53423" w:rsidRDefault="004C74C2" w:rsidP="0015232B">
            <w:pPr>
              <w:spacing w:before="0" w:line="240" w:lineRule="auto"/>
              <w:ind w:right="252"/>
              <w:jc w:val="right"/>
              <w:rPr>
                <w:rFonts w:cs="Calibri"/>
                <w:color w:val="000000"/>
              </w:rPr>
            </w:pPr>
            <w:r w:rsidRPr="00B53423">
              <w:rPr>
                <w:rFonts w:cs="Calibri"/>
                <w:color w:val="000000"/>
              </w:rPr>
              <w:t>4.14</w:t>
            </w:r>
          </w:p>
        </w:tc>
        <w:tc>
          <w:tcPr>
            <w:tcW w:w="1350" w:type="dxa"/>
            <w:shd w:val="clear" w:color="auto" w:fill="auto"/>
            <w:noWrap/>
            <w:vAlign w:val="center"/>
            <w:hideMark/>
          </w:tcPr>
          <w:p w:rsidR="004C74C2" w:rsidRPr="00B53423" w:rsidRDefault="004C74C2" w:rsidP="0015232B">
            <w:pPr>
              <w:tabs>
                <w:tab w:val="left" w:pos="882"/>
              </w:tabs>
              <w:spacing w:before="0" w:line="240" w:lineRule="auto"/>
              <w:ind w:right="162"/>
              <w:jc w:val="right"/>
              <w:rPr>
                <w:rFonts w:cs="Calibri"/>
                <w:color w:val="000000"/>
              </w:rPr>
            </w:pPr>
            <w:r w:rsidRPr="00B53423">
              <w:rPr>
                <w:rFonts w:cs="Calibri"/>
                <w:color w:val="000000"/>
              </w:rPr>
              <w:t xml:space="preserve"> 3.83 </w:t>
            </w:r>
          </w:p>
        </w:tc>
      </w:tr>
      <w:tr w:rsidR="004C74C2" w:rsidRPr="00B53423" w:rsidTr="009268E4">
        <w:trPr>
          <w:trHeight w:val="288"/>
        </w:trPr>
        <w:tc>
          <w:tcPr>
            <w:tcW w:w="4775" w:type="dxa"/>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Power Procurement Cost from UPPCL (Rs. Crore)</w:t>
            </w:r>
          </w:p>
        </w:tc>
        <w:tc>
          <w:tcPr>
            <w:tcW w:w="1350" w:type="dxa"/>
            <w:shd w:val="clear" w:color="auto" w:fill="auto"/>
            <w:noWrap/>
            <w:vAlign w:val="center"/>
            <w:hideMark/>
          </w:tcPr>
          <w:p w:rsidR="004C74C2" w:rsidRPr="00B53423" w:rsidRDefault="004C74C2" w:rsidP="0015232B">
            <w:pPr>
              <w:spacing w:before="0" w:line="240" w:lineRule="auto"/>
              <w:jc w:val="center"/>
              <w:rPr>
                <w:rFonts w:cs="Calibri"/>
                <w:color w:val="000000"/>
                <w:lang w:val="en-IN" w:eastAsia="en-IN"/>
              </w:rPr>
            </w:pPr>
            <w:r w:rsidRPr="00B53423">
              <w:rPr>
                <w:rFonts w:cs="Calibri"/>
                <w:color w:val="000000"/>
                <w:lang w:val="en-IN" w:eastAsia="en-IN"/>
              </w:rPr>
              <w:t xml:space="preserve">C =A*B /10 </w:t>
            </w:r>
          </w:p>
        </w:tc>
        <w:tc>
          <w:tcPr>
            <w:tcW w:w="1440" w:type="dxa"/>
            <w:vAlign w:val="center"/>
          </w:tcPr>
          <w:p w:rsidR="004C74C2" w:rsidRPr="00B53423" w:rsidRDefault="004C74C2" w:rsidP="0015232B">
            <w:pPr>
              <w:spacing w:before="0" w:line="240" w:lineRule="auto"/>
              <w:ind w:right="252"/>
              <w:jc w:val="right"/>
              <w:rPr>
                <w:rFonts w:cs="Calibri"/>
                <w:color w:val="000000"/>
              </w:rPr>
            </w:pPr>
            <w:r w:rsidRPr="00B53423">
              <w:rPr>
                <w:rFonts w:cs="Calibri"/>
                <w:color w:val="000000"/>
              </w:rPr>
              <w:t>1,606.78</w:t>
            </w:r>
          </w:p>
        </w:tc>
        <w:tc>
          <w:tcPr>
            <w:tcW w:w="1350" w:type="dxa"/>
            <w:shd w:val="clear" w:color="auto" w:fill="auto"/>
            <w:noWrap/>
            <w:vAlign w:val="center"/>
            <w:hideMark/>
          </w:tcPr>
          <w:p w:rsidR="004C74C2" w:rsidRPr="00B53423" w:rsidRDefault="004C74C2" w:rsidP="0015232B">
            <w:pPr>
              <w:tabs>
                <w:tab w:val="left" w:pos="882"/>
              </w:tabs>
              <w:spacing w:before="0" w:line="240" w:lineRule="auto"/>
              <w:ind w:right="162"/>
              <w:jc w:val="right"/>
              <w:rPr>
                <w:rFonts w:cs="Calibri"/>
                <w:color w:val="000000"/>
              </w:rPr>
            </w:pPr>
            <w:r w:rsidRPr="00B53423">
              <w:rPr>
                <w:rFonts w:cs="Calibri"/>
                <w:color w:val="000000"/>
              </w:rPr>
              <w:t xml:space="preserve">1,232.27 </w:t>
            </w:r>
          </w:p>
        </w:tc>
      </w:tr>
    </w:tbl>
    <w:p w:rsidR="004C74C2" w:rsidRPr="00B53423" w:rsidRDefault="004C74C2" w:rsidP="0015232B">
      <w:pPr>
        <w:pStyle w:val="Heading3"/>
        <w:keepNext w:val="0"/>
        <w:numPr>
          <w:ilvl w:val="0"/>
          <w:numId w:val="0"/>
        </w:numPr>
        <w:ind w:left="720"/>
      </w:pPr>
      <w:bookmarkStart w:id="640" w:name="_Toc357349081"/>
      <w:bookmarkStart w:id="641" w:name="_Toc357356134"/>
    </w:p>
    <w:p w:rsidR="004C74C2" w:rsidRPr="00B53423" w:rsidRDefault="004C74C2" w:rsidP="0015232B">
      <w:pPr>
        <w:pStyle w:val="Heading3"/>
        <w:keepNext w:val="0"/>
        <w:ind w:hanging="1080"/>
      </w:pPr>
      <w:r w:rsidRPr="00B53423">
        <w:t xml:space="preserve">However, the power purchase cost shall be </w:t>
      </w:r>
      <w:r w:rsidR="009B4093" w:rsidRPr="00B53423">
        <w:t>T</w:t>
      </w:r>
      <w:r w:rsidRPr="00B53423">
        <w:t>rued</w:t>
      </w:r>
      <w:r w:rsidR="009B4093" w:rsidRPr="00B53423">
        <w:t>-</w:t>
      </w:r>
      <w:r w:rsidRPr="00B53423">
        <w:t>up based on the actual cost on submission of Audited Accounts.</w:t>
      </w:r>
    </w:p>
    <w:bookmarkEnd w:id="640"/>
    <w:bookmarkEnd w:id="641"/>
    <w:p w:rsidR="004C74C2" w:rsidRPr="00B53423" w:rsidRDefault="004C74C2" w:rsidP="0015232B">
      <w:pPr>
        <w:tabs>
          <w:tab w:val="left" w:pos="360"/>
        </w:tabs>
        <w:spacing w:before="0"/>
      </w:pPr>
    </w:p>
    <w:p w:rsidR="004C74C2" w:rsidRPr="00B53423" w:rsidRDefault="004C74C2" w:rsidP="0015232B">
      <w:pPr>
        <w:tabs>
          <w:tab w:val="left" w:pos="360"/>
        </w:tabs>
        <w:spacing w:before="0"/>
      </w:pPr>
    </w:p>
    <w:p w:rsidR="004C74C2" w:rsidRPr="00B53423" w:rsidRDefault="004C74C2" w:rsidP="0015232B">
      <w:pPr>
        <w:pStyle w:val="Heading2"/>
        <w:keepNext w:val="0"/>
        <w:ind w:left="720" w:hanging="1080"/>
      </w:pPr>
      <w:bookmarkStart w:id="642" w:name="_Toc357733327"/>
      <w:bookmarkStart w:id="643" w:name="_Toc399626225"/>
      <w:r w:rsidRPr="00B53423">
        <w:t>FUEL &amp; POWER PURCHASE COST ADJUSTMENT SURCHARGE</w:t>
      </w:r>
      <w:bookmarkEnd w:id="642"/>
      <w:bookmarkEnd w:id="643"/>
    </w:p>
    <w:p w:rsidR="004C74C2" w:rsidRPr="00B53423" w:rsidRDefault="004C74C2" w:rsidP="0015232B">
      <w:pPr>
        <w:spacing w:before="0"/>
      </w:pPr>
    </w:p>
    <w:p w:rsidR="004C74C2" w:rsidRPr="00B53423" w:rsidRDefault="004C74C2" w:rsidP="0015232B">
      <w:pPr>
        <w:pStyle w:val="Heading3"/>
        <w:keepNext w:val="0"/>
        <w:ind w:hanging="1080"/>
      </w:pPr>
      <w:r w:rsidRPr="00B53423">
        <w:t xml:space="preserve">For the purpose of Fuel &amp; Power Purchase Cost Adjustment (FPPCA) as provided in Regulation 6.9 of Distribution Tariff Regulations, 2006 Amendment No. 3, 2012, the monthly approvals are provided in </w:t>
      </w:r>
      <w:r w:rsidR="00694490" w:rsidRPr="00B53423">
        <w:t xml:space="preserve">Annexure </w:t>
      </w:r>
      <w:fldSimple w:instr=" REF _Ref397182972 \r \h  \* MERGEFORMAT ">
        <w:r w:rsidR="00847C1B">
          <w:t>15.6</w:t>
        </w:r>
      </w:fldSimple>
      <w:r w:rsidRPr="00B53423">
        <w:t xml:space="preserve">, which is derived from the monthly power purchase submitted by the Licensees. The monthly power purchase quantum has been worked out excluding the power requirement of NPCL, as UPPCL has discontinued the supply of power to NPCL.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Further, the Commission in its previous Orders has time and again directed the Petitioner to file submissions in respect of FPPCA in a timely and regular manner as specified under the Regulations. However, the Petitioner has not complied with the directions of the Commission in this regards.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It is to be noted that power purchase expense being an uncontrollable expense, is pass-through to the consumers, however, the difference between the actual cost of power procurement and the approved power purchase expenses, is being recovered by the Distribution Licensee at the time of truing up. The time lag in recovery of the variation in power purchase expenses adversely affects the financial position of the Distribution Licensee and also puts additional burden on consumers on account of Carrying Cost.</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Failure to file FPPCA in a timely manner has many repercussions such as higher accumulated Aggregate Revenue Requirement (ARR) on account of variation in Power Purchase Expenses and the carrying cost, higher increase in Tariff or allowance in the form of Regulatory Surcharge, leading to Tariff shock. Further, the delayed filing of the FPPCA and claiming of the additional power purchase expenses during the Truing-up process also put the burden of such additional power purchase expenses on the new consumers, who may not have been consumers during the respective year.</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The Commission had also prepared an In-house Paper on the matter and uploaded the same on the website of the Commission and invited the views / objections on the same from the stakeholders including the Petitioner. The Petitioner has not provided any satisfactory views on the above mentioned </w:t>
      </w:r>
      <w:proofErr w:type="gramStart"/>
      <w:r w:rsidRPr="00B53423">
        <w:t>In</w:t>
      </w:r>
      <w:proofErr w:type="gramEnd"/>
      <w:r w:rsidRPr="00B53423">
        <w:t>- house Paper.</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Recently, the Petitioner has filed FPPCA for three quarters, i.e, from January 2013 to September, 2013 only, while as per the Regulations the Petitioner is required to file FPPCA at the end of each quarter. The Petitioner should understand that the timely filing of FPPCA would benefit them financially in the form of regular pass through of the variation in the fuel and power purchase expenses, and would benefit the consumers as they would not have to bear the additional burden of Carrying Cost.</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In view of the above the Commission once again directs the Petitioner that it should file FPPCA in a timely and regular manner in accordance with the Regulations failing which the Commission may have to resort to take strict action against the Petitioner like disallowance of additional power purchase expenses and the associated carrying cost on account of additional Power Purchase expenses or any other action that the Commission may deem fit while doing the Truing up.</w:t>
      </w:r>
    </w:p>
    <w:p w:rsidR="004C74C2" w:rsidRPr="00B53423" w:rsidRDefault="004C74C2" w:rsidP="0015232B">
      <w:pPr>
        <w:pStyle w:val="Heading2"/>
        <w:keepNext w:val="0"/>
        <w:numPr>
          <w:ilvl w:val="0"/>
          <w:numId w:val="0"/>
        </w:numPr>
        <w:ind w:left="576"/>
      </w:pPr>
    </w:p>
    <w:p w:rsidR="004C74C2" w:rsidRPr="00B53423" w:rsidRDefault="004C74C2" w:rsidP="0015232B">
      <w:pPr>
        <w:spacing w:before="0" w:line="240" w:lineRule="auto"/>
      </w:pPr>
    </w:p>
    <w:p w:rsidR="004C74C2" w:rsidRPr="00B53423" w:rsidRDefault="004C74C2" w:rsidP="0015232B">
      <w:pPr>
        <w:pStyle w:val="Heading2"/>
        <w:keepNext w:val="0"/>
        <w:ind w:left="720" w:hanging="1080"/>
      </w:pPr>
      <w:bookmarkStart w:id="644" w:name="_Toc356322598"/>
      <w:bookmarkStart w:id="645" w:name="_Toc357733328"/>
      <w:bookmarkStart w:id="646" w:name="_Toc399626226"/>
      <w:r w:rsidRPr="00B53423">
        <w:t>TRANSMISSION AND SLDC CHARGES</w:t>
      </w:r>
      <w:bookmarkEnd w:id="644"/>
      <w:bookmarkEnd w:id="645"/>
      <w:bookmarkEnd w:id="646"/>
      <w:r w:rsidRPr="00B53423">
        <w:t xml:space="preserve"> </w:t>
      </w:r>
    </w:p>
    <w:p w:rsidR="004C74C2" w:rsidRPr="00B53423" w:rsidRDefault="004C74C2" w:rsidP="0015232B">
      <w:pPr>
        <w:pStyle w:val="Heading4"/>
        <w:numPr>
          <w:ilvl w:val="0"/>
          <w:numId w:val="0"/>
        </w:numPr>
        <w:spacing w:before="0"/>
        <w:ind w:left="864"/>
      </w:pPr>
    </w:p>
    <w:p w:rsidR="004C74C2" w:rsidRPr="00B53423" w:rsidRDefault="004C74C2" w:rsidP="0015232B">
      <w:pPr>
        <w:pStyle w:val="Heading3"/>
        <w:keepNext w:val="0"/>
        <w:ind w:hanging="1080"/>
      </w:pPr>
      <w:r w:rsidRPr="00B53423">
        <w:t>The Petitioner submitted that the projections of Transmission Charges have been traced from the ARR / Tariff Petition filed by UPPTCL for FY 2014-15 filed before the Commission.</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submitted that in its Petition, UPPTCL has projected Transmission Charge at the rate of Rs. 0.217 per kWh for FY 2014-15. The Petitioner added that considering the wheeled energy of 3,882.42 MU, the Transmission Charges work out to Rs. 84.34 Crore for FY 2014-15.</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Transmission and SLDC Charges for FY 2014-15 have been approved in concurrence with the ARR and transmission tariff approved for UPPTCL for FY 2014-15 in the Commission’s Order </w:t>
      </w:r>
      <w:r w:rsidR="009B4093" w:rsidRPr="00B53423">
        <w:t xml:space="preserve">for </w:t>
      </w:r>
      <w:r w:rsidRPr="00B53423">
        <w:t xml:space="preserve">determination of </w:t>
      </w:r>
      <w:r w:rsidR="009B4093" w:rsidRPr="00B53423">
        <w:t>I</w:t>
      </w:r>
      <w:r w:rsidRPr="00B53423">
        <w:t>ntra-Sate Transmission Charges approved for UPPTCL by the Commission.</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 The Transmission Charges approved by the Commission for FY 2014-15, and the Petitioner’s submission are given in Table below:</w:t>
      </w:r>
    </w:p>
    <w:p w:rsidR="004C74C2" w:rsidRPr="00B53423" w:rsidRDefault="004C74C2" w:rsidP="0015232B">
      <w:pPr>
        <w:pStyle w:val="ListParagraph"/>
        <w:ind w:left="180"/>
      </w:pPr>
    </w:p>
    <w:p w:rsidR="004C74C2" w:rsidRPr="00B53423" w:rsidRDefault="004C74C2" w:rsidP="0015232B">
      <w:pPr>
        <w:pStyle w:val="Caption"/>
        <w:jc w:val="center"/>
      </w:pPr>
      <w:bookmarkStart w:id="647" w:name="_Ref325535189"/>
      <w:bookmarkStart w:id="648" w:name="_Toc338310704"/>
      <w:bookmarkStart w:id="649" w:name="_Toc338419534"/>
      <w:bookmarkStart w:id="650" w:name="_Toc357738734"/>
      <w:bookmarkStart w:id="651" w:name="_Toc399626420"/>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15</w:t>
      </w:r>
      <w:r w:rsidR="005D68E7" w:rsidRPr="00B53423">
        <w:fldChar w:fldCharType="end"/>
      </w:r>
      <w:bookmarkEnd w:id="647"/>
      <w:r w:rsidRPr="00B53423">
        <w:t xml:space="preserve">: INTRA STATE TRANSMISSION CHARGES FOR FY </w:t>
      </w:r>
      <w:bookmarkEnd w:id="648"/>
      <w:bookmarkEnd w:id="649"/>
      <w:r w:rsidRPr="00B53423">
        <w:t>201</w:t>
      </w:r>
      <w:bookmarkEnd w:id="650"/>
      <w:r w:rsidRPr="00B53423">
        <w:t>4-15</w:t>
      </w:r>
      <w:bookmarkEnd w:id="651"/>
    </w:p>
    <w:tbl>
      <w:tblPr>
        <w:tblW w:w="4822"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282"/>
        <w:gridCol w:w="1479"/>
        <w:gridCol w:w="1607"/>
        <w:gridCol w:w="1270"/>
      </w:tblGrid>
      <w:tr w:rsidR="004C74C2" w:rsidRPr="00B53423" w:rsidTr="00C63F1E">
        <w:trPr>
          <w:trHeight w:val="600"/>
          <w:tblHeader/>
        </w:trPr>
        <w:tc>
          <w:tcPr>
            <w:tcW w:w="2479" w:type="pct"/>
            <w:shd w:val="clear" w:color="000000" w:fill="DBE5F1"/>
            <w:noWrap/>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Particulars</w:t>
            </w:r>
          </w:p>
        </w:tc>
        <w:tc>
          <w:tcPr>
            <w:tcW w:w="856" w:type="pct"/>
            <w:shd w:val="clear" w:color="000000" w:fill="DBE5F1"/>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Derivation</w:t>
            </w:r>
          </w:p>
        </w:tc>
        <w:tc>
          <w:tcPr>
            <w:tcW w:w="930" w:type="pct"/>
            <w:shd w:val="clear" w:color="000000" w:fill="DBE5F1"/>
            <w:vAlign w:val="center"/>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ARR Petition</w:t>
            </w:r>
          </w:p>
        </w:tc>
        <w:tc>
          <w:tcPr>
            <w:tcW w:w="735" w:type="pct"/>
            <w:shd w:val="clear" w:color="000000" w:fill="DBE5F1"/>
            <w:vAlign w:val="center"/>
            <w:hideMark/>
          </w:tcPr>
          <w:p w:rsidR="004C74C2" w:rsidRPr="00B53423" w:rsidRDefault="004C74C2" w:rsidP="0015232B">
            <w:pPr>
              <w:spacing w:before="0" w:line="240" w:lineRule="auto"/>
              <w:rPr>
                <w:rFonts w:cs="Calibri"/>
                <w:b/>
                <w:bCs/>
                <w:color w:val="000000"/>
                <w:kern w:val="32"/>
                <w:lang w:val="en-IN" w:eastAsia="en-IN"/>
              </w:rPr>
            </w:pPr>
            <w:r w:rsidRPr="00B53423">
              <w:rPr>
                <w:rFonts w:cs="Calibri"/>
                <w:b/>
                <w:bCs/>
                <w:color w:val="000000"/>
                <w:lang w:val="en-IN" w:eastAsia="en-IN"/>
              </w:rPr>
              <w:t>Approved</w:t>
            </w:r>
          </w:p>
        </w:tc>
      </w:tr>
      <w:tr w:rsidR="00C63F1E" w:rsidRPr="00B53423" w:rsidTr="00C63F1E">
        <w:trPr>
          <w:trHeight w:val="300"/>
        </w:trPr>
        <w:tc>
          <w:tcPr>
            <w:tcW w:w="2479" w:type="pct"/>
            <w:shd w:val="clear" w:color="auto" w:fill="auto"/>
            <w:vAlign w:val="center"/>
            <w:hideMark/>
          </w:tcPr>
          <w:p w:rsidR="00C63F1E" w:rsidRPr="00B53423" w:rsidRDefault="00C63F1E" w:rsidP="0015232B">
            <w:pPr>
              <w:spacing w:before="0" w:line="240" w:lineRule="auto"/>
              <w:jc w:val="left"/>
              <w:rPr>
                <w:rFonts w:cs="Calibri"/>
                <w:lang w:val="en-IN" w:eastAsia="en-IN"/>
              </w:rPr>
            </w:pPr>
            <w:r w:rsidRPr="00B53423">
              <w:rPr>
                <w:rFonts w:cs="Calibri"/>
                <w:lang w:val="en-IN" w:eastAsia="en-IN"/>
              </w:rPr>
              <w:t>Energy Input into Transmission-Distribution Interface (MU)</w:t>
            </w:r>
          </w:p>
        </w:tc>
        <w:tc>
          <w:tcPr>
            <w:tcW w:w="856" w:type="pct"/>
            <w:shd w:val="clear" w:color="auto" w:fill="auto"/>
            <w:noWrap/>
            <w:vAlign w:val="center"/>
            <w:hideMark/>
          </w:tcPr>
          <w:p w:rsidR="00C63F1E" w:rsidRPr="00B53423" w:rsidRDefault="00C63F1E" w:rsidP="0015232B">
            <w:pPr>
              <w:spacing w:before="0" w:line="240" w:lineRule="auto"/>
              <w:jc w:val="center"/>
              <w:rPr>
                <w:rFonts w:cs="Calibri"/>
                <w:color w:val="000000"/>
                <w:lang w:val="en-IN" w:eastAsia="en-IN"/>
              </w:rPr>
            </w:pPr>
            <w:r w:rsidRPr="00B53423">
              <w:rPr>
                <w:rFonts w:cs="Calibri"/>
                <w:color w:val="000000"/>
                <w:lang w:val="en-IN" w:eastAsia="en-IN"/>
              </w:rPr>
              <w:t>A</w:t>
            </w:r>
          </w:p>
        </w:tc>
        <w:tc>
          <w:tcPr>
            <w:tcW w:w="930" w:type="pct"/>
            <w:vAlign w:val="center"/>
          </w:tcPr>
          <w:p w:rsidR="00C63F1E" w:rsidRPr="00B53423" w:rsidRDefault="00C63F1E" w:rsidP="0015232B">
            <w:pPr>
              <w:spacing w:before="0" w:line="240" w:lineRule="auto"/>
              <w:ind w:right="252"/>
              <w:jc w:val="right"/>
              <w:rPr>
                <w:rFonts w:cs="Calibri"/>
                <w:color w:val="000000"/>
              </w:rPr>
            </w:pPr>
            <w:r w:rsidRPr="00B53423">
              <w:rPr>
                <w:rFonts w:cs="Calibri"/>
                <w:color w:val="000000"/>
              </w:rPr>
              <w:t>3,882.42</w:t>
            </w:r>
          </w:p>
        </w:tc>
        <w:tc>
          <w:tcPr>
            <w:tcW w:w="735" w:type="pct"/>
            <w:shd w:val="clear" w:color="auto" w:fill="auto"/>
            <w:noWrap/>
            <w:vAlign w:val="center"/>
            <w:hideMark/>
          </w:tcPr>
          <w:p w:rsidR="00C63F1E" w:rsidRPr="00B53423" w:rsidRDefault="00C63F1E" w:rsidP="0015232B">
            <w:pPr>
              <w:spacing w:before="0" w:line="240" w:lineRule="auto"/>
              <w:ind w:right="134"/>
              <w:jc w:val="right"/>
              <w:rPr>
                <w:rFonts w:cs="Calibri"/>
                <w:color w:val="000000"/>
              </w:rPr>
            </w:pPr>
            <w:r w:rsidRPr="00B53423">
              <w:rPr>
                <w:rFonts w:ascii="Arial" w:hAnsi="Arial" w:cs="Arial"/>
                <w:sz w:val="20"/>
                <w:szCs w:val="20"/>
              </w:rPr>
              <w:t xml:space="preserve"> 3,213.85 </w:t>
            </w:r>
          </w:p>
        </w:tc>
      </w:tr>
      <w:tr w:rsidR="00C63F1E" w:rsidRPr="00B53423" w:rsidTr="00C63F1E">
        <w:trPr>
          <w:trHeight w:val="300"/>
        </w:trPr>
        <w:tc>
          <w:tcPr>
            <w:tcW w:w="2479" w:type="pct"/>
            <w:shd w:val="clear" w:color="auto" w:fill="auto"/>
            <w:vAlign w:val="center"/>
            <w:hideMark/>
          </w:tcPr>
          <w:p w:rsidR="00C63F1E" w:rsidRPr="00B53423" w:rsidRDefault="00C63F1E" w:rsidP="0015232B">
            <w:pPr>
              <w:spacing w:before="0" w:line="240" w:lineRule="auto"/>
              <w:jc w:val="left"/>
              <w:rPr>
                <w:rFonts w:cs="Calibri"/>
                <w:lang w:val="en-IN" w:eastAsia="en-IN"/>
              </w:rPr>
            </w:pPr>
            <w:r w:rsidRPr="00B53423">
              <w:rPr>
                <w:rFonts w:cs="Calibri"/>
                <w:lang w:val="en-IN" w:eastAsia="en-IN"/>
              </w:rPr>
              <w:t>Transmission Tariff (Rs./kWh)</w:t>
            </w:r>
          </w:p>
        </w:tc>
        <w:tc>
          <w:tcPr>
            <w:tcW w:w="856" w:type="pct"/>
            <w:shd w:val="clear" w:color="auto" w:fill="auto"/>
            <w:noWrap/>
            <w:vAlign w:val="center"/>
            <w:hideMark/>
          </w:tcPr>
          <w:p w:rsidR="00C63F1E" w:rsidRPr="00B53423" w:rsidRDefault="00C63F1E" w:rsidP="0015232B">
            <w:pPr>
              <w:spacing w:before="0" w:line="240" w:lineRule="auto"/>
              <w:jc w:val="center"/>
              <w:rPr>
                <w:rFonts w:cs="Calibri"/>
                <w:color w:val="000000"/>
                <w:lang w:val="en-IN" w:eastAsia="en-IN"/>
              </w:rPr>
            </w:pPr>
            <w:r w:rsidRPr="00B53423">
              <w:rPr>
                <w:rFonts w:cs="Calibri"/>
                <w:color w:val="000000"/>
                <w:lang w:val="en-IN" w:eastAsia="en-IN"/>
              </w:rPr>
              <w:t>B</w:t>
            </w:r>
          </w:p>
        </w:tc>
        <w:tc>
          <w:tcPr>
            <w:tcW w:w="930" w:type="pct"/>
            <w:vAlign w:val="center"/>
          </w:tcPr>
          <w:p w:rsidR="00C63F1E" w:rsidRPr="00B53423" w:rsidRDefault="00C63F1E" w:rsidP="0015232B">
            <w:pPr>
              <w:spacing w:before="0" w:line="240" w:lineRule="auto"/>
              <w:ind w:right="252"/>
              <w:jc w:val="right"/>
              <w:rPr>
                <w:rFonts w:cs="Calibri"/>
                <w:color w:val="000000"/>
              </w:rPr>
            </w:pPr>
            <w:r w:rsidRPr="00B53423">
              <w:rPr>
                <w:rFonts w:cs="Calibri"/>
                <w:color w:val="000000"/>
              </w:rPr>
              <w:t>0.217</w:t>
            </w:r>
          </w:p>
        </w:tc>
        <w:tc>
          <w:tcPr>
            <w:tcW w:w="735" w:type="pct"/>
            <w:shd w:val="clear" w:color="auto" w:fill="auto"/>
            <w:noWrap/>
            <w:vAlign w:val="center"/>
            <w:hideMark/>
          </w:tcPr>
          <w:p w:rsidR="00C63F1E" w:rsidRPr="00B53423" w:rsidRDefault="00C63F1E" w:rsidP="0015232B">
            <w:pPr>
              <w:spacing w:before="0" w:line="240" w:lineRule="auto"/>
              <w:ind w:right="134"/>
              <w:jc w:val="right"/>
              <w:rPr>
                <w:rFonts w:cs="Calibri"/>
                <w:color w:val="000000"/>
              </w:rPr>
            </w:pPr>
            <w:r w:rsidRPr="00B53423">
              <w:rPr>
                <w:rFonts w:cs="Calibri"/>
                <w:color w:val="000000"/>
                <w:sz w:val="22"/>
                <w:szCs w:val="22"/>
              </w:rPr>
              <w:t xml:space="preserve">  0.194 </w:t>
            </w:r>
          </w:p>
        </w:tc>
      </w:tr>
      <w:tr w:rsidR="00C63F1E" w:rsidRPr="00B53423" w:rsidTr="00C63F1E">
        <w:trPr>
          <w:trHeight w:val="300"/>
        </w:trPr>
        <w:tc>
          <w:tcPr>
            <w:tcW w:w="2479" w:type="pct"/>
            <w:shd w:val="clear" w:color="auto" w:fill="auto"/>
            <w:vAlign w:val="center"/>
            <w:hideMark/>
          </w:tcPr>
          <w:p w:rsidR="00C63F1E" w:rsidRPr="00B53423" w:rsidRDefault="00C63F1E" w:rsidP="0015232B">
            <w:pPr>
              <w:spacing w:before="0" w:line="240" w:lineRule="auto"/>
              <w:jc w:val="left"/>
              <w:rPr>
                <w:rFonts w:cs="Calibri"/>
                <w:lang w:val="en-IN" w:eastAsia="en-IN"/>
              </w:rPr>
            </w:pPr>
            <w:r w:rsidRPr="00B53423">
              <w:rPr>
                <w:rFonts w:cs="Calibri"/>
                <w:lang w:val="en-IN" w:eastAsia="en-IN"/>
              </w:rPr>
              <w:t>Transmission Cost (Rs. Crore)</w:t>
            </w:r>
          </w:p>
        </w:tc>
        <w:tc>
          <w:tcPr>
            <w:tcW w:w="856" w:type="pct"/>
            <w:shd w:val="clear" w:color="auto" w:fill="auto"/>
            <w:noWrap/>
            <w:vAlign w:val="center"/>
            <w:hideMark/>
          </w:tcPr>
          <w:p w:rsidR="00C63F1E" w:rsidRPr="00B53423" w:rsidRDefault="00C63F1E" w:rsidP="0015232B">
            <w:pPr>
              <w:spacing w:before="0" w:line="240" w:lineRule="auto"/>
              <w:jc w:val="center"/>
              <w:rPr>
                <w:rFonts w:cs="Calibri"/>
                <w:color w:val="000000"/>
                <w:lang w:val="en-IN" w:eastAsia="en-IN"/>
              </w:rPr>
            </w:pPr>
            <w:r w:rsidRPr="00B53423">
              <w:rPr>
                <w:rFonts w:cs="Calibri"/>
                <w:color w:val="000000"/>
                <w:lang w:val="en-IN" w:eastAsia="en-IN"/>
              </w:rPr>
              <w:t xml:space="preserve">C =A*B /10 </w:t>
            </w:r>
          </w:p>
        </w:tc>
        <w:tc>
          <w:tcPr>
            <w:tcW w:w="930" w:type="pct"/>
            <w:vAlign w:val="center"/>
          </w:tcPr>
          <w:p w:rsidR="00C63F1E" w:rsidRPr="00B53423" w:rsidRDefault="00C63F1E" w:rsidP="0015232B">
            <w:pPr>
              <w:spacing w:before="0" w:line="240" w:lineRule="auto"/>
              <w:ind w:right="252"/>
              <w:jc w:val="right"/>
              <w:rPr>
                <w:rFonts w:cs="Calibri"/>
                <w:color w:val="000000"/>
              </w:rPr>
            </w:pPr>
            <w:r w:rsidRPr="00B53423">
              <w:rPr>
                <w:rFonts w:cs="Calibri"/>
                <w:color w:val="000000"/>
              </w:rPr>
              <w:t>84.34</w:t>
            </w:r>
          </w:p>
        </w:tc>
        <w:tc>
          <w:tcPr>
            <w:tcW w:w="735" w:type="pct"/>
            <w:shd w:val="clear" w:color="auto" w:fill="auto"/>
            <w:noWrap/>
            <w:vAlign w:val="center"/>
            <w:hideMark/>
          </w:tcPr>
          <w:p w:rsidR="00C63F1E" w:rsidRPr="00B53423" w:rsidRDefault="00C63F1E" w:rsidP="0015232B">
            <w:pPr>
              <w:spacing w:before="0" w:line="240" w:lineRule="auto"/>
              <w:ind w:right="134"/>
              <w:jc w:val="right"/>
              <w:rPr>
                <w:rFonts w:cs="Calibri"/>
                <w:color w:val="000000"/>
              </w:rPr>
            </w:pPr>
            <w:r w:rsidRPr="00B53423">
              <w:rPr>
                <w:rFonts w:ascii="Arial" w:hAnsi="Arial" w:cs="Arial"/>
                <w:sz w:val="20"/>
                <w:szCs w:val="20"/>
              </w:rPr>
              <w:t xml:space="preserve"> 62.25 </w:t>
            </w:r>
          </w:p>
        </w:tc>
      </w:tr>
    </w:tbl>
    <w:p w:rsidR="004C74C2" w:rsidRPr="00B53423" w:rsidRDefault="004C74C2" w:rsidP="0015232B">
      <w:pPr>
        <w:pStyle w:val="Heading3"/>
        <w:keepNext w:val="0"/>
        <w:numPr>
          <w:ilvl w:val="0"/>
          <w:numId w:val="0"/>
        </w:numPr>
        <w:rPr>
          <w:sz w:val="23"/>
          <w:szCs w:val="23"/>
        </w:rPr>
      </w:pPr>
    </w:p>
    <w:p w:rsidR="004C74C2" w:rsidRPr="00B53423" w:rsidRDefault="004C74C2" w:rsidP="0015232B">
      <w:pPr>
        <w:pStyle w:val="Heading3"/>
        <w:keepNext w:val="0"/>
        <w:numPr>
          <w:ilvl w:val="0"/>
          <w:numId w:val="0"/>
        </w:numPr>
      </w:pPr>
    </w:p>
    <w:p w:rsidR="004C74C2" w:rsidRPr="00B53423" w:rsidRDefault="004C74C2" w:rsidP="0015232B">
      <w:pPr>
        <w:pStyle w:val="Heading2"/>
        <w:keepNext w:val="0"/>
        <w:ind w:left="720" w:hanging="1080"/>
      </w:pPr>
      <w:bookmarkStart w:id="652" w:name="_Toc356322599"/>
      <w:bookmarkStart w:id="653" w:name="_Toc357733329"/>
      <w:bookmarkStart w:id="654" w:name="_Toc399626227"/>
      <w:r w:rsidRPr="00B53423">
        <w:t>O&amp;M EXPENSES</w:t>
      </w:r>
      <w:bookmarkEnd w:id="652"/>
      <w:bookmarkEnd w:id="653"/>
      <w:bookmarkEnd w:id="654"/>
    </w:p>
    <w:p w:rsidR="004C74C2" w:rsidRPr="00B53423" w:rsidRDefault="004C74C2" w:rsidP="0015232B">
      <w:pPr>
        <w:tabs>
          <w:tab w:val="left" w:pos="360"/>
        </w:tabs>
        <w:spacing w:before="0"/>
      </w:pPr>
    </w:p>
    <w:p w:rsidR="004C74C2" w:rsidRPr="00B53423" w:rsidRDefault="004C74C2" w:rsidP="0015232B">
      <w:pPr>
        <w:pStyle w:val="Heading3"/>
        <w:keepNext w:val="0"/>
        <w:ind w:hanging="1080"/>
      </w:pPr>
      <w:r w:rsidRPr="00B53423">
        <w:t>The Petitioner submitted that the O&amp;M expenses comprise of Employee costs, Administrative &amp; General (A&amp;G) Expenses and Repair &amp; Maintenance (R&amp;M) expenses. Regulation 4.3 of the Distribution Tariff Regulations, 2006 issued by the Commission specifies as follows:</w:t>
      </w:r>
    </w:p>
    <w:p w:rsidR="004C74C2" w:rsidRPr="00B53423" w:rsidRDefault="004C74C2" w:rsidP="0015232B">
      <w:pPr>
        <w:pStyle w:val="Heading3"/>
        <w:keepNext w:val="0"/>
        <w:numPr>
          <w:ilvl w:val="0"/>
          <w:numId w:val="0"/>
        </w:numPr>
        <w:ind w:left="770"/>
      </w:pPr>
    </w:p>
    <w:p w:rsidR="004C74C2" w:rsidRPr="00B53423" w:rsidRDefault="004C74C2" w:rsidP="0015232B">
      <w:pPr>
        <w:pStyle w:val="Heading3"/>
        <w:keepNext w:val="0"/>
        <w:numPr>
          <w:ilvl w:val="0"/>
          <w:numId w:val="0"/>
        </w:numPr>
        <w:ind w:left="1170"/>
      </w:pPr>
      <w:r w:rsidRPr="00B53423">
        <w:t>“...</w:t>
      </w:r>
    </w:p>
    <w:p w:rsidR="004C74C2" w:rsidRPr="00B53423" w:rsidRDefault="004C74C2" w:rsidP="0015232B">
      <w:pPr>
        <w:numPr>
          <w:ilvl w:val="0"/>
          <w:numId w:val="9"/>
        </w:numPr>
        <w:tabs>
          <w:tab w:val="left" w:pos="720"/>
        </w:tabs>
        <w:spacing w:before="0"/>
        <w:ind w:left="1220" w:hanging="50"/>
        <w:outlineLvl w:val="2"/>
        <w:rPr>
          <w:rFonts w:cs="Arial"/>
          <w:bCs/>
          <w:i/>
          <w:szCs w:val="26"/>
        </w:rPr>
      </w:pPr>
      <w:r w:rsidRPr="00B53423">
        <w:rPr>
          <w:rFonts w:cs="Arial"/>
          <w:bCs/>
          <w:i/>
          <w:szCs w:val="26"/>
        </w:rPr>
        <w:t>The O&amp;M expenses comprise of employee cost, repairs &amp; maintenance (R&amp;M) cost and administrative &amp; general (A&amp;G) cost. The O&amp;M expenses for the base year shall be calculated on the basis of historical/audited costs and past trend during the preceding five years. However, any abnormal variation during the preceding five years shall be excluded. For determination of the O&amp;M expenses of the year under consideration, the O &amp; M expenses of the base year shall be escalated at inflation rates notified by the Central Government for different years. The inflation rate for above purpose shall be the weighted average of Wholesale Price Index and Consumer Price Index in the ratio of 60:40. Base year, for these regulations means, the first year of tariff determination under these regulations.</w:t>
      </w:r>
    </w:p>
    <w:p w:rsidR="004C74C2" w:rsidRPr="00B53423" w:rsidRDefault="004C74C2" w:rsidP="0015232B">
      <w:pPr>
        <w:numPr>
          <w:ilvl w:val="0"/>
          <w:numId w:val="9"/>
        </w:numPr>
        <w:tabs>
          <w:tab w:val="left" w:pos="720"/>
        </w:tabs>
        <w:spacing w:before="0"/>
        <w:ind w:left="1220" w:hanging="50"/>
        <w:outlineLvl w:val="2"/>
        <w:rPr>
          <w:rFonts w:cs="Arial"/>
          <w:bCs/>
          <w:i/>
          <w:szCs w:val="26"/>
        </w:rPr>
      </w:pPr>
      <w:r w:rsidRPr="00B53423">
        <w:rPr>
          <w:rFonts w:cs="Arial"/>
          <w:bCs/>
          <w:i/>
          <w:szCs w:val="26"/>
        </w:rPr>
        <w:t xml:space="preserve"> Where such data for the preceding five years is not available the Commission may fix O&amp;M expenses for the base year as certain percentage of the capital cost.</w:t>
      </w:r>
    </w:p>
    <w:p w:rsidR="004C74C2" w:rsidRPr="00B53423" w:rsidRDefault="004C74C2" w:rsidP="0015232B">
      <w:pPr>
        <w:numPr>
          <w:ilvl w:val="0"/>
          <w:numId w:val="9"/>
        </w:numPr>
        <w:tabs>
          <w:tab w:val="left" w:pos="720"/>
        </w:tabs>
        <w:spacing w:before="0" w:after="240"/>
        <w:ind w:left="1120" w:firstLine="40"/>
        <w:outlineLvl w:val="2"/>
        <w:rPr>
          <w:rFonts w:cs="Calibri"/>
          <w:bCs/>
          <w:szCs w:val="26"/>
        </w:rPr>
      </w:pPr>
      <w:r w:rsidRPr="00B53423">
        <w:rPr>
          <w:rFonts w:cs="Arial"/>
          <w:bCs/>
          <w:i/>
          <w:szCs w:val="26"/>
        </w:rPr>
        <w:t xml:space="preserve"> Incremental O&amp;M expenses for the ensuing financial year shall be 2.5% of capital addition during the current year. O&amp;M charges for the ensuing financial year shall be sum of incremental O&amp;M expenses so worked out and O&amp;M charges of current year escalated on the basis of predetermined indices as indicated in regulation 4.3 (1)..………….”</w:t>
      </w:r>
    </w:p>
    <w:p w:rsidR="004C74C2" w:rsidRPr="00B53423" w:rsidRDefault="004C74C2" w:rsidP="0015232B">
      <w:pPr>
        <w:pStyle w:val="Heading3"/>
        <w:keepNext w:val="0"/>
        <w:numPr>
          <w:ilvl w:val="0"/>
          <w:numId w:val="0"/>
        </w:numPr>
        <w:rPr>
          <w:bCs w:val="0"/>
          <w:sz w:val="23"/>
          <w:szCs w:val="23"/>
        </w:rPr>
      </w:pPr>
    </w:p>
    <w:p w:rsidR="004C74C2" w:rsidRPr="00B53423" w:rsidRDefault="004C74C2" w:rsidP="0015232B">
      <w:pPr>
        <w:pStyle w:val="Heading3"/>
        <w:keepNext w:val="0"/>
        <w:ind w:hanging="1080"/>
      </w:pPr>
      <w:r w:rsidRPr="00B53423">
        <w:t>The Petitioner submitted that it has computed the allowable O&amp;M expenses up to FY 2011-12 in its True-up Petition filed before the Commission on 14</w:t>
      </w:r>
      <w:r w:rsidRPr="00B53423">
        <w:rPr>
          <w:vertAlign w:val="superscript"/>
        </w:rPr>
        <w:t>th</w:t>
      </w:r>
      <w:r w:rsidRPr="00B53423">
        <w:t xml:space="preserve"> May, 2013. The Petitioner submitted that the allowable O&amp;M expenses for FY 2014-15 have been claimed by escalating the component wise actual O&amp;M expenses for FY 2011-12 by using the yearly inflation indices approved by the Commission up to FY 2013-14 in its Tariff Order dated 31</w:t>
      </w:r>
      <w:r w:rsidR="004D0378" w:rsidRPr="00B53423">
        <w:rPr>
          <w:vertAlign w:val="superscript"/>
        </w:rPr>
        <w:t>st</w:t>
      </w:r>
      <w:r w:rsidRPr="00B53423">
        <w:t xml:space="preserve"> May, 2013 and at the rate of 8.15% for FY 2014-15.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Further, in accordance with the Distribution Tariff Regulations, 2006, the Petitioner has computed incremental O&amp;M expenses which have further been allocated across the individual elements of the O&amp;M expenses on the basis of contribution of each element in the gross O&amp;M expenses excluding incremental O&amp;M expenses.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submitted that increase in dearness pay may be higher than the escalation index determined as per the Distribution Tariff Regulations, 2006 and requested the Commission that any variation in employee expenses due to increase in dearness pay may be considered by the Commission at the time of True-up for the relevant year based on specific submissions by the Petitioner in this regard.</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The Commission has computed the normative O&amp;M expenses for FY 2014-15 by escalating the normative O&amp;M expenses of FY 2013-14 with the escalation index of 7.66%. Since, escalation index of FY 2014-15 cannot be computed at this stage, escalation index of FY 2013-14 has been considered to project the normative O&amp;M expense of FY 2014-15. The escalation index computation has been shown in </w:t>
      </w:r>
      <w:fldSimple w:instr=" REF _Ref395785845 \h  \* MERGEFORMAT ">
        <w:r w:rsidR="00847C1B" w:rsidRPr="00B53423">
          <w:rPr>
            <w:b/>
          </w:rPr>
          <w:t xml:space="preserve">Table </w:t>
        </w:r>
        <w:r w:rsidR="00847C1B">
          <w:rPr>
            <w:b/>
            <w:noProof/>
          </w:rPr>
          <w:t>4</w:t>
        </w:r>
        <w:r w:rsidR="00847C1B" w:rsidRPr="00B53423">
          <w:rPr>
            <w:b/>
            <w:noProof/>
          </w:rPr>
          <w:noBreakHyphen/>
        </w:r>
        <w:r w:rsidR="00847C1B">
          <w:rPr>
            <w:b/>
            <w:noProof/>
          </w:rPr>
          <w:t>3</w:t>
        </w:r>
      </w:fldSimple>
      <w:r w:rsidRPr="00B53423">
        <w:t xml:space="preserve"> of Chapter 4 of this Order.</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Further, in addition to the O&amp;M expenses based on inflationary indices based escalation, the Commission has also worked out incremental O&amp;M expenses for FY 2014-15 and has further allocated the same across the individual elements of the O&amp;M expenses on the basis of the contribution of each element in the O&amp;M expenses.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It is observed that the Normative O&amp;M expenses computed by the Commission after considering base year as FY 2007-08 are working out higher than the O&amp;M expenses estimated by the Petitioner. Further, since, the O&amp;M expenses for the past years have been consistently lower than the normative O&amp;M Expenses, it may not be appropriate to allow higher normative O&amp;M Expenses. Also, the Petitioner has claimed O&amp;M expenses lower than the normative expenses as shown in the Table below:</w:t>
      </w:r>
    </w:p>
    <w:p w:rsidR="004C74C2" w:rsidRPr="00B53423" w:rsidRDefault="004C74C2" w:rsidP="0015232B">
      <w:pPr>
        <w:pStyle w:val="ListParagraph"/>
        <w:ind w:left="180"/>
        <w:rPr>
          <w:rFonts w:cs="Calibri"/>
          <w:bCs/>
        </w:rPr>
      </w:pPr>
    </w:p>
    <w:p w:rsidR="004C74C2" w:rsidRPr="00B53423" w:rsidRDefault="004C74C2" w:rsidP="0015232B">
      <w:pPr>
        <w:pStyle w:val="Heading3"/>
        <w:keepNext w:val="0"/>
        <w:numPr>
          <w:ilvl w:val="0"/>
          <w:numId w:val="0"/>
        </w:numPr>
        <w:spacing w:line="240" w:lineRule="auto"/>
        <w:jc w:val="center"/>
        <w:rPr>
          <w:b/>
        </w:rPr>
      </w:pPr>
      <w:bookmarkStart w:id="655" w:name="_Toc399626421"/>
      <w:r w:rsidRPr="00B53423">
        <w:rPr>
          <w:b/>
        </w:rPr>
        <w:t xml:space="preserve">Table </w:t>
      </w:r>
      <w:r w:rsidR="005D68E7" w:rsidRPr="00B53423">
        <w:rPr>
          <w:b/>
        </w:rPr>
        <w:fldChar w:fldCharType="begin"/>
      </w:r>
      <w:r w:rsidRPr="00B53423">
        <w:rPr>
          <w:b/>
        </w:rPr>
        <w:instrText xml:space="preserve"> STYLEREF 1 \s </w:instrText>
      </w:r>
      <w:r w:rsidR="005D68E7" w:rsidRPr="00B53423">
        <w:rPr>
          <w:b/>
        </w:rPr>
        <w:fldChar w:fldCharType="separate"/>
      </w:r>
      <w:r w:rsidR="00847C1B">
        <w:rPr>
          <w:b/>
          <w:noProof/>
        </w:rPr>
        <w:t>9</w:t>
      </w:r>
      <w:r w:rsidR="005D68E7" w:rsidRPr="00B53423">
        <w:rPr>
          <w:b/>
        </w:rPr>
        <w:fldChar w:fldCharType="end"/>
      </w:r>
      <w:r w:rsidRPr="00B53423">
        <w:rPr>
          <w:b/>
        </w:rPr>
        <w:noBreakHyphen/>
      </w:r>
      <w:r w:rsidR="005D68E7" w:rsidRPr="00B53423">
        <w:rPr>
          <w:b/>
        </w:rPr>
        <w:fldChar w:fldCharType="begin"/>
      </w:r>
      <w:r w:rsidRPr="00B53423">
        <w:rPr>
          <w:b/>
        </w:rPr>
        <w:instrText xml:space="preserve"> SEQ Table \* ARABIC \s 1 </w:instrText>
      </w:r>
      <w:r w:rsidR="005D68E7" w:rsidRPr="00B53423">
        <w:rPr>
          <w:b/>
        </w:rPr>
        <w:fldChar w:fldCharType="separate"/>
      </w:r>
      <w:r w:rsidR="00847C1B">
        <w:rPr>
          <w:b/>
          <w:noProof/>
        </w:rPr>
        <w:t>16</w:t>
      </w:r>
      <w:r w:rsidR="005D68E7" w:rsidRPr="00B53423">
        <w:rPr>
          <w:b/>
        </w:rPr>
        <w:fldChar w:fldCharType="end"/>
      </w:r>
      <w:r w:rsidRPr="00B53423">
        <w:rPr>
          <w:b/>
        </w:rPr>
        <w:t>: PAST TREND IN O&amp;M EXPENSES (Rs. Crore)</w:t>
      </w:r>
      <w:bookmarkEnd w:id="655"/>
    </w:p>
    <w:tbl>
      <w:tblPr>
        <w:tblW w:w="8756" w:type="dxa"/>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144"/>
        <w:gridCol w:w="871"/>
        <w:gridCol w:w="871"/>
        <w:gridCol w:w="871"/>
        <w:gridCol w:w="871"/>
        <w:gridCol w:w="1224"/>
        <w:gridCol w:w="802"/>
        <w:gridCol w:w="938"/>
        <w:gridCol w:w="1164"/>
      </w:tblGrid>
      <w:tr w:rsidR="004C74C2" w:rsidRPr="00B53423" w:rsidTr="009268E4">
        <w:trPr>
          <w:trHeight w:val="1227"/>
          <w:tblHeader/>
        </w:trPr>
        <w:tc>
          <w:tcPr>
            <w:tcW w:w="1144" w:type="dxa"/>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color w:val="000000"/>
                <w:sz w:val="20"/>
                <w:szCs w:val="20"/>
                <w:lang w:val="en-US"/>
              </w:rPr>
              <w:t>O&amp;M Expenses</w:t>
            </w:r>
          </w:p>
        </w:tc>
        <w:tc>
          <w:tcPr>
            <w:tcW w:w="871" w:type="dxa"/>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color w:val="000000"/>
                <w:sz w:val="20"/>
                <w:szCs w:val="20"/>
                <w:lang w:val="en-US"/>
              </w:rPr>
              <w:t>FY 09 Actual</w:t>
            </w:r>
          </w:p>
        </w:tc>
        <w:tc>
          <w:tcPr>
            <w:tcW w:w="871" w:type="dxa"/>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color w:val="000000"/>
                <w:sz w:val="20"/>
                <w:szCs w:val="20"/>
                <w:lang w:val="en-US"/>
              </w:rPr>
              <w:t>FY 10 Actual</w:t>
            </w:r>
          </w:p>
        </w:tc>
        <w:tc>
          <w:tcPr>
            <w:tcW w:w="871" w:type="dxa"/>
            <w:shd w:val="clear" w:color="auto" w:fill="DBE5F1" w:themeFill="accent1" w:themeFillTint="33"/>
            <w:vAlign w:val="center"/>
            <w:hideMark/>
          </w:tcPr>
          <w:p w:rsidR="004C74C2" w:rsidRPr="00B53423" w:rsidRDefault="004C74C2" w:rsidP="0015232B">
            <w:pPr>
              <w:spacing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color w:val="000000"/>
                <w:sz w:val="20"/>
                <w:szCs w:val="20"/>
                <w:lang w:val="en-US"/>
              </w:rPr>
              <w:t>FY 11 Actual</w:t>
            </w:r>
          </w:p>
        </w:tc>
        <w:tc>
          <w:tcPr>
            <w:tcW w:w="871" w:type="dxa"/>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color w:val="000000"/>
                <w:sz w:val="20"/>
                <w:szCs w:val="20"/>
                <w:lang w:val="en-US"/>
              </w:rPr>
              <w:t>FY 12 Actual</w:t>
            </w:r>
          </w:p>
        </w:tc>
        <w:tc>
          <w:tcPr>
            <w:tcW w:w="1224" w:type="dxa"/>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color w:val="000000"/>
                <w:sz w:val="20"/>
                <w:szCs w:val="20"/>
                <w:lang w:val="en-US"/>
              </w:rPr>
              <w:t>FY 13 Provisional</w:t>
            </w:r>
          </w:p>
        </w:tc>
        <w:tc>
          <w:tcPr>
            <w:tcW w:w="802" w:type="dxa"/>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color w:val="000000"/>
                <w:sz w:val="20"/>
                <w:szCs w:val="20"/>
                <w:lang w:val="en-US"/>
              </w:rPr>
              <w:t>FY 14 Tariff Order</w:t>
            </w:r>
          </w:p>
        </w:tc>
        <w:tc>
          <w:tcPr>
            <w:tcW w:w="938" w:type="dxa"/>
            <w:shd w:val="clear" w:color="auto" w:fill="DBE5F1" w:themeFill="accent1" w:themeFillTint="33"/>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color w:val="000000"/>
                <w:sz w:val="20"/>
                <w:szCs w:val="20"/>
                <w:lang w:val="en-US"/>
              </w:rPr>
              <w:t>FY 15 ARR Petition</w:t>
            </w:r>
          </w:p>
        </w:tc>
        <w:tc>
          <w:tcPr>
            <w:tcW w:w="1164" w:type="dxa"/>
            <w:shd w:val="clear" w:color="auto" w:fill="DBE5F1" w:themeFill="accent1" w:themeFillTint="33"/>
            <w:vAlign w:val="center"/>
            <w:hideMark/>
          </w:tcPr>
          <w:p w:rsidR="004C74C2" w:rsidRPr="00B53423" w:rsidRDefault="004C74C2" w:rsidP="0015232B">
            <w:pPr>
              <w:spacing w:line="240" w:lineRule="auto"/>
              <w:jc w:val="center"/>
              <w:rPr>
                <w:rFonts w:asciiTheme="minorHAnsi" w:hAnsiTheme="minorHAnsi" w:cstheme="minorHAnsi"/>
                <w:b/>
                <w:bCs/>
                <w:color w:val="000000"/>
                <w:sz w:val="20"/>
                <w:szCs w:val="20"/>
                <w:lang w:val="en-US"/>
              </w:rPr>
            </w:pPr>
            <w:r w:rsidRPr="00B53423">
              <w:rPr>
                <w:rFonts w:asciiTheme="minorHAnsi" w:hAnsiTheme="minorHAnsi" w:cstheme="minorHAnsi"/>
                <w:b/>
                <w:bCs/>
                <w:color w:val="000000"/>
                <w:sz w:val="20"/>
                <w:szCs w:val="20"/>
                <w:lang w:val="en-US"/>
              </w:rPr>
              <w:t>FY 15 Normative</w:t>
            </w:r>
          </w:p>
        </w:tc>
      </w:tr>
      <w:tr w:rsidR="004C74C2" w:rsidRPr="00B53423" w:rsidTr="009268E4">
        <w:trPr>
          <w:trHeight w:val="315"/>
        </w:trPr>
        <w:tc>
          <w:tcPr>
            <w:tcW w:w="1144" w:type="dxa"/>
            <w:shd w:val="clear" w:color="000000" w:fill="FFFFFF"/>
            <w:vAlign w:val="bottom"/>
            <w:hideMark/>
          </w:tcPr>
          <w:p w:rsidR="004C74C2" w:rsidRPr="00B53423" w:rsidRDefault="004C74C2" w:rsidP="0015232B">
            <w:pPr>
              <w:spacing w:before="0" w:line="240" w:lineRule="auto"/>
              <w:jc w:val="left"/>
              <w:rPr>
                <w:rFonts w:asciiTheme="minorHAnsi" w:hAnsiTheme="minorHAnsi" w:cstheme="minorHAnsi"/>
                <w:color w:val="000000"/>
                <w:sz w:val="20"/>
                <w:szCs w:val="20"/>
                <w:lang w:val="en-US"/>
              </w:rPr>
            </w:pPr>
            <w:r w:rsidRPr="00B53423">
              <w:rPr>
                <w:rFonts w:asciiTheme="minorHAnsi" w:hAnsiTheme="minorHAnsi" w:cstheme="minorHAnsi"/>
                <w:color w:val="000000"/>
                <w:sz w:val="20"/>
                <w:szCs w:val="20"/>
                <w:lang w:val="en-US"/>
              </w:rPr>
              <w:t>KESCO</w:t>
            </w:r>
          </w:p>
        </w:tc>
        <w:tc>
          <w:tcPr>
            <w:tcW w:w="871" w:type="dxa"/>
            <w:shd w:val="clear" w:color="000000" w:fill="FFFFFF"/>
            <w:vAlign w:val="bottom"/>
            <w:hideMark/>
          </w:tcPr>
          <w:p w:rsidR="004C74C2" w:rsidRPr="00B53423" w:rsidRDefault="004C74C2" w:rsidP="0015232B">
            <w:pPr>
              <w:spacing w:before="0" w:line="240" w:lineRule="auto"/>
              <w:jc w:val="right"/>
              <w:rPr>
                <w:rFonts w:asciiTheme="minorHAnsi" w:hAnsiTheme="minorHAnsi" w:cstheme="minorHAnsi"/>
                <w:color w:val="000000"/>
                <w:sz w:val="20"/>
                <w:szCs w:val="20"/>
                <w:lang w:val="en-US"/>
              </w:rPr>
            </w:pPr>
            <w:r w:rsidRPr="00B53423">
              <w:rPr>
                <w:rFonts w:asciiTheme="minorHAnsi" w:hAnsiTheme="minorHAnsi" w:cstheme="minorHAnsi"/>
                <w:color w:val="000000"/>
                <w:sz w:val="20"/>
                <w:szCs w:val="20"/>
                <w:lang w:val="en-US"/>
              </w:rPr>
              <w:t>122.43</w:t>
            </w:r>
          </w:p>
        </w:tc>
        <w:tc>
          <w:tcPr>
            <w:tcW w:w="871" w:type="dxa"/>
            <w:shd w:val="clear" w:color="000000" w:fill="FFFFFF"/>
            <w:vAlign w:val="bottom"/>
            <w:hideMark/>
          </w:tcPr>
          <w:p w:rsidR="004C74C2" w:rsidRPr="00B53423" w:rsidRDefault="004C74C2" w:rsidP="0015232B">
            <w:pPr>
              <w:spacing w:before="0" w:line="240" w:lineRule="auto"/>
              <w:jc w:val="right"/>
              <w:rPr>
                <w:rFonts w:asciiTheme="minorHAnsi" w:hAnsiTheme="minorHAnsi" w:cstheme="minorHAnsi"/>
                <w:color w:val="000000"/>
                <w:sz w:val="20"/>
                <w:szCs w:val="20"/>
                <w:lang w:val="en-US"/>
              </w:rPr>
            </w:pPr>
            <w:r w:rsidRPr="00B53423">
              <w:rPr>
                <w:rFonts w:asciiTheme="minorHAnsi" w:hAnsiTheme="minorHAnsi" w:cstheme="minorHAnsi"/>
                <w:color w:val="000000"/>
                <w:sz w:val="20"/>
                <w:szCs w:val="20"/>
                <w:lang w:val="en-US"/>
              </w:rPr>
              <w:t>120.17</w:t>
            </w:r>
          </w:p>
        </w:tc>
        <w:tc>
          <w:tcPr>
            <w:tcW w:w="871" w:type="dxa"/>
            <w:shd w:val="clear" w:color="000000" w:fill="FFFFFF"/>
            <w:vAlign w:val="bottom"/>
            <w:hideMark/>
          </w:tcPr>
          <w:p w:rsidR="004C74C2" w:rsidRPr="00B53423" w:rsidRDefault="004C74C2" w:rsidP="0015232B">
            <w:pPr>
              <w:spacing w:before="0" w:line="240" w:lineRule="auto"/>
              <w:jc w:val="right"/>
              <w:rPr>
                <w:rFonts w:asciiTheme="minorHAnsi" w:hAnsiTheme="minorHAnsi" w:cstheme="minorHAnsi"/>
                <w:color w:val="000000"/>
                <w:sz w:val="20"/>
                <w:szCs w:val="20"/>
                <w:lang w:val="en-US"/>
              </w:rPr>
            </w:pPr>
            <w:r w:rsidRPr="00B53423">
              <w:rPr>
                <w:rFonts w:asciiTheme="minorHAnsi" w:hAnsiTheme="minorHAnsi" w:cstheme="minorHAnsi"/>
                <w:color w:val="000000"/>
                <w:sz w:val="20"/>
                <w:szCs w:val="20"/>
                <w:lang w:val="en-US"/>
              </w:rPr>
              <w:t>125.23</w:t>
            </w:r>
          </w:p>
        </w:tc>
        <w:tc>
          <w:tcPr>
            <w:tcW w:w="871" w:type="dxa"/>
            <w:shd w:val="clear" w:color="000000" w:fill="FFFFFF"/>
            <w:vAlign w:val="bottom"/>
            <w:hideMark/>
          </w:tcPr>
          <w:p w:rsidR="004C74C2" w:rsidRPr="00B53423" w:rsidRDefault="004C74C2" w:rsidP="0015232B">
            <w:pPr>
              <w:spacing w:before="0" w:line="240" w:lineRule="auto"/>
              <w:jc w:val="right"/>
              <w:rPr>
                <w:rFonts w:asciiTheme="minorHAnsi" w:hAnsiTheme="minorHAnsi" w:cstheme="minorHAnsi"/>
                <w:color w:val="000000"/>
                <w:sz w:val="20"/>
                <w:szCs w:val="20"/>
                <w:lang w:val="en-US"/>
              </w:rPr>
            </w:pPr>
            <w:r w:rsidRPr="00B53423">
              <w:rPr>
                <w:rFonts w:asciiTheme="minorHAnsi" w:hAnsiTheme="minorHAnsi" w:cstheme="minorHAnsi"/>
                <w:color w:val="000000"/>
                <w:sz w:val="20"/>
                <w:szCs w:val="20"/>
                <w:lang w:val="en-US"/>
              </w:rPr>
              <w:t>133.76</w:t>
            </w:r>
          </w:p>
        </w:tc>
        <w:tc>
          <w:tcPr>
            <w:tcW w:w="1224" w:type="dxa"/>
            <w:shd w:val="clear" w:color="000000" w:fill="FFFFFF"/>
            <w:vAlign w:val="bottom"/>
            <w:hideMark/>
          </w:tcPr>
          <w:p w:rsidR="004C74C2" w:rsidRPr="00B53423" w:rsidRDefault="004C74C2" w:rsidP="0015232B">
            <w:pPr>
              <w:spacing w:before="0" w:line="240" w:lineRule="auto"/>
              <w:jc w:val="right"/>
              <w:rPr>
                <w:rFonts w:asciiTheme="minorHAnsi" w:hAnsiTheme="minorHAnsi" w:cstheme="minorHAnsi"/>
                <w:color w:val="000000"/>
                <w:sz w:val="20"/>
                <w:szCs w:val="20"/>
                <w:lang w:val="en-US"/>
              </w:rPr>
            </w:pPr>
            <w:r w:rsidRPr="00B53423">
              <w:rPr>
                <w:rFonts w:asciiTheme="minorHAnsi" w:hAnsiTheme="minorHAnsi" w:cstheme="minorHAnsi"/>
                <w:color w:val="000000"/>
                <w:sz w:val="20"/>
                <w:szCs w:val="20"/>
                <w:lang w:val="en-US"/>
              </w:rPr>
              <w:t>151.41</w:t>
            </w:r>
          </w:p>
        </w:tc>
        <w:tc>
          <w:tcPr>
            <w:tcW w:w="802" w:type="dxa"/>
            <w:shd w:val="clear" w:color="000000" w:fill="FFFFFF"/>
            <w:vAlign w:val="bottom"/>
            <w:hideMark/>
          </w:tcPr>
          <w:p w:rsidR="004C74C2" w:rsidRPr="00B53423" w:rsidRDefault="004C74C2" w:rsidP="0015232B">
            <w:pPr>
              <w:spacing w:before="0" w:line="240" w:lineRule="auto"/>
              <w:jc w:val="right"/>
              <w:rPr>
                <w:rFonts w:asciiTheme="minorHAnsi" w:hAnsiTheme="minorHAnsi" w:cstheme="minorHAnsi"/>
                <w:bCs/>
                <w:color w:val="000000"/>
                <w:sz w:val="20"/>
                <w:szCs w:val="20"/>
                <w:lang w:val="en-US"/>
              </w:rPr>
            </w:pPr>
            <w:r w:rsidRPr="00B53423">
              <w:rPr>
                <w:rFonts w:asciiTheme="minorHAnsi" w:hAnsiTheme="minorHAnsi" w:cstheme="minorHAnsi"/>
                <w:bCs/>
                <w:color w:val="000000"/>
                <w:sz w:val="20"/>
                <w:szCs w:val="20"/>
                <w:lang w:val="en-US"/>
              </w:rPr>
              <w:t>168.2</w:t>
            </w:r>
          </w:p>
        </w:tc>
        <w:tc>
          <w:tcPr>
            <w:tcW w:w="938" w:type="dxa"/>
            <w:shd w:val="clear" w:color="000000" w:fill="FFFFFF"/>
            <w:vAlign w:val="bottom"/>
            <w:hideMark/>
          </w:tcPr>
          <w:p w:rsidR="004C74C2" w:rsidRPr="00B53423" w:rsidRDefault="004C74C2" w:rsidP="0015232B">
            <w:pPr>
              <w:spacing w:before="0" w:line="240" w:lineRule="auto"/>
              <w:jc w:val="right"/>
              <w:rPr>
                <w:rFonts w:asciiTheme="minorHAnsi" w:hAnsiTheme="minorHAnsi" w:cstheme="minorHAnsi"/>
                <w:color w:val="000000"/>
                <w:sz w:val="20"/>
                <w:szCs w:val="20"/>
                <w:lang w:val="en-US"/>
              </w:rPr>
            </w:pPr>
            <w:r w:rsidRPr="00B53423">
              <w:rPr>
                <w:rFonts w:asciiTheme="minorHAnsi" w:hAnsiTheme="minorHAnsi" w:cstheme="minorHAnsi"/>
                <w:color w:val="000000"/>
                <w:sz w:val="20"/>
                <w:szCs w:val="20"/>
                <w:lang w:val="en-US"/>
              </w:rPr>
              <w:t>158.45</w:t>
            </w:r>
          </w:p>
        </w:tc>
        <w:tc>
          <w:tcPr>
            <w:tcW w:w="1164" w:type="dxa"/>
            <w:shd w:val="clear" w:color="000000" w:fill="FFFFFF"/>
            <w:vAlign w:val="bottom"/>
            <w:hideMark/>
          </w:tcPr>
          <w:p w:rsidR="004C74C2" w:rsidRPr="00B53423" w:rsidRDefault="004C74C2" w:rsidP="0015232B">
            <w:pPr>
              <w:spacing w:before="0" w:line="240" w:lineRule="auto"/>
              <w:jc w:val="right"/>
              <w:rPr>
                <w:rFonts w:asciiTheme="minorHAnsi" w:hAnsiTheme="minorHAnsi" w:cstheme="minorHAnsi"/>
                <w:color w:val="000000"/>
                <w:sz w:val="20"/>
                <w:szCs w:val="20"/>
                <w:lang w:val="en-US"/>
              </w:rPr>
            </w:pPr>
            <w:r w:rsidRPr="00B53423">
              <w:rPr>
                <w:rFonts w:asciiTheme="minorHAnsi" w:hAnsiTheme="minorHAnsi" w:cstheme="minorHAnsi"/>
                <w:color w:val="000000"/>
                <w:sz w:val="20"/>
                <w:szCs w:val="20"/>
                <w:lang w:val="en-US"/>
              </w:rPr>
              <w:t>184.05</w:t>
            </w:r>
          </w:p>
        </w:tc>
      </w:tr>
    </w:tbl>
    <w:p w:rsidR="004C74C2" w:rsidRPr="00B53423" w:rsidRDefault="004C74C2" w:rsidP="0015232B">
      <w:pPr>
        <w:pStyle w:val="Heading3"/>
        <w:keepNext w:val="0"/>
        <w:numPr>
          <w:ilvl w:val="0"/>
          <w:numId w:val="0"/>
        </w:numPr>
        <w:tabs>
          <w:tab w:val="left" w:pos="1560"/>
        </w:tabs>
        <w:ind w:left="720"/>
        <w:rPr>
          <w:rFonts w:cs="Calibri"/>
          <w:bCs w:val="0"/>
        </w:rPr>
      </w:pPr>
    </w:p>
    <w:p w:rsidR="004C74C2" w:rsidRPr="00B53423" w:rsidRDefault="004C74C2" w:rsidP="0015232B">
      <w:pPr>
        <w:pStyle w:val="ListParagraph"/>
        <w:ind w:left="180"/>
        <w:rPr>
          <w:rFonts w:cs="Calibri"/>
          <w:bCs/>
        </w:rPr>
      </w:pPr>
    </w:p>
    <w:p w:rsidR="004C74C2" w:rsidRPr="00B53423" w:rsidRDefault="004C74C2" w:rsidP="0015232B">
      <w:pPr>
        <w:pStyle w:val="Heading3"/>
        <w:keepNext w:val="0"/>
        <w:ind w:hanging="1080"/>
        <w:rPr>
          <w:rFonts w:cs="Calibri"/>
          <w:bCs w:val="0"/>
        </w:rPr>
      </w:pPr>
      <w:r w:rsidRPr="00B53423">
        <w:t>Therefore, for the purpose of ARR of FY 2014-15 the Commission has approved O&amp;M expenses as claimed by the Petitioner in its ARR Petition.</w:t>
      </w:r>
      <w:r w:rsidRPr="00B53423">
        <w:rPr>
          <w:rFonts w:cs="Calibri"/>
          <w:bCs w:val="0"/>
        </w:rPr>
        <w:t xml:space="preserve"> The summary of the O&amp;M expenses submitted by the Petitioner and that approved by the Commission for FY 2014-15 is shown in the Table below: </w:t>
      </w:r>
    </w:p>
    <w:p w:rsidR="004C74C2" w:rsidRPr="00B53423" w:rsidRDefault="004C74C2" w:rsidP="0015232B">
      <w:pPr>
        <w:pStyle w:val="Heading3"/>
        <w:keepNext w:val="0"/>
        <w:numPr>
          <w:ilvl w:val="0"/>
          <w:numId w:val="0"/>
        </w:numPr>
        <w:tabs>
          <w:tab w:val="left" w:pos="1560"/>
        </w:tabs>
        <w:ind w:left="720"/>
        <w:rPr>
          <w:rFonts w:cs="Calibri"/>
          <w:bCs w:val="0"/>
        </w:rPr>
      </w:pPr>
    </w:p>
    <w:p w:rsidR="004C74C2" w:rsidRPr="00B53423" w:rsidRDefault="004C74C2" w:rsidP="0015232B">
      <w:pPr>
        <w:pStyle w:val="Heading3"/>
        <w:keepNext w:val="0"/>
        <w:numPr>
          <w:ilvl w:val="0"/>
          <w:numId w:val="0"/>
        </w:numPr>
        <w:spacing w:line="240" w:lineRule="auto"/>
        <w:jc w:val="center"/>
        <w:rPr>
          <w:b/>
        </w:rPr>
      </w:pPr>
      <w:bookmarkStart w:id="656" w:name="_Toc399626422"/>
      <w:r w:rsidRPr="00B53423">
        <w:rPr>
          <w:b/>
        </w:rPr>
        <w:t xml:space="preserve">Table </w:t>
      </w:r>
      <w:r w:rsidR="005D68E7" w:rsidRPr="00B53423">
        <w:rPr>
          <w:b/>
        </w:rPr>
        <w:fldChar w:fldCharType="begin"/>
      </w:r>
      <w:r w:rsidRPr="00B53423">
        <w:rPr>
          <w:b/>
        </w:rPr>
        <w:instrText xml:space="preserve"> STYLEREF 1 \s </w:instrText>
      </w:r>
      <w:r w:rsidR="005D68E7" w:rsidRPr="00B53423">
        <w:rPr>
          <w:b/>
        </w:rPr>
        <w:fldChar w:fldCharType="separate"/>
      </w:r>
      <w:r w:rsidR="00847C1B">
        <w:rPr>
          <w:b/>
          <w:noProof/>
        </w:rPr>
        <w:t>9</w:t>
      </w:r>
      <w:r w:rsidR="005D68E7" w:rsidRPr="00B53423">
        <w:rPr>
          <w:b/>
        </w:rPr>
        <w:fldChar w:fldCharType="end"/>
      </w:r>
      <w:r w:rsidRPr="00B53423">
        <w:rPr>
          <w:b/>
        </w:rPr>
        <w:noBreakHyphen/>
      </w:r>
      <w:r w:rsidR="005D68E7" w:rsidRPr="00B53423">
        <w:rPr>
          <w:b/>
        </w:rPr>
        <w:fldChar w:fldCharType="begin"/>
      </w:r>
      <w:r w:rsidRPr="00B53423">
        <w:rPr>
          <w:b/>
        </w:rPr>
        <w:instrText xml:space="preserve"> SEQ Table \* ARABIC \s 1 </w:instrText>
      </w:r>
      <w:r w:rsidR="005D68E7" w:rsidRPr="00B53423">
        <w:rPr>
          <w:b/>
        </w:rPr>
        <w:fldChar w:fldCharType="separate"/>
      </w:r>
      <w:r w:rsidR="00847C1B">
        <w:rPr>
          <w:b/>
          <w:noProof/>
        </w:rPr>
        <w:t>17</w:t>
      </w:r>
      <w:r w:rsidR="005D68E7" w:rsidRPr="00B53423">
        <w:rPr>
          <w:b/>
        </w:rPr>
        <w:fldChar w:fldCharType="end"/>
      </w:r>
      <w:r w:rsidRPr="00B53423">
        <w:rPr>
          <w:b/>
        </w:rPr>
        <w:t>: O&amp;M EXPENSES UP TO FY 2014-15 (Rs. Crore)</w:t>
      </w:r>
      <w:bookmarkEnd w:id="656"/>
    </w:p>
    <w:tbl>
      <w:tblPr>
        <w:tblW w:w="4771"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375"/>
        <w:gridCol w:w="1540"/>
        <w:gridCol w:w="1632"/>
      </w:tblGrid>
      <w:tr w:rsidR="004C74C2" w:rsidRPr="00B53423" w:rsidTr="009268E4">
        <w:trPr>
          <w:trHeight w:val="152"/>
          <w:tblHeader/>
        </w:trPr>
        <w:tc>
          <w:tcPr>
            <w:tcW w:w="3144" w:type="pct"/>
            <w:shd w:val="clear" w:color="000000" w:fill="DBE5F1"/>
            <w:noWrap/>
            <w:vAlign w:val="center"/>
            <w:hideMark/>
          </w:tcPr>
          <w:p w:rsidR="004C74C2" w:rsidRPr="00B53423" w:rsidRDefault="004C74C2" w:rsidP="0015232B">
            <w:pPr>
              <w:spacing w:before="0" w:line="240" w:lineRule="auto"/>
              <w:jc w:val="center"/>
              <w:rPr>
                <w:b/>
                <w:lang w:val="en-IN" w:eastAsia="en-IN"/>
              </w:rPr>
            </w:pPr>
            <w:r w:rsidRPr="00B53423">
              <w:rPr>
                <w:b/>
                <w:lang w:val="en-IN" w:eastAsia="en-IN"/>
              </w:rPr>
              <w:t>Particulars</w:t>
            </w:r>
          </w:p>
        </w:tc>
        <w:tc>
          <w:tcPr>
            <w:tcW w:w="901" w:type="pct"/>
            <w:shd w:val="clear" w:color="000000" w:fill="DBE5F1"/>
            <w:vAlign w:val="center"/>
            <w:hideMark/>
          </w:tcPr>
          <w:p w:rsidR="004C74C2" w:rsidRPr="00B53423" w:rsidRDefault="004C74C2" w:rsidP="0015232B">
            <w:pPr>
              <w:spacing w:before="0" w:line="240" w:lineRule="auto"/>
              <w:jc w:val="center"/>
              <w:rPr>
                <w:rFonts w:cs="Calibri"/>
                <w:b/>
                <w:bCs/>
                <w:color w:val="333399"/>
                <w:kern w:val="32"/>
                <w:lang w:val="en-IN" w:eastAsia="en-IN"/>
              </w:rPr>
            </w:pPr>
            <w:r w:rsidRPr="00B53423">
              <w:rPr>
                <w:rFonts w:cs="Calibri"/>
                <w:b/>
                <w:bCs/>
                <w:lang w:val="en-IN" w:eastAsia="en-IN"/>
              </w:rPr>
              <w:t>ARR Petition</w:t>
            </w:r>
          </w:p>
        </w:tc>
        <w:tc>
          <w:tcPr>
            <w:tcW w:w="955" w:type="pct"/>
            <w:shd w:val="clear" w:color="000000" w:fill="DBE5F1"/>
            <w:vAlign w:val="center"/>
            <w:hideMark/>
          </w:tcPr>
          <w:p w:rsidR="004C74C2" w:rsidRPr="00B53423" w:rsidRDefault="004C74C2" w:rsidP="0015232B">
            <w:pPr>
              <w:spacing w:before="0" w:line="240" w:lineRule="auto"/>
              <w:jc w:val="center"/>
              <w:rPr>
                <w:rFonts w:cs="Calibri"/>
                <w:b/>
                <w:bCs/>
                <w:color w:val="333399"/>
                <w:kern w:val="32"/>
                <w:lang w:val="en-IN" w:eastAsia="en-IN"/>
              </w:rPr>
            </w:pPr>
            <w:r w:rsidRPr="00B53423">
              <w:rPr>
                <w:rFonts w:cs="Calibri"/>
                <w:b/>
                <w:bCs/>
                <w:lang w:val="en-IN" w:eastAsia="en-IN"/>
              </w:rPr>
              <w:t xml:space="preserve">Approved </w:t>
            </w:r>
          </w:p>
        </w:tc>
      </w:tr>
      <w:tr w:rsidR="004C74C2" w:rsidRPr="00B53423" w:rsidTr="009268E4">
        <w:trPr>
          <w:trHeight w:val="183"/>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Employee Expenses</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 </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ascii="Arial" w:hAnsi="Arial" w:cs="Arial"/>
                <w:sz w:val="20"/>
                <w:szCs w:val="20"/>
              </w:rPr>
            </w:pPr>
            <w:r w:rsidRPr="00B53423">
              <w:rPr>
                <w:rFonts w:ascii="Arial" w:hAnsi="Arial" w:cs="Arial"/>
                <w:sz w:val="20"/>
                <w:szCs w:val="20"/>
              </w:rPr>
              <w:t> </w:t>
            </w:r>
          </w:p>
        </w:tc>
      </w:tr>
      <w:tr w:rsidR="004C74C2" w:rsidRPr="00B53423" w:rsidTr="009268E4">
        <w:trPr>
          <w:trHeight w:val="69"/>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 xml:space="preserve">Employee Cost and Provisions </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120.27</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120.27</w:t>
            </w:r>
          </w:p>
        </w:tc>
      </w:tr>
      <w:tr w:rsidR="004C74C2" w:rsidRPr="00B53423" w:rsidTr="009268E4">
        <w:trPr>
          <w:trHeight w:val="69"/>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Incremental Employee Expenses @ 2.5%</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0.86</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0.86</w:t>
            </w:r>
          </w:p>
        </w:tc>
      </w:tr>
      <w:tr w:rsidR="004C74C2" w:rsidRPr="00B53423" w:rsidTr="009268E4">
        <w:trPr>
          <w:trHeight w:val="69"/>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b/>
                <w:color w:val="000000"/>
              </w:rPr>
            </w:pPr>
            <w:r w:rsidRPr="00B53423">
              <w:rPr>
                <w:rFonts w:asciiTheme="minorHAnsi" w:hAnsiTheme="minorHAnsi" w:cstheme="minorHAnsi"/>
                <w:b/>
                <w:color w:val="000000"/>
              </w:rPr>
              <w:t>Gross Employee Expenses</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121.14</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121.14</w:t>
            </w:r>
          </w:p>
        </w:tc>
      </w:tr>
      <w:tr w:rsidR="004C74C2" w:rsidRPr="00B53423" w:rsidTr="009268E4">
        <w:trPr>
          <w:trHeight w:val="69"/>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 xml:space="preserve">Employee expenses capitalized </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18.17</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18.17</w:t>
            </w:r>
          </w:p>
        </w:tc>
      </w:tr>
      <w:tr w:rsidR="004C74C2" w:rsidRPr="00B53423" w:rsidTr="009268E4">
        <w:trPr>
          <w:trHeight w:val="69"/>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b/>
                <w:color w:val="000000"/>
              </w:rPr>
            </w:pPr>
            <w:r w:rsidRPr="00B53423">
              <w:rPr>
                <w:rFonts w:asciiTheme="minorHAnsi" w:hAnsiTheme="minorHAnsi" w:cstheme="minorHAnsi"/>
                <w:b/>
                <w:color w:val="000000"/>
              </w:rPr>
              <w:t>Net Employee Expenses</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102.97</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102.97</w:t>
            </w:r>
          </w:p>
        </w:tc>
      </w:tr>
      <w:tr w:rsidR="004C74C2" w:rsidRPr="00B53423" w:rsidTr="009268E4">
        <w:trPr>
          <w:trHeight w:val="97"/>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 </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rPr>
            </w:pPr>
            <w:r w:rsidRPr="00B53423">
              <w:rPr>
                <w:rFonts w:cs="Calibri"/>
              </w:rPr>
              <w:t> </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p>
        </w:tc>
      </w:tr>
      <w:tr w:rsidR="004C74C2" w:rsidRPr="00B53423" w:rsidTr="009268E4">
        <w:trPr>
          <w:trHeight w:val="69"/>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A&amp;G Expenses</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rPr>
            </w:pPr>
            <w:r w:rsidRPr="00B53423">
              <w:rPr>
                <w:rFonts w:cs="Calibri"/>
              </w:rPr>
              <w:t> </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p>
        </w:tc>
      </w:tr>
      <w:tr w:rsidR="004C74C2" w:rsidRPr="00B53423" w:rsidTr="009268E4">
        <w:trPr>
          <w:trHeight w:val="69"/>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 xml:space="preserve">Admin &amp; Gen Expenses </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15.26</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15.26</w:t>
            </w:r>
          </w:p>
        </w:tc>
      </w:tr>
      <w:tr w:rsidR="004C74C2" w:rsidRPr="00B53423" w:rsidTr="009268E4">
        <w:trPr>
          <w:trHeight w:val="69"/>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Incremental Admin &amp; Gen Expenses @ 2.5%</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0.11</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0.11</w:t>
            </w:r>
          </w:p>
        </w:tc>
      </w:tr>
      <w:tr w:rsidR="004C74C2" w:rsidRPr="00B53423" w:rsidTr="009268E4">
        <w:trPr>
          <w:trHeight w:val="77"/>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b/>
                <w:color w:val="000000"/>
              </w:rPr>
            </w:pPr>
            <w:r w:rsidRPr="00B53423">
              <w:rPr>
                <w:rFonts w:asciiTheme="minorHAnsi" w:hAnsiTheme="minorHAnsi" w:cstheme="minorHAnsi"/>
                <w:b/>
                <w:color w:val="000000"/>
              </w:rPr>
              <w:t>Gross Admin &amp; Gen Expenses</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15.37</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15.37</w:t>
            </w:r>
          </w:p>
        </w:tc>
      </w:tr>
      <w:tr w:rsidR="004C74C2" w:rsidRPr="00B53423" w:rsidTr="009268E4">
        <w:trPr>
          <w:trHeight w:val="69"/>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 xml:space="preserve">Admin &amp; Gen expenses capitalized </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2.31</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2.31</w:t>
            </w:r>
          </w:p>
        </w:tc>
      </w:tr>
      <w:tr w:rsidR="004C74C2" w:rsidRPr="00B53423" w:rsidTr="009268E4">
        <w:trPr>
          <w:trHeight w:val="273"/>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b/>
                <w:color w:val="000000"/>
              </w:rPr>
            </w:pPr>
            <w:r w:rsidRPr="00B53423">
              <w:rPr>
                <w:rFonts w:asciiTheme="minorHAnsi" w:hAnsiTheme="minorHAnsi" w:cstheme="minorHAnsi"/>
                <w:b/>
                <w:color w:val="000000"/>
              </w:rPr>
              <w:t>Net Admin &amp; Gen Expenses</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13.07</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13.07</w:t>
            </w:r>
          </w:p>
        </w:tc>
      </w:tr>
      <w:tr w:rsidR="004C74C2" w:rsidRPr="00B53423" w:rsidTr="009268E4">
        <w:trPr>
          <w:trHeight w:val="182"/>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 </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rPr>
            </w:pPr>
            <w:r w:rsidRPr="00B53423">
              <w:rPr>
                <w:rFonts w:cs="Calibri"/>
              </w:rPr>
              <w:t> </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p>
        </w:tc>
      </w:tr>
      <w:tr w:rsidR="004C74C2" w:rsidRPr="00B53423" w:rsidTr="009268E4">
        <w:trPr>
          <w:trHeight w:val="79"/>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R&amp;M Expenses</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rPr>
            </w:pPr>
            <w:r w:rsidRPr="00B53423">
              <w:rPr>
                <w:rFonts w:cs="Calibri"/>
              </w:rPr>
              <w:t> </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p>
        </w:tc>
      </w:tr>
      <w:tr w:rsidR="004C74C2" w:rsidRPr="00B53423" w:rsidTr="009268E4">
        <w:trPr>
          <w:trHeight w:val="74"/>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Repair &amp; Maintenance Expenditure</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42.42</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42.42</w:t>
            </w:r>
          </w:p>
        </w:tc>
      </w:tr>
      <w:tr w:rsidR="004C74C2" w:rsidRPr="00B53423" w:rsidTr="009268E4">
        <w:trPr>
          <w:trHeight w:val="273"/>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Incremental R&amp;M Expenses @ 2.5%</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0.36</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0.36</w:t>
            </w:r>
          </w:p>
        </w:tc>
      </w:tr>
      <w:tr w:rsidR="004C74C2" w:rsidRPr="00B53423" w:rsidTr="009268E4">
        <w:trPr>
          <w:trHeight w:val="69"/>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b/>
                <w:color w:val="000000"/>
              </w:rPr>
            </w:pPr>
            <w:r w:rsidRPr="00B53423">
              <w:rPr>
                <w:rFonts w:asciiTheme="minorHAnsi" w:hAnsiTheme="minorHAnsi" w:cstheme="minorHAnsi"/>
                <w:b/>
                <w:color w:val="000000"/>
              </w:rPr>
              <w:t>Gross Repair &amp; Maintenance Expenses</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42.78</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42.78</w:t>
            </w:r>
          </w:p>
        </w:tc>
      </w:tr>
      <w:tr w:rsidR="004C74C2" w:rsidRPr="00B53423" w:rsidTr="009268E4">
        <w:trPr>
          <w:trHeight w:val="77"/>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color w:val="000000"/>
              </w:rPr>
            </w:pPr>
            <w:r w:rsidRPr="00B53423">
              <w:rPr>
                <w:rFonts w:asciiTheme="minorHAnsi" w:hAnsiTheme="minorHAnsi" w:cstheme="minorHAnsi"/>
                <w:color w:val="000000"/>
              </w:rPr>
              <w:t> </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rPr>
            </w:pPr>
            <w:r w:rsidRPr="00B53423">
              <w:rPr>
                <w:rFonts w:cs="Calibri"/>
              </w:rPr>
              <w:t> </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p>
        </w:tc>
      </w:tr>
      <w:tr w:rsidR="004C74C2" w:rsidRPr="00B53423" w:rsidTr="009268E4">
        <w:trPr>
          <w:trHeight w:val="69"/>
        </w:trPr>
        <w:tc>
          <w:tcPr>
            <w:tcW w:w="3144" w:type="pct"/>
            <w:shd w:val="clear" w:color="auto" w:fill="auto"/>
            <w:vAlign w:val="center"/>
            <w:hideMark/>
          </w:tcPr>
          <w:p w:rsidR="004C74C2" w:rsidRPr="00B53423" w:rsidRDefault="004C74C2" w:rsidP="0015232B">
            <w:pPr>
              <w:spacing w:before="0" w:line="240" w:lineRule="auto"/>
              <w:jc w:val="left"/>
              <w:rPr>
                <w:rFonts w:asciiTheme="minorHAnsi" w:hAnsiTheme="minorHAnsi" w:cstheme="minorHAnsi"/>
                <w:b/>
                <w:color w:val="000000"/>
              </w:rPr>
            </w:pPr>
            <w:r w:rsidRPr="00B53423">
              <w:rPr>
                <w:rFonts w:asciiTheme="minorHAnsi" w:hAnsiTheme="minorHAnsi" w:cstheme="minorHAnsi"/>
                <w:b/>
                <w:color w:val="000000"/>
              </w:rPr>
              <w:t>Total Normal O&amp;M Expenses</w:t>
            </w:r>
          </w:p>
        </w:tc>
        <w:tc>
          <w:tcPr>
            <w:tcW w:w="901"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158.81</w:t>
            </w:r>
          </w:p>
        </w:tc>
        <w:tc>
          <w:tcPr>
            <w:tcW w:w="955"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158.81</w:t>
            </w:r>
          </w:p>
        </w:tc>
      </w:tr>
    </w:tbl>
    <w:p w:rsidR="004C74C2" w:rsidRPr="00B53423" w:rsidRDefault="004C74C2" w:rsidP="0015232B">
      <w:pPr>
        <w:pStyle w:val="Heading3"/>
        <w:keepNext w:val="0"/>
        <w:numPr>
          <w:ilvl w:val="0"/>
          <w:numId w:val="0"/>
        </w:numPr>
        <w:tabs>
          <w:tab w:val="left" w:pos="0"/>
        </w:tabs>
        <w:spacing w:line="240" w:lineRule="auto"/>
        <w:rPr>
          <w:rFonts w:cs="Calibri"/>
          <w:bCs w:val="0"/>
        </w:rPr>
      </w:pPr>
    </w:p>
    <w:p w:rsidR="004C74C2" w:rsidRPr="00B53423" w:rsidRDefault="004C74C2" w:rsidP="0015232B">
      <w:pPr>
        <w:pStyle w:val="Heading3"/>
        <w:keepNext w:val="0"/>
        <w:ind w:hanging="1080"/>
      </w:pPr>
      <w:r w:rsidRPr="00B53423">
        <w:t>Further, it is clarified that the O&amp;M expenses thus approved would be subject to Truing- up upon finalisation of Audited Accounts of FY 2014-15.</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2"/>
        <w:keepNext w:val="0"/>
        <w:ind w:left="720" w:hanging="1080"/>
      </w:pPr>
      <w:bookmarkStart w:id="657" w:name="_Toc356322604"/>
      <w:bookmarkStart w:id="658" w:name="_Toc357733330"/>
      <w:bookmarkStart w:id="659" w:name="_Toc399626228"/>
      <w:r w:rsidRPr="00B53423">
        <w:t>GFA BALANCES AND CAPITAL FORMATION ASSUMPTIONS</w:t>
      </w:r>
      <w:bookmarkEnd w:id="657"/>
      <w:bookmarkEnd w:id="658"/>
      <w:bookmarkEnd w:id="659"/>
    </w:p>
    <w:p w:rsidR="004C74C2" w:rsidRPr="00B53423" w:rsidRDefault="004C74C2" w:rsidP="0015232B">
      <w:pPr>
        <w:pStyle w:val="Heading3"/>
        <w:keepNext w:val="0"/>
        <w:numPr>
          <w:ilvl w:val="0"/>
          <w:numId w:val="0"/>
        </w:numPr>
        <w:tabs>
          <w:tab w:val="left" w:pos="1560"/>
        </w:tabs>
        <w:ind w:left="720"/>
      </w:pPr>
    </w:p>
    <w:p w:rsidR="004C74C2" w:rsidRPr="00B53423" w:rsidRDefault="004C74C2" w:rsidP="0015232B">
      <w:pPr>
        <w:pStyle w:val="Heading3"/>
        <w:keepNext w:val="0"/>
        <w:ind w:hanging="1080"/>
      </w:pPr>
      <w:r w:rsidRPr="00B53423">
        <w:t>The Petitioner has proposed capital investment of Rs. 85 Crore for FY 2014-15 details of which are provided in the Table below:</w:t>
      </w:r>
    </w:p>
    <w:p w:rsidR="004C74C2" w:rsidRPr="00B53423" w:rsidRDefault="004C74C2" w:rsidP="0015232B">
      <w:pPr>
        <w:pStyle w:val="Heading3"/>
        <w:keepNext w:val="0"/>
        <w:numPr>
          <w:ilvl w:val="0"/>
          <w:numId w:val="0"/>
        </w:numPr>
        <w:tabs>
          <w:tab w:val="left" w:pos="0"/>
        </w:tabs>
      </w:pPr>
    </w:p>
    <w:p w:rsidR="004C74C2" w:rsidRPr="00B53423" w:rsidRDefault="004C74C2" w:rsidP="0015232B">
      <w:pPr>
        <w:pStyle w:val="Caption"/>
        <w:jc w:val="center"/>
      </w:pPr>
      <w:bookmarkStart w:id="660" w:name="_Toc399626423"/>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18</w:t>
      </w:r>
      <w:r w:rsidR="005D68E7" w:rsidRPr="00B53423">
        <w:fldChar w:fldCharType="end"/>
      </w:r>
      <w:r w:rsidRPr="00B53423">
        <w:t>: CAPITAL INVESTMENT PROPOSED BY THE PETITIONER (Rs. Crore)</w:t>
      </w:r>
      <w:bookmarkEnd w:id="660"/>
    </w:p>
    <w:tbl>
      <w:tblPr>
        <w:tblW w:w="5662" w:type="pct"/>
        <w:tblInd w:w="-115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tblPr>
      <w:tblGrid>
        <w:gridCol w:w="5221"/>
        <w:gridCol w:w="968"/>
        <w:gridCol w:w="938"/>
        <w:gridCol w:w="938"/>
        <w:gridCol w:w="938"/>
        <w:gridCol w:w="934"/>
      </w:tblGrid>
      <w:tr w:rsidR="004C74C2" w:rsidRPr="00B53423" w:rsidTr="009268E4">
        <w:trPr>
          <w:trHeight w:val="315"/>
          <w:tblHeader/>
        </w:trPr>
        <w:tc>
          <w:tcPr>
            <w:tcW w:w="2627" w:type="pct"/>
            <w:vMerge w:val="restart"/>
            <w:shd w:val="clear" w:color="000000" w:fill="DBE5F1"/>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r w:rsidRPr="00B53423">
              <w:rPr>
                <w:rFonts w:asciiTheme="minorHAnsi" w:hAnsiTheme="minorHAnsi" w:cstheme="minorHAnsi"/>
                <w:b/>
                <w:bCs/>
                <w:color w:val="000000"/>
                <w:sz w:val="20"/>
                <w:szCs w:val="20"/>
              </w:rPr>
              <w:t>Description</w:t>
            </w:r>
          </w:p>
        </w:tc>
        <w:tc>
          <w:tcPr>
            <w:tcW w:w="487" w:type="pct"/>
            <w:vMerge w:val="restart"/>
            <w:shd w:val="clear" w:color="000000" w:fill="DBE5F1"/>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r w:rsidRPr="00B53423">
              <w:rPr>
                <w:rFonts w:asciiTheme="minorHAnsi" w:hAnsiTheme="minorHAnsi" w:cstheme="minorHAnsi"/>
                <w:b/>
                <w:bCs/>
                <w:color w:val="000000"/>
                <w:sz w:val="20"/>
                <w:szCs w:val="20"/>
              </w:rPr>
              <w:t>Physical</w:t>
            </w:r>
          </w:p>
        </w:tc>
        <w:tc>
          <w:tcPr>
            <w:tcW w:w="1886" w:type="pct"/>
            <w:gridSpan w:val="4"/>
            <w:shd w:val="clear" w:color="000000" w:fill="DBE5F1"/>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r w:rsidRPr="00B53423">
              <w:rPr>
                <w:rFonts w:asciiTheme="minorHAnsi" w:hAnsiTheme="minorHAnsi" w:cstheme="minorHAnsi"/>
                <w:b/>
                <w:bCs/>
                <w:color w:val="000000"/>
                <w:sz w:val="20"/>
                <w:szCs w:val="20"/>
              </w:rPr>
              <w:t>Capital Expenditure</w:t>
            </w:r>
          </w:p>
        </w:tc>
      </w:tr>
      <w:tr w:rsidR="004C74C2" w:rsidRPr="00B53423" w:rsidTr="009268E4">
        <w:trPr>
          <w:trHeight w:val="900"/>
          <w:tblHeader/>
        </w:trPr>
        <w:tc>
          <w:tcPr>
            <w:tcW w:w="2627" w:type="pct"/>
            <w:vMerge/>
            <w:vAlign w:val="center"/>
            <w:hideMark/>
          </w:tcPr>
          <w:p w:rsidR="004C74C2" w:rsidRPr="00B53423" w:rsidRDefault="004C74C2" w:rsidP="0015232B">
            <w:pPr>
              <w:spacing w:before="0" w:line="240" w:lineRule="auto"/>
              <w:rPr>
                <w:rFonts w:asciiTheme="minorHAnsi" w:hAnsiTheme="minorHAnsi" w:cstheme="minorHAnsi"/>
                <w:b/>
                <w:bCs/>
                <w:color w:val="000000"/>
                <w:sz w:val="20"/>
                <w:szCs w:val="20"/>
              </w:rPr>
            </w:pPr>
          </w:p>
        </w:tc>
        <w:tc>
          <w:tcPr>
            <w:tcW w:w="487" w:type="pct"/>
            <w:vMerge/>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p>
        </w:tc>
        <w:tc>
          <w:tcPr>
            <w:tcW w:w="472" w:type="pct"/>
            <w:shd w:val="clear" w:color="000000" w:fill="DBE5F1"/>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r w:rsidRPr="00B53423">
              <w:rPr>
                <w:rFonts w:asciiTheme="minorHAnsi" w:hAnsiTheme="minorHAnsi" w:cstheme="minorHAnsi"/>
                <w:b/>
                <w:bCs/>
                <w:color w:val="000000"/>
                <w:sz w:val="20"/>
                <w:szCs w:val="20"/>
              </w:rPr>
              <w:t>Loans</w:t>
            </w:r>
          </w:p>
        </w:tc>
        <w:tc>
          <w:tcPr>
            <w:tcW w:w="472" w:type="pct"/>
            <w:shd w:val="clear" w:color="000000" w:fill="DBE5F1"/>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r w:rsidRPr="00B53423">
              <w:rPr>
                <w:rFonts w:asciiTheme="minorHAnsi" w:hAnsiTheme="minorHAnsi" w:cstheme="minorHAnsi"/>
                <w:b/>
                <w:bCs/>
                <w:color w:val="000000"/>
                <w:sz w:val="20"/>
                <w:szCs w:val="20"/>
              </w:rPr>
              <w:t>Equity / Internal Accruals</w:t>
            </w:r>
          </w:p>
        </w:tc>
        <w:tc>
          <w:tcPr>
            <w:tcW w:w="472" w:type="pct"/>
            <w:shd w:val="clear" w:color="000000" w:fill="DBE5F1"/>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r w:rsidRPr="00B53423">
              <w:rPr>
                <w:rFonts w:asciiTheme="minorHAnsi" w:hAnsiTheme="minorHAnsi" w:cstheme="minorHAnsi"/>
                <w:b/>
                <w:bCs/>
                <w:color w:val="000000"/>
                <w:sz w:val="20"/>
                <w:szCs w:val="20"/>
              </w:rPr>
              <w:t>Deposit Works</w:t>
            </w:r>
          </w:p>
        </w:tc>
        <w:tc>
          <w:tcPr>
            <w:tcW w:w="471" w:type="pct"/>
            <w:shd w:val="clear" w:color="000000" w:fill="DBE5F1"/>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r w:rsidRPr="00B53423">
              <w:rPr>
                <w:rFonts w:asciiTheme="minorHAnsi" w:hAnsiTheme="minorHAnsi" w:cstheme="minorHAnsi"/>
                <w:b/>
                <w:bCs/>
                <w:color w:val="000000"/>
                <w:sz w:val="20"/>
                <w:szCs w:val="20"/>
              </w:rPr>
              <w:t>Total</w:t>
            </w:r>
          </w:p>
        </w:tc>
      </w:tr>
      <w:tr w:rsidR="004C74C2" w:rsidRPr="00B53423" w:rsidTr="009268E4">
        <w:trPr>
          <w:trHeight w:val="306"/>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Capacity Enhancement/Construction of 33/11 kV Sub-stations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2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0.58</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0.25</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0.83</w:t>
            </w:r>
          </w:p>
        </w:tc>
      </w:tr>
      <w:tr w:rsidR="004C74C2" w:rsidRPr="00B53423" w:rsidTr="009268E4">
        <w:trPr>
          <w:trHeight w:val="243"/>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Replacement of Damaged 33kV Breakers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5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0.18</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0.08</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0.26</w:t>
            </w:r>
          </w:p>
        </w:tc>
      </w:tr>
      <w:tr w:rsidR="004C74C2" w:rsidRPr="00B53423" w:rsidTr="009268E4">
        <w:trPr>
          <w:trHeight w:val="423"/>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Replacement of Damaged 11kV Incoming/Outgoing/Bus-Couplers with Breakers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10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0.26</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0.11</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0.37</w:t>
            </w:r>
          </w:p>
        </w:tc>
      </w:tr>
      <w:tr w:rsidR="004C74C2" w:rsidRPr="00B53423" w:rsidTr="009268E4">
        <w:trPr>
          <w:trHeight w:val="36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Installation of 250 KVA and 400 KVA transformers</w:t>
            </w:r>
          </w:p>
        </w:tc>
        <w:tc>
          <w:tcPr>
            <w:tcW w:w="48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13 - 400 KVA; 64 - 250 KVA</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1.97</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0.84</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2.81</w:t>
            </w:r>
          </w:p>
        </w:tc>
      </w:tr>
      <w:tr w:rsidR="004C74C2" w:rsidRPr="00B53423" w:rsidTr="009268E4">
        <w:trPr>
          <w:trHeight w:val="405"/>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Capacity enhancement of distribution transformers from 250KVA to 400 KVA</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34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0.66</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0.28</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0.94</w:t>
            </w:r>
          </w:p>
        </w:tc>
      </w:tr>
      <w:tr w:rsidR="004C74C2" w:rsidRPr="00B53423" w:rsidTr="009268E4">
        <w:trPr>
          <w:trHeight w:val="333"/>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Installation of Aerial Bunch Conductor</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250 Kms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8.99</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3.85</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12.84</w:t>
            </w:r>
          </w:p>
        </w:tc>
      </w:tr>
      <w:tr w:rsidR="004C74C2" w:rsidRPr="00B53423" w:rsidTr="009268E4">
        <w:trPr>
          <w:trHeight w:val="243"/>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Replacement of Old Conductors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19 Kms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0.62</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0.26</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0.88</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Replacement of Old Poles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770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0.64</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0.28</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0.92</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Replacement of 33kV Line</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11.45 kms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3.21</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1.37</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4.58</w:t>
            </w:r>
          </w:p>
        </w:tc>
      </w:tr>
      <w:tr w:rsidR="004C74C2" w:rsidRPr="00B53423" w:rsidTr="009268E4">
        <w:trPr>
          <w:trHeight w:val="315"/>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Construction of 33 KV  Overhead Line</w:t>
            </w:r>
          </w:p>
        </w:tc>
        <w:tc>
          <w:tcPr>
            <w:tcW w:w="48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4 kms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0.62</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0.26</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0.88</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Construction of 33 kV underground line</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10 Kms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5.53</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2.37</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7.90</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Construction of 11 kV Overhead line</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17 kms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0.99</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0.43</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1.42</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Replacement of 11Kv cables/underground cables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27.5 Kms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2.60</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1.11</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3.71</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Plinth works and Fencing Works of Transformers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140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0.63</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0.27</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0.90</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Guarding of 33kV and 11kV S/S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20 Kms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0.22</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0.10</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0.32</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Replacement &amp; Installation of Meters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42000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3.15</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1.35</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4.50</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Installation of 3 phase meters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3500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1.06</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0.45</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1.51</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Checking of Meters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50000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1.05</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0.45</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1.50</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Double Metering of Consumers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(a) LT Meters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1000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1.05</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0.45</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1.50</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(b) HT Meters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171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0.76</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0.32</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1.08</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Purchase and Installation of L.P.R</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1500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0.21</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0.09</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0.30</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Investment on the new Online Billing Centers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5 Nos</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0.21</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0.09</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0.30</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System Improvement</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NA</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1.73</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0.74</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2.47</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R-APDRP Works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NA</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5.10</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2.18</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7.28</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color w:val="000000"/>
                <w:sz w:val="20"/>
                <w:szCs w:val="20"/>
              </w:rPr>
            </w:pPr>
            <w:r w:rsidRPr="00B53423">
              <w:rPr>
                <w:rFonts w:asciiTheme="minorHAnsi" w:hAnsiTheme="minorHAnsi" w:cstheme="minorHAnsi"/>
                <w:color w:val="000000"/>
                <w:sz w:val="20"/>
                <w:szCs w:val="20"/>
              </w:rPr>
              <w:t>Deposit Works</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NA</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25.00</w:t>
            </w: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color w:val="000000"/>
                <w:sz w:val="20"/>
                <w:szCs w:val="20"/>
              </w:rPr>
            </w:pPr>
            <w:r w:rsidRPr="00B53423">
              <w:rPr>
                <w:rFonts w:asciiTheme="minorHAnsi" w:hAnsiTheme="minorHAnsi" w:cstheme="minorHAnsi"/>
                <w:color w:val="000000"/>
                <w:sz w:val="20"/>
                <w:szCs w:val="20"/>
              </w:rPr>
              <w:t>25.00</w:t>
            </w:r>
          </w:p>
        </w:tc>
      </w:tr>
      <w:tr w:rsidR="004C74C2" w:rsidRPr="00B53423" w:rsidTr="009268E4">
        <w:trPr>
          <w:trHeight w:val="300"/>
        </w:trPr>
        <w:tc>
          <w:tcPr>
            <w:tcW w:w="2627" w:type="pct"/>
            <w:shd w:val="clear" w:color="auto" w:fill="auto"/>
            <w:tcMar>
              <w:top w:w="17" w:type="dxa"/>
              <w:left w:w="17" w:type="dxa"/>
              <w:bottom w:w="0" w:type="dxa"/>
              <w:right w:w="17" w:type="dxa"/>
            </w:tcMar>
            <w:vAlign w:val="center"/>
            <w:hideMark/>
          </w:tcPr>
          <w:p w:rsidR="004C74C2" w:rsidRPr="00B53423" w:rsidRDefault="004C74C2" w:rsidP="0015232B">
            <w:pPr>
              <w:spacing w:before="0" w:line="240" w:lineRule="auto"/>
              <w:jc w:val="left"/>
              <w:rPr>
                <w:rFonts w:asciiTheme="minorHAnsi" w:hAnsiTheme="minorHAnsi" w:cstheme="minorHAnsi"/>
                <w:b/>
                <w:bCs/>
                <w:color w:val="000000"/>
                <w:sz w:val="20"/>
                <w:szCs w:val="20"/>
              </w:rPr>
            </w:pPr>
            <w:r w:rsidRPr="00B53423">
              <w:rPr>
                <w:rFonts w:asciiTheme="minorHAnsi" w:hAnsiTheme="minorHAnsi" w:cstheme="minorHAnsi"/>
                <w:b/>
                <w:bCs/>
                <w:color w:val="000000"/>
                <w:sz w:val="20"/>
                <w:szCs w:val="20"/>
              </w:rPr>
              <w:t>Total</w:t>
            </w:r>
          </w:p>
        </w:tc>
        <w:tc>
          <w:tcPr>
            <w:tcW w:w="487"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r w:rsidRPr="00B53423">
              <w:rPr>
                <w:rFonts w:asciiTheme="minorHAnsi" w:hAnsiTheme="minorHAnsi" w:cstheme="minorHAnsi"/>
                <w:b/>
                <w:bCs/>
                <w:color w:val="000000"/>
                <w:sz w:val="20"/>
                <w:szCs w:val="20"/>
              </w:rPr>
              <w:t>42.00</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r w:rsidRPr="00B53423">
              <w:rPr>
                <w:rFonts w:asciiTheme="minorHAnsi" w:hAnsiTheme="minorHAnsi" w:cstheme="minorHAnsi"/>
                <w:b/>
                <w:bCs/>
                <w:color w:val="000000"/>
                <w:sz w:val="20"/>
                <w:szCs w:val="20"/>
              </w:rPr>
              <w:t>18.00</w:t>
            </w:r>
          </w:p>
        </w:tc>
        <w:tc>
          <w:tcPr>
            <w:tcW w:w="472"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r w:rsidRPr="00B53423">
              <w:rPr>
                <w:rFonts w:asciiTheme="minorHAnsi" w:hAnsiTheme="minorHAnsi" w:cstheme="minorHAnsi"/>
                <w:b/>
                <w:bCs/>
                <w:color w:val="000000"/>
                <w:sz w:val="20"/>
                <w:szCs w:val="20"/>
              </w:rPr>
              <w:t>25.00</w:t>
            </w:r>
          </w:p>
        </w:tc>
        <w:tc>
          <w:tcPr>
            <w:tcW w:w="471" w:type="pct"/>
            <w:shd w:val="clear" w:color="auto" w:fill="auto"/>
            <w:noWrap/>
            <w:tcMar>
              <w:top w:w="17" w:type="dxa"/>
              <w:left w:w="17" w:type="dxa"/>
              <w:bottom w:w="0" w:type="dxa"/>
              <w:right w:w="17" w:type="dxa"/>
            </w:tcMar>
            <w:vAlign w:val="center"/>
            <w:hideMark/>
          </w:tcPr>
          <w:p w:rsidR="004C74C2" w:rsidRPr="00B53423" w:rsidRDefault="004C74C2" w:rsidP="0015232B">
            <w:pPr>
              <w:spacing w:before="0" w:line="240" w:lineRule="auto"/>
              <w:jc w:val="center"/>
              <w:rPr>
                <w:rFonts w:asciiTheme="minorHAnsi" w:hAnsiTheme="minorHAnsi" w:cstheme="minorHAnsi"/>
                <w:b/>
                <w:bCs/>
                <w:color w:val="000000"/>
                <w:sz w:val="20"/>
                <w:szCs w:val="20"/>
              </w:rPr>
            </w:pPr>
            <w:r w:rsidRPr="00B53423">
              <w:rPr>
                <w:rFonts w:asciiTheme="minorHAnsi" w:hAnsiTheme="minorHAnsi" w:cstheme="minorHAnsi"/>
                <w:b/>
                <w:bCs/>
                <w:color w:val="000000"/>
                <w:sz w:val="20"/>
                <w:szCs w:val="20"/>
              </w:rPr>
              <w:t>85.00</w:t>
            </w:r>
          </w:p>
        </w:tc>
      </w:tr>
    </w:tbl>
    <w:p w:rsidR="004C74C2" w:rsidRPr="00B53423" w:rsidRDefault="004C74C2" w:rsidP="0015232B">
      <w:pPr>
        <w:pStyle w:val="Heading4"/>
        <w:numPr>
          <w:ilvl w:val="0"/>
          <w:numId w:val="0"/>
        </w:numPr>
        <w:spacing w:before="0"/>
        <w:ind w:left="720"/>
      </w:pPr>
    </w:p>
    <w:p w:rsidR="004C74C2" w:rsidRPr="00B53423" w:rsidRDefault="004C74C2" w:rsidP="0015232B">
      <w:pPr>
        <w:pStyle w:val="Heading3"/>
        <w:keepNext w:val="0"/>
        <w:ind w:hanging="1080"/>
      </w:pPr>
      <w:r w:rsidRPr="00B53423">
        <w:t>In line with the Distribution Tariff Regulations, 2006 and philosophy established by the Commission, the Petitioner has proposed that the projected capital expenditure be funded in a debt equity mix of 70:30.</w:t>
      </w:r>
    </w:p>
    <w:p w:rsidR="004C74C2" w:rsidRPr="00B53423" w:rsidRDefault="004C74C2" w:rsidP="0015232B">
      <w:pPr>
        <w:pStyle w:val="Heading3"/>
        <w:keepNext w:val="0"/>
        <w:numPr>
          <w:ilvl w:val="0"/>
          <w:numId w:val="0"/>
        </w:numPr>
        <w:tabs>
          <w:tab w:val="left" w:pos="1560"/>
        </w:tabs>
        <w:ind w:left="720"/>
      </w:pPr>
    </w:p>
    <w:p w:rsidR="004C74C2" w:rsidRPr="00B53423" w:rsidRDefault="004C74C2" w:rsidP="0015232B">
      <w:pPr>
        <w:pStyle w:val="Heading3"/>
        <w:keepNext w:val="0"/>
        <w:ind w:hanging="1080"/>
      </w:pPr>
      <w:r w:rsidRPr="00B53423">
        <w:t>The Petitioner submitted that following assumptions were used for projecting GFA and CWIP for FY 2014-15:</w:t>
      </w:r>
    </w:p>
    <w:p w:rsidR="004C74C2" w:rsidRPr="00B53423" w:rsidRDefault="004C74C2" w:rsidP="0015232B">
      <w:pPr>
        <w:pStyle w:val="ListParagraph"/>
        <w:ind w:left="180"/>
      </w:pPr>
    </w:p>
    <w:p w:rsidR="004C74C2" w:rsidRPr="00B53423" w:rsidRDefault="004C74C2" w:rsidP="0015232B">
      <w:pPr>
        <w:pStyle w:val="ListParagraph"/>
        <w:numPr>
          <w:ilvl w:val="0"/>
          <w:numId w:val="11"/>
        </w:numPr>
        <w:spacing w:before="0" w:after="120"/>
      </w:pPr>
      <w:r w:rsidRPr="00B53423">
        <w:t>The opening GFA and CWIP for FY 2013-14 have been taken as per the closing figures from provisional annual accounts of FY 2012-13.</w:t>
      </w:r>
    </w:p>
    <w:p w:rsidR="004C74C2" w:rsidRPr="00B53423" w:rsidRDefault="004C74C2" w:rsidP="0015232B">
      <w:pPr>
        <w:pStyle w:val="ListParagraph"/>
        <w:numPr>
          <w:ilvl w:val="0"/>
          <w:numId w:val="11"/>
        </w:numPr>
        <w:spacing w:before="0" w:after="120"/>
      </w:pPr>
      <w:r w:rsidRPr="00B53423">
        <w:t>40% the opening CWIP and 40% of investment made during the year, expenses capitalized and interest capitalized (40% of total investment) has been assumed to get capitalized during the year.</w:t>
      </w:r>
    </w:p>
    <w:p w:rsidR="004C74C2" w:rsidRPr="00B53423" w:rsidRDefault="004C74C2" w:rsidP="0015232B">
      <w:pPr>
        <w:pStyle w:val="ListParagraph"/>
        <w:numPr>
          <w:ilvl w:val="0"/>
          <w:numId w:val="11"/>
        </w:numPr>
        <w:spacing w:before="0" w:after="120"/>
      </w:pPr>
      <w:r w:rsidRPr="00B53423">
        <w:rPr>
          <w:rFonts w:cs="Calibri"/>
        </w:rPr>
        <w:t>Investment through “deposit work” has been taken for capital formation. However depreciation thereon has not been charged to ARR in line with the policy adopted by the Commission in its last Tariff Orders.</w:t>
      </w:r>
    </w:p>
    <w:p w:rsidR="004C74C2" w:rsidRPr="00B53423" w:rsidRDefault="004C74C2" w:rsidP="0015232B">
      <w:pPr>
        <w:pStyle w:val="ListParagraph"/>
        <w:numPr>
          <w:ilvl w:val="0"/>
          <w:numId w:val="11"/>
        </w:numPr>
        <w:spacing w:before="0" w:after="120"/>
      </w:pPr>
      <w:r w:rsidRPr="00B53423">
        <w:t>The capital investment for FY 2013-14 has been pegged at Rs. 70 Crore out of which works through deposit works have been envisaged at Rs. 20 Crore.</w:t>
      </w:r>
    </w:p>
    <w:p w:rsidR="004C74C2" w:rsidRPr="00B53423" w:rsidRDefault="004C74C2" w:rsidP="0015232B">
      <w:pPr>
        <w:pStyle w:val="ListParagraph"/>
        <w:numPr>
          <w:ilvl w:val="0"/>
          <w:numId w:val="11"/>
        </w:numPr>
        <w:spacing w:before="0" w:after="120"/>
      </w:pPr>
      <w:r w:rsidRPr="00B53423">
        <w:t xml:space="preserve">The Petitioner has envisaged capital investment of Rs. 85 Crore in FY 2014-15 out of which works through deposit works have been envisaged at Rs. 25 Crore. </w:t>
      </w:r>
    </w:p>
    <w:p w:rsidR="004C74C2" w:rsidRPr="00B53423" w:rsidRDefault="004C74C2" w:rsidP="0015232B">
      <w:pPr>
        <w:pStyle w:val="Heading4"/>
        <w:numPr>
          <w:ilvl w:val="0"/>
          <w:numId w:val="0"/>
        </w:numPr>
        <w:spacing w:before="0"/>
        <w:ind w:left="720"/>
      </w:pPr>
    </w:p>
    <w:p w:rsidR="004C74C2" w:rsidRPr="00B53423" w:rsidRDefault="004C74C2" w:rsidP="0015232B">
      <w:pPr>
        <w:pStyle w:val="Heading3"/>
        <w:keepNext w:val="0"/>
        <w:ind w:hanging="1080"/>
      </w:pPr>
      <w:r w:rsidRPr="00B53423">
        <w:rPr>
          <w:bCs w:val="0"/>
        </w:rPr>
        <w:t xml:space="preserve"> With a view to approve realistic levels of gross fixed asset balance, and </w:t>
      </w:r>
      <w:r w:rsidRPr="00B53423">
        <w:t xml:space="preserve">consequent tariff components such as depreciation, interest on loan and return on equity, the Commission has referred to the gross fixed asset balances, </w:t>
      </w:r>
      <w:r w:rsidRPr="00B53423">
        <w:rPr>
          <w:bCs w:val="0"/>
        </w:rPr>
        <w:t>capital additions, capital deletions</w:t>
      </w:r>
      <w:r w:rsidRPr="00B53423">
        <w:t>, capital work in progress balances, etc., upto FY 2012-13 as per the provisional accounts for FY 2012-13 as also considered by the Petitioner in its Petition.</w:t>
      </w:r>
    </w:p>
    <w:p w:rsidR="004C74C2" w:rsidRPr="00B53423" w:rsidRDefault="004C74C2" w:rsidP="0015232B">
      <w:pPr>
        <w:pStyle w:val="Heading3"/>
        <w:keepNext w:val="0"/>
        <w:numPr>
          <w:ilvl w:val="0"/>
          <w:numId w:val="0"/>
        </w:numPr>
        <w:ind w:left="720"/>
      </w:pPr>
    </w:p>
    <w:p w:rsidR="00E76AD0" w:rsidRPr="00B53423" w:rsidRDefault="004C74C2" w:rsidP="0015232B">
      <w:pPr>
        <w:pStyle w:val="Heading3"/>
        <w:keepNext w:val="0"/>
        <w:ind w:hanging="1080"/>
      </w:pPr>
      <w:r w:rsidRPr="00B53423">
        <w:t>Regulation 4.5 of Distribution Tariff Regulation, 2006 s</w:t>
      </w:r>
      <w:r w:rsidR="009B4093" w:rsidRPr="00B53423">
        <w:t>pecifies</w:t>
      </w:r>
      <w:r w:rsidRPr="00B53423">
        <w:t xml:space="preserve"> as below: </w:t>
      </w:r>
    </w:p>
    <w:p w:rsidR="00E76AD0" w:rsidRPr="00B53423" w:rsidRDefault="00E76AD0" w:rsidP="0015232B">
      <w:pPr>
        <w:pStyle w:val="ListParagraph"/>
        <w:rPr>
          <w:rFonts w:eastAsiaTheme="minorEastAsia"/>
          <w:bCs/>
          <w:i/>
        </w:rPr>
      </w:pPr>
    </w:p>
    <w:p w:rsidR="004C74C2" w:rsidRPr="00B53423" w:rsidRDefault="004C74C2" w:rsidP="0015232B">
      <w:pPr>
        <w:pStyle w:val="Heading3"/>
        <w:keepNext w:val="0"/>
        <w:numPr>
          <w:ilvl w:val="0"/>
          <w:numId w:val="0"/>
        </w:numPr>
        <w:ind w:left="1440"/>
      </w:pPr>
      <w:r w:rsidRPr="00B53423">
        <w:rPr>
          <w:rFonts w:eastAsiaTheme="minorEastAsia" w:cs="Times New Roman"/>
          <w:bCs w:val="0"/>
          <w:i/>
          <w:color w:val="auto"/>
        </w:rPr>
        <w:t>“4.5 Capital Investment Plan:</w:t>
      </w:r>
    </w:p>
    <w:p w:rsidR="004C74C2" w:rsidRPr="00B53423" w:rsidRDefault="004C74C2" w:rsidP="0015232B">
      <w:pPr>
        <w:pStyle w:val="ListParagraph"/>
        <w:ind w:left="1440"/>
        <w:rPr>
          <w:i/>
        </w:rPr>
      </w:pPr>
      <w:r w:rsidRPr="00B53423">
        <w:rPr>
          <w:i/>
        </w:rPr>
        <w:t xml:space="preserve">1. The licensee shall in its ARR/Tariff filing identify projects for the ensuing financial year and subsequent four years and submit detailed capital investment plan along with a financing plan for undertaking the identified projects in order to meet the requirement of load growth, refurbishment and replacement of equipment, reduction in distribution losses, improvement of voltage profile, improvement in quality of supply &amp; system reliability, metering, communication, computerization, etc. </w:t>
      </w:r>
    </w:p>
    <w:p w:rsidR="004C74C2" w:rsidRPr="00B53423" w:rsidRDefault="004C74C2" w:rsidP="0015232B">
      <w:pPr>
        <w:pStyle w:val="ListParagraph"/>
        <w:ind w:left="1440"/>
        <w:rPr>
          <w:i/>
        </w:rPr>
      </w:pPr>
      <w:r w:rsidRPr="00B53423">
        <w:rPr>
          <w:i/>
        </w:rPr>
        <w:t xml:space="preserve">2. </w:t>
      </w:r>
      <w:proofErr w:type="gramStart"/>
      <w:r w:rsidRPr="00B53423">
        <w:rPr>
          <w:i/>
        </w:rPr>
        <w:t>The</w:t>
      </w:r>
      <w:proofErr w:type="gramEnd"/>
      <w:r w:rsidRPr="00B53423">
        <w:rPr>
          <w:i/>
        </w:rPr>
        <w:t xml:space="preserve"> Commission shall consider and approve the licensee’s capital investment plan, subject to prudence check. The costs corresponding to the approved investment plan of the licensee for a given year shall be considered for determining its annual revenue requirement. Provided that prior approval would not be required in cases where the normal distribution projects cost is below 1 Crs.</w:t>
      </w:r>
    </w:p>
    <w:p w:rsidR="004C74C2" w:rsidRPr="00B53423" w:rsidRDefault="004C74C2" w:rsidP="0015232B">
      <w:pPr>
        <w:pStyle w:val="ListParagraph"/>
        <w:ind w:left="1440"/>
        <w:rPr>
          <w:i/>
        </w:rPr>
      </w:pPr>
      <w:r w:rsidRPr="00B53423">
        <w:rPr>
          <w:i/>
        </w:rPr>
        <w:t xml:space="preserve">3. </w:t>
      </w:r>
      <w:proofErr w:type="gramStart"/>
      <w:r w:rsidRPr="00B53423">
        <w:rPr>
          <w:i/>
        </w:rPr>
        <w:t>The</w:t>
      </w:r>
      <w:proofErr w:type="gramEnd"/>
      <w:r w:rsidRPr="00B53423">
        <w:rPr>
          <w:i/>
        </w:rPr>
        <w:t xml:space="preserve"> detailed capital investment plan shall separately show ongoing projects that will spill into the year under review, and new projects that will commence but may be completed within or beyond the tariff period. For the new projects, the filing must provide the justification as stipulated under investment guidelines of the Commission.</w:t>
      </w:r>
    </w:p>
    <w:p w:rsidR="004C74C2" w:rsidRPr="00B53423" w:rsidRDefault="004C74C2" w:rsidP="0015232B">
      <w:pPr>
        <w:pStyle w:val="ListParagraph"/>
        <w:ind w:left="1440"/>
        <w:rPr>
          <w:i/>
        </w:rPr>
      </w:pPr>
      <w:r w:rsidRPr="00B53423">
        <w:rPr>
          <w:i/>
        </w:rPr>
        <w:t>...........</w:t>
      </w:r>
    </w:p>
    <w:p w:rsidR="004C74C2" w:rsidRPr="00B53423" w:rsidRDefault="004C74C2" w:rsidP="0015232B">
      <w:pPr>
        <w:pStyle w:val="ListParagraph"/>
        <w:ind w:left="1440"/>
        <w:rPr>
          <w:i/>
        </w:rPr>
      </w:pPr>
      <w:r w:rsidRPr="00B53423">
        <w:rPr>
          <w:i/>
        </w:rPr>
        <w:t>7. The Licensee shall provide Project Completion Report in respect of those projects for which prior approval has been sought from the Commission, as and when they achieve the Commercial Operation.</w:t>
      </w:r>
    </w:p>
    <w:p w:rsidR="004C74C2" w:rsidRPr="00B53423" w:rsidRDefault="004C74C2" w:rsidP="0015232B">
      <w:pPr>
        <w:autoSpaceDE w:val="0"/>
        <w:autoSpaceDN w:val="0"/>
        <w:adjustRightInd w:val="0"/>
        <w:spacing w:line="240" w:lineRule="auto"/>
        <w:ind w:left="1260"/>
        <w:rPr>
          <w:i/>
        </w:rPr>
      </w:pPr>
    </w:p>
    <w:p w:rsidR="004C74C2" w:rsidRPr="00B53423" w:rsidRDefault="004C74C2" w:rsidP="0015232B">
      <w:pPr>
        <w:pStyle w:val="ListParagraph"/>
        <w:ind w:left="1440"/>
        <w:rPr>
          <w:i/>
        </w:rPr>
      </w:pPr>
      <w:r w:rsidRPr="00B53423">
        <w:rPr>
          <w:i/>
        </w:rPr>
        <w:t xml:space="preserve">8. Capitalisation of works by the Licensee will be linked to the physical completion of the works. </w:t>
      </w:r>
      <w:r w:rsidRPr="00B53423">
        <w:rPr>
          <w:b/>
          <w:i/>
        </w:rPr>
        <w:t>The Commission will not accept any capitalisation that does not have work completion certificates and the work is put to beneficial use of consumers. (Emphasis added)</w:t>
      </w:r>
    </w:p>
    <w:p w:rsidR="00F1649C" w:rsidRPr="00B53423" w:rsidRDefault="00F1649C" w:rsidP="0015232B">
      <w:pPr>
        <w:pStyle w:val="ListParagraph"/>
        <w:ind w:left="1440"/>
        <w:rPr>
          <w:i/>
        </w:rPr>
      </w:pPr>
    </w:p>
    <w:p w:rsidR="004C74C2" w:rsidRPr="00B53423" w:rsidRDefault="004C74C2" w:rsidP="0015232B">
      <w:pPr>
        <w:pStyle w:val="ListParagraph"/>
        <w:ind w:left="1440"/>
        <w:rPr>
          <w:i/>
        </w:rPr>
      </w:pPr>
      <w:r w:rsidRPr="00B53423">
        <w:rPr>
          <w:i/>
        </w:rPr>
        <w:t>9. The Licensee will maintain asset registers at each operating circle/ division that will capture all necessary details on the asset, including the cost incurred, date of commissioning, location of asset, and all other technical details.”</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The Commission has considered the capital investments and capital additions philosophy, etc. approved in the Tariff Order dated 31</w:t>
      </w:r>
      <w:r w:rsidRPr="00B53423">
        <w:rPr>
          <w:vertAlign w:val="superscript"/>
        </w:rPr>
        <w:t>st</w:t>
      </w:r>
      <w:r w:rsidRPr="00B53423">
        <w:t xml:space="preserve"> May, 2013.The Commission in its Order dated 31</w:t>
      </w:r>
      <w:r w:rsidRPr="00B53423">
        <w:rPr>
          <w:vertAlign w:val="superscript"/>
        </w:rPr>
        <w:t>st</w:t>
      </w:r>
      <w:r w:rsidRPr="00B53423">
        <w:t xml:space="preserve"> May, 2013 has observed as follows:</w:t>
      </w:r>
    </w:p>
    <w:p w:rsidR="004C74C2" w:rsidRPr="00B53423" w:rsidRDefault="004C74C2" w:rsidP="0015232B">
      <w:pPr>
        <w:pStyle w:val="Heading4"/>
        <w:numPr>
          <w:ilvl w:val="0"/>
          <w:numId w:val="0"/>
        </w:numPr>
        <w:spacing w:before="0"/>
        <w:ind w:left="1080"/>
        <w:rPr>
          <w:bCs w:val="0"/>
          <w:i/>
        </w:rPr>
      </w:pPr>
    </w:p>
    <w:p w:rsidR="004C74C2" w:rsidRPr="00B53423" w:rsidRDefault="004C74C2" w:rsidP="0015232B">
      <w:pPr>
        <w:pStyle w:val="Heading4"/>
        <w:numPr>
          <w:ilvl w:val="0"/>
          <w:numId w:val="0"/>
        </w:numPr>
        <w:spacing w:before="0"/>
        <w:ind w:left="1080"/>
        <w:rPr>
          <w:bCs w:val="0"/>
          <w:i/>
        </w:rPr>
      </w:pPr>
      <w:r w:rsidRPr="00B53423">
        <w:rPr>
          <w:bCs w:val="0"/>
          <w:i/>
        </w:rPr>
        <w:t>“...the capital investment claimed by the Licensee is not in strict accordance with the Distribution Tariff Regulations. In order to reprimand the Licensee, the Commission disallows 30% of the capital investment claimed in the ARR / Tariff Petition and allows only Rs. 99.90 crores towards capital investment for FY 2013-14.”</w:t>
      </w:r>
    </w:p>
    <w:p w:rsidR="004C74C2" w:rsidRPr="00B53423" w:rsidRDefault="004C74C2" w:rsidP="0015232B">
      <w:pPr>
        <w:tabs>
          <w:tab w:val="left" w:pos="720"/>
        </w:tabs>
        <w:ind w:left="720"/>
        <w:outlineLvl w:val="2"/>
        <w:rPr>
          <w:rFonts w:cs="Arial"/>
          <w:bCs/>
          <w:szCs w:val="26"/>
        </w:rPr>
      </w:pPr>
    </w:p>
    <w:p w:rsidR="004C74C2" w:rsidRPr="00B53423" w:rsidRDefault="004C74C2" w:rsidP="0015232B">
      <w:pPr>
        <w:pStyle w:val="Heading3"/>
        <w:keepNext w:val="0"/>
        <w:ind w:hanging="1080"/>
      </w:pPr>
      <w:r w:rsidRPr="00B53423">
        <w:t xml:space="preserve">For FY 2014-15 also, the Commission observed that the </w:t>
      </w:r>
      <w:r w:rsidRPr="00B53423">
        <w:rPr>
          <w:rFonts w:ascii="Calibri" w:hAnsi="Calibri" w:cs="Times New Roman"/>
          <w:szCs w:val="28"/>
        </w:rPr>
        <w:t>capital investment claimed by the Licensee is not in strict accordance with the Distribution Tariff Regulations, 2006 as reproduced above and hence there based on the philosophy adopted by the Commission in its Order dated 31</w:t>
      </w:r>
      <w:r w:rsidR="003A6B3B" w:rsidRPr="00B53423">
        <w:rPr>
          <w:rFonts w:ascii="Calibri" w:hAnsi="Calibri" w:cs="Times New Roman"/>
          <w:szCs w:val="28"/>
          <w:vertAlign w:val="superscript"/>
        </w:rPr>
        <w:t>st</w:t>
      </w:r>
      <w:r w:rsidRPr="00B53423">
        <w:rPr>
          <w:rFonts w:ascii="Calibri" w:hAnsi="Calibri" w:cs="Times New Roman"/>
          <w:szCs w:val="28"/>
        </w:rPr>
        <w:t xml:space="preserve"> May, 2013. </w:t>
      </w:r>
      <w:r w:rsidRPr="00B53423">
        <w:t xml:space="preserve">Thus, the Commission approves capital investment of Rs. 59.50 Crore for FY 2014-15 (i.e. </w:t>
      </w:r>
      <w:r w:rsidR="007C4220" w:rsidRPr="00B53423">
        <w:t>7</w:t>
      </w:r>
      <w:r w:rsidRPr="00B53423">
        <w:t>0% of capital investment of Rs. 85.00 Crore proposed by the Petitioner).</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rPr>
          <w:bCs w:val="0"/>
        </w:rPr>
      </w:pPr>
      <w:r w:rsidRPr="00B53423">
        <w:t>The expenses capitalisation and interest capitalisation have been considered as approved in the Sections dealing with O&amp;M expenses and Interest on long term loans respectively</w:t>
      </w:r>
      <w:r w:rsidRPr="00B53423">
        <w:rPr>
          <w:bCs w:val="0"/>
        </w:rPr>
        <w:t>.</w:t>
      </w:r>
    </w:p>
    <w:p w:rsidR="004C74C2" w:rsidRPr="00B53423" w:rsidRDefault="004C74C2" w:rsidP="0015232B">
      <w:pPr>
        <w:rPr>
          <w:bCs/>
        </w:rPr>
      </w:pPr>
    </w:p>
    <w:p w:rsidR="004C74C2" w:rsidRPr="00B53423" w:rsidRDefault="004C74C2" w:rsidP="0015232B">
      <w:pPr>
        <w:pStyle w:val="Heading3"/>
        <w:keepNext w:val="0"/>
        <w:ind w:hanging="1080"/>
      </w:pPr>
      <w:r w:rsidRPr="00B53423">
        <w:rPr>
          <w:bCs w:val="0"/>
        </w:rPr>
        <w:t>The capitalisation of expenses and interest has been considered as detailed in the sections dealing with O&amp;M expenses and Interest on long term loans. Further in line with the methodology adopted by the Commission in its Order dated 31</w:t>
      </w:r>
      <w:r w:rsidRPr="00B53423">
        <w:rPr>
          <w:rFonts w:ascii="Calibri" w:hAnsi="Calibri" w:cs="Times New Roman"/>
          <w:szCs w:val="28"/>
          <w:vertAlign w:val="superscript"/>
        </w:rPr>
        <w:t>st</w:t>
      </w:r>
      <w:r w:rsidRPr="00B53423">
        <w:rPr>
          <w:bCs w:val="0"/>
        </w:rPr>
        <w:t xml:space="preserve"> May, 2013, </w:t>
      </w:r>
      <w:r w:rsidRPr="00B53423">
        <w:t xml:space="preserve">40% of the </w:t>
      </w:r>
      <w:r w:rsidRPr="00B53423">
        <w:rPr>
          <w:rFonts w:cs="Calibri"/>
        </w:rPr>
        <w:t>total</w:t>
      </w:r>
      <w:r w:rsidRPr="00B53423">
        <w:t xml:space="preserve"> investments including opening CWIP, expenses and interest capitalisation during the year have been projected to be capitalised in FY 2014-15</w:t>
      </w:r>
    </w:p>
    <w:p w:rsidR="004C74C2" w:rsidRPr="00B53423" w:rsidRDefault="004C74C2" w:rsidP="0015232B">
      <w:pPr>
        <w:pStyle w:val="ListParagraph"/>
        <w:ind w:left="180"/>
      </w:pPr>
    </w:p>
    <w:p w:rsidR="004C74C2" w:rsidRPr="00B53423" w:rsidRDefault="004C74C2" w:rsidP="0015232B">
      <w:pPr>
        <w:pStyle w:val="Heading3"/>
        <w:keepNext w:val="0"/>
        <w:ind w:hanging="1080"/>
      </w:pPr>
      <w:bookmarkStart w:id="661" w:name="_Toc338310710"/>
      <w:bookmarkStart w:id="662" w:name="_Toc338419540"/>
      <w:r w:rsidRPr="00B53423">
        <w:t>Accordingly, the details of Capitalisation and Work-in-progress up to FY 2014-15 are provided in the Table below:</w:t>
      </w:r>
    </w:p>
    <w:p w:rsidR="005D7AFD" w:rsidRPr="00B53423" w:rsidRDefault="005D7AFD" w:rsidP="0015232B">
      <w:pPr>
        <w:pStyle w:val="ListParagraph"/>
      </w:pPr>
    </w:p>
    <w:p w:rsidR="004C74C2" w:rsidRPr="00B53423" w:rsidRDefault="004C74C2" w:rsidP="0015232B">
      <w:pPr>
        <w:pStyle w:val="Caption"/>
        <w:jc w:val="center"/>
      </w:pPr>
      <w:bookmarkStart w:id="663" w:name="_Toc357738737"/>
      <w:bookmarkStart w:id="664" w:name="_Toc399626424"/>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19</w:t>
      </w:r>
      <w:r w:rsidR="005D68E7" w:rsidRPr="00B53423">
        <w:fldChar w:fldCharType="end"/>
      </w:r>
      <w:r w:rsidRPr="00B53423">
        <w:t>: CAPITALISATION &amp; WIP UP TO FY 2014-15 (Rs. Crore)</w:t>
      </w:r>
      <w:bookmarkEnd w:id="661"/>
      <w:bookmarkEnd w:id="662"/>
      <w:bookmarkEnd w:id="663"/>
      <w:bookmarkEnd w:id="664"/>
    </w:p>
    <w:tbl>
      <w:tblPr>
        <w:tblW w:w="4619"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648"/>
        <w:gridCol w:w="1633"/>
        <w:gridCol w:w="1668"/>
        <w:gridCol w:w="1325"/>
      </w:tblGrid>
      <w:tr w:rsidR="004C74C2" w:rsidRPr="00B53423" w:rsidTr="009268E4">
        <w:trPr>
          <w:trHeight w:val="300"/>
          <w:tblHeader/>
        </w:trPr>
        <w:tc>
          <w:tcPr>
            <w:tcW w:w="2204" w:type="pct"/>
            <w:shd w:val="clear" w:color="000000" w:fill="DBE5F1"/>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Particulars</w:t>
            </w:r>
          </w:p>
        </w:tc>
        <w:tc>
          <w:tcPr>
            <w:tcW w:w="987" w:type="pct"/>
            <w:shd w:val="clear" w:color="000000" w:fill="DBE5F1"/>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Derivation</w:t>
            </w:r>
          </w:p>
        </w:tc>
        <w:tc>
          <w:tcPr>
            <w:tcW w:w="1008" w:type="pct"/>
            <w:shd w:val="clear" w:color="000000" w:fill="DBE5F1"/>
            <w:vAlign w:val="center"/>
            <w:hideMark/>
          </w:tcPr>
          <w:p w:rsidR="004C74C2" w:rsidRPr="00B53423" w:rsidRDefault="004C74C2" w:rsidP="0015232B">
            <w:pPr>
              <w:spacing w:before="0" w:line="240" w:lineRule="auto"/>
              <w:jc w:val="center"/>
              <w:rPr>
                <w:rFonts w:cs="Calibri"/>
                <w:b/>
                <w:bCs/>
                <w:kern w:val="32"/>
                <w:lang w:val="en-IN" w:eastAsia="en-IN"/>
              </w:rPr>
            </w:pPr>
            <w:r w:rsidRPr="00B53423">
              <w:rPr>
                <w:rFonts w:cs="Calibri"/>
                <w:b/>
                <w:bCs/>
                <w:lang w:val="en-IN" w:eastAsia="en-IN"/>
              </w:rPr>
              <w:t>ARR Petition</w:t>
            </w:r>
          </w:p>
        </w:tc>
        <w:tc>
          <w:tcPr>
            <w:tcW w:w="801" w:type="pct"/>
            <w:shd w:val="clear" w:color="000000" w:fill="DBE5F1"/>
            <w:vAlign w:val="center"/>
            <w:hideMark/>
          </w:tcPr>
          <w:p w:rsidR="004C74C2" w:rsidRPr="00B53423" w:rsidRDefault="004C74C2" w:rsidP="0015232B">
            <w:pPr>
              <w:spacing w:before="0" w:line="240" w:lineRule="auto"/>
              <w:jc w:val="center"/>
              <w:rPr>
                <w:rFonts w:cs="Calibri"/>
                <w:b/>
                <w:bCs/>
                <w:kern w:val="32"/>
                <w:lang w:val="en-IN" w:eastAsia="en-IN"/>
              </w:rPr>
            </w:pPr>
            <w:r w:rsidRPr="00B53423">
              <w:rPr>
                <w:rFonts w:cs="Calibri"/>
                <w:b/>
                <w:bCs/>
                <w:kern w:val="32"/>
                <w:lang w:val="en-IN" w:eastAsia="en-IN"/>
              </w:rPr>
              <w:t xml:space="preserve">Approved </w:t>
            </w:r>
          </w:p>
        </w:tc>
      </w:tr>
      <w:tr w:rsidR="004C74C2" w:rsidRPr="00B53423" w:rsidTr="009268E4">
        <w:trPr>
          <w:trHeight w:val="300"/>
        </w:trPr>
        <w:tc>
          <w:tcPr>
            <w:tcW w:w="2204" w:type="pct"/>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Opening WIP  as on 1</w:t>
            </w:r>
            <w:r w:rsidR="003A6B3B" w:rsidRPr="00B53423">
              <w:rPr>
                <w:rFonts w:cs="Calibri"/>
                <w:vertAlign w:val="superscript"/>
                <w:lang w:val="en-IN" w:eastAsia="en-IN"/>
              </w:rPr>
              <w:t>st</w:t>
            </w:r>
            <w:r w:rsidRPr="00B53423">
              <w:rPr>
                <w:rFonts w:cs="Calibri"/>
                <w:lang w:val="en-IN" w:eastAsia="en-IN"/>
              </w:rPr>
              <w:t xml:space="preserve"> April</w:t>
            </w:r>
          </w:p>
        </w:tc>
        <w:tc>
          <w:tcPr>
            <w:tcW w:w="987" w:type="pct"/>
            <w:shd w:val="clear" w:color="auto" w:fill="auto"/>
            <w:vAlign w:val="center"/>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A</w:t>
            </w:r>
          </w:p>
        </w:tc>
        <w:tc>
          <w:tcPr>
            <w:tcW w:w="1008"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79.78</w:t>
            </w:r>
          </w:p>
        </w:tc>
        <w:tc>
          <w:tcPr>
            <w:tcW w:w="801" w:type="pct"/>
            <w:shd w:val="clear" w:color="auto" w:fill="auto"/>
            <w:noWrap/>
            <w:vAlign w:val="bottom"/>
            <w:hideMark/>
          </w:tcPr>
          <w:p w:rsidR="004C74C2" w:rsidRPr="00B53423" w:rsidRDefault="004C74C2" w:rsidP="0015232B">
            <w:pPr>
              <w:spacing w:before="0" w:line="240" w:lineRule="auto"/>
              <w:ind w:right="252"/>
              <w:jc w:val="right"/>
              <w:rPr>
                <w:rFonts w:cs="Calibri"/>
                <w:color w:val="000000"/>
              </w:rPr>
            </w:pPr>
            <w:r w:rsidRPr="00B53423">
              <w:rPr>
                <w:rFonts w:cs="Calibri"/>
                <w:color w:val="000000"/>
              </w:rPr>
              <w:t>67.49</w:t>
            </w:r>
          </w:p>
        </w:tc>
      </w:tr>
      <w:tr w:rsidR="004C74C2" w:rsidRPr="00B53423" w:rsidTr="009268E4">
        <w:trPr>
          <w:trHeight w:val="300"/>
        </w:trPr>
        <w:tc>
          <w:tcPr>
            <w:tcW w:w="2204" w:type="pct"/>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Investments</w:t>
            </w:r>
          </w:p>
        </w:tc>
        <w:tc>
          <w:tcPr>
            <w:tcW w:w="987" w:type="pct"/>
            <w:shd w:val="clear" w:color="auto" w:fill="auto"/>
            <w:vAlign w:val="center"/>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B</w:t>
            </w:r>
          </w:p>
        </w:tc>
        <w:tc>
          <w:tcPr>
            <w:tcW w:w="1008"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85.00</w:t>
            </w:r>
          </w:p>
        </w:tc>
        <w:tc>
          <w:tcPr>
            <w:tcW w:w="801" w:type="pct"/>
            <w:shd w:val="clear" w:color="auto" w:fill="auto"/>
            <w:noWrap/>
            <w:vAlign w:val="bottom"/>
            <w:hideMark/>
          </w:tcPr>
          <w:p w:rsidR="004C74C2" w:rsidRPr="00B53423" w:rsidRDefault="004C74C2" w:rsidP="0015232B">
            <w:pPr>
              <w:spacing w:before="0" w:line="240" w:lineRule="auto"/>
              <w:ind w:right="252"/>
              <w:jc w:val="right"/>
              <w:rPr>
                <w:rFonts w:cs="Calibri"/>
                <w:color w:val="000000"/>
              </w:rPr>
            </w:pPr>
            <w:r w:rsidRPr="00B53423">
              <w:rPr>
                <w:rFonts w:cs="Calibri"/>
                <w:color w:val="000000"/>
              </w:rPr>
              <w:t>59.50</w:t>
            </w:r>
          </w:p>
        </w:tc>
      </w:tr>
      <w:tr w:rsidR="004C74C2" w:rsidRPr="00B53423" w:rsidTr="009268E4">
        <w:trPr>
          <w:trHeight w:val="300"/>
        </w:trPr>
        <w:tc>
          <w:tcPr>
            <w:tcW w:w="2204" w:type="pct"/>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Employee Expenses Capitalisation</w:t>
            </w:r>
          </w:p>
        </w:tc>
        <w:tc>
          <w:tcPr>
            <w:tcW w:w="987" w:type="pct"/>
            <w:shd w:val="clear" w:color="auto" w:fill="auto"/>
            <w:vAlign w:val="center"/>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C</w:t>
            </w:r>
          </w:p>
        </w:tc>
        <w:tc>
          <w:tcPr>
            <w:tcW w:w="1008"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18.17</w:t>
            </w:r>
          </w:p>
        </w:tc>
        <w:tc>
          <w:tcPr>
            <w:tcW w:w="801" w:type="pct"/>
            <w:shd w:val="clear" w:color="auto" w:fill="auto"/>
            <w:noWrap/>
            <w:vAlign w:val="bottom"/>
            <w:hideMark/>
          </w:tcPr>
          <w:p w:rsidR="004C74C2" w:rsidRPr="00B53423" w:rsidRDefault="004C74C2" w:rsidP="0015232B">
            <w:pPr>
              <w:spacing w:before="0" w:line="240" w:lineRule="auto"/>
              <w:ind w:right="252"/>
              <w:jc w:val="right"/>
              <w:rPr>
                <w:rFonts w:cs="Calibri"/>
                <w:color w:val="000000"/>
              </w:rPr>
            </w:pPr>
            <w:r w:rsidRPr="00B53423">
              <w:rPr>
                <w:rFonts w:cs="Calibri"/>
                <w:color w:val="000000"/>
              </w:rPr>
              <w:t>18.76</w:t>
            </w:r>
          </w:p>
        </w:tc>
      </w:tr>
      <w:tr w:rsidR="004C74C2" w:rsidRPr="00B53423" w:rsidTr="009268E4">
        <w:trPr>
          <w:trHeight w:val="300"/>
        </w:trPr>
        <w:tc>
          <w:tcPr>
            <w:tcW w:w="2204" w:type="pct"/>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A&amp;G Expenses Capitalisation</w:t>
            </w:r>
          </w:p>
        </w:tc>
        <w:tc>
          <w:tcPr>
            <w:tcW w:w="987" w:type="pct"/>
            <w:shd w:val="clear" w:color="auto" w:fill="auto"/>
            <w:vAlign w:val="center"/>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D</w:t>
            </w:r>
          </w:p>
        </w:tc>
        <w:tc>
          <w:tcPr>
            <w:tcW w:w="1008"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2.31</w:t>
            </w:r>
          </w:p>
        </w:tc>
        <w:tc>
          <w:tcPr>
            <w:tcW w:w="801" w:type="pct"/>
            <w:shd w:val="clear" w:color="auto" w:fill="auto"/>
            <w:noWrap/>
            <w:vAlign w:val="bottom"/>
            <w:hideMark/>
          </w:tcPr>
          <w:p w:rsidR="004C74C2" w:rsidRPr="00B53423" w:rsidRDefault="004C74C2" w:rsidP="0015232B">
            <w:pPr>
              <w:spacing w:before="0" w:line="240" w:lineRule="auto"/>
              <w:ind w:right="252"/>
              <w:jc w:val="right"/>
              <w:rPr>
                <w:rFonts w:cs="Calibri"/>
                <w:color w:val="000000"/>
              </w:rPr>
            </w:pPr>
            <w:r w:rsidRPr="00B53423">
              <w:rPr>
                <w:rFonts w:cs="Calibri"/>
                <w:color w:val="000000"/>
              </w:rPr>
              <w:t>2.17</w:t>
            </w:r>
          </w:p>
        </w:tc>
      </w:tr>
      <w:tr w:rsidR="004C74C2" w:rsidRPr="00B53423" w:rsidTr="009268E4">
        <w:trPr>
          <w:trHeight w:val="600"/>
        </w:trPr>
        <w:tc>
          <w:tcPr>
            <w:tcW w:w="2204" w:type="pct"/>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Interest Capitalisation on Interest on long term loans</w:t>
            </w:r>
          </w:p>
        </w:tc>
        <w:tc>
          <w:tcPr>
            <w:tcW w:w="987" w:type="pct"/>
            <w:shd w:val="clear" w:color="auto" w:fill="auto"/>
            <w:vAlign w:val="center"/>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E</w:t>
            </w:r>
          </w:p>
        </w:tc>
        <w:tc>
          <w:tcPr>
            <w:tcW w:w="1008" w:type="pct"/>
            <w:shd w:val="clear" w:color="auto" w:fill="auto"/>
            <w:noWrap/>
            <w:vAlign w:val="bottom"/>
            <w:hideMark/>
          </w:tcPr>
          <w:p w:rsidR="004C74C2" w:rsidRPr="00B53423" w:rsidRDefault="004C74C2" w:rsidP="0015232B">
            <w:pPr>
              <w:spacing w:before="0" w:line="240" w:lineRule="auto"/>
              <w:ind w:right="343"/>
              <w:rPr>
                <w:rFonts w:cs="Calibri"/>
                <w:color w:val="000000"/>
              </w:rPr>
            </w:pPr>
            <w:r w:rsidRPr="00B53423">
              <w:rPr>
                <w:rFonts w:cs="Calibri"/>
                <w:color w:val="000000"/>
              </w:rPr>
              <w:t> </w:t>
            </w:r>
          </w:p>
        </w:tc>
        <w:tc>
          <w:tcPr>
            <w:tcW w:w="801" w:type="pct"/>
            <w:shd w:val="clear" w:color="auto" w:fill="auto"/>
            <w:noWrap/>
            <w:vAlign w:val="bottom"/>
            <w:hideMark/>
          </w:tcPr>
          <w:p w:rsidR="004C74C2" w:rsidRPr="00B53423" w:rsidRDefault="004C74C2" w:rsidP="0015232B">
            <w:pPr>
              <w:spacing w:before="0" w:line="240" w:lineRule="auto"/>
              <w:ind w:right="252"/>
              <w:jc w:val="right"/>
              <w:rPr>
                <w:rFonts w:cs="Calibri"/>
                <w:color w:val="000000"/>
              </w:rPr>
            </w:pPr>
            <w:r w:rsidRPr="00B53423">
              <w:rPr>
                <w:rFonts w:cs="Calibri"/>
                <w:color w:val="000000"/>
              </w:rPr>
              <w:t>0.00</w:t>
            </w:r>
          </w:p>
        </w:tc>
      </w:tr>
      <w:tr w:rsidR="004C74C2" w:rsidRPr="00B53423" w:rsidTr="009268E4">
        <w:trPr>
          <w:trHeight w:val="300"/>
        </w:trPr>
        <w:tc>
          <w:tcPr>
            <w:tcW w:w="2204" w:type="pct"/>
            <w:shd w:val="clear" w:color="auto" w:fill="auto"/>
            <w:vAlign w:val="center"/>
            <w:hideMark/>
          </w:tcPr>
          <w:p w:rsidR="004C74C2" w:rsidRPr="00B53423" w:rsidRDefault="004C74C2" w:rsidP="0015232B">
            <w:pPr>
              <w:spacing w:before="0" w:line="240" w:lineRule="auto"/>
              <w:jc w:val="left"/>
              <w:rPr>
                <w:rFonts w:cs="Calibri"/>
                <w:b/>
                <w:bCs/>
                <w:lang w:val="en-IN" w:eastAsia="en-IN"/>
              </w:rPr>
            </w:pPr>
            <w:r w:rsidRPr="00B53423">
              <w:rPr>
                <w:rFonts w:cs="Calibri"/>
                <w:b/>
                <w:bCs/>
                <w:lang w:val="en-IN" w:eastAsia="en-IN"/>
              </w:rPr>
              <w:t>Total Investments</w:t>
            </w:r>
          </w:p>
        </w:tc>
        <w:tc>
          <w:tcPr>
            <w:tcW w:w="987" w:type="pct"/>
            <w:shd w:val="clear" w:color="auto" w:fill="auto"/>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F= A+B+C+D+E</w:t>
            </w:r>
          </w:p>
        </w:tc>
        <w:tc>
          <w:tcPr>
            <w:tcW w:w="1008"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185.25</w:t>
            </w:r>
          </w:p>
        </w:tc>
        <w:tc>
          <w:tcPr>
            <w:tcW w:w="801" w:type="pct"/>
            <w:shd w:val="clear" w:color="auto" w:fill="auto"/>
            <w:noWrap/>
            <w:vAlign w:val="bottom"/>
            <w:hideMark/>
          </w:tcPr>
          <w:p w:rsidR="004C74C2" w:rsidRPr="00B53423" w:rsidRDefault="004C74C2" w:rsidP="0015232B">
            <w:pPr>
              <w:spacing w:before="0" w:line="240" w:lineRule="auto"/>
              <w:ind w:right="252"/>
              <w:jc w:val="right"/>
              <w:rPr>
                <w:rFonts w:cs="Calibri"/>
                <w:b/>
                <w:bCs/>
                <w:color w:val="000000"/>
              </w:rPr>
            </w:pPr>
            <w:r w:rsidRPr="00B53423">
              <w:rPr>
                <w:rFonts w:cs="Calibri"/>
                <w:b/>
                <w:bCs/>
                <w:color w:val="000000"/>
              </w:rPr>
              <w:t>147.93</w:t>
            </w:r>
          </w:p>
        </w:tc>
      </w:tr>
      <w:tr w:rsidR="004C74C2" w:rsidRPr="00B53423" w:rsidTr="009268E4">
        <w:trPr>
          <w:trHeight w:val="467"/>
        </w:trPr>
        <w:tc>
          <w:tcPr>
            <w:tcW w:w="2204" w:type="pct"/>
            <w:shd w:val="clear" w:color="auto" w:fill="auto"/>
            <w:vAlign w:val="center"/>
            <w:hideMark/>
          </w:tcPr>
          <w:p w:rsidR="004C74C2" w:rsidRPr="00B53423" w:rsidRDefault="004C74C2" w:rsidP="0015232B">
            <w:pPr>
              <w:spacing w:before="0" w:line="240" w:lineRule="auto"/>
              <w:jc w:val="left"/>
              <w:rPr>
                <w:rFonts w:cs="Calibri"/>
                <w:b/>
                <w:bCs/>
                <w:lang w:val="en-IN" w:eastAsia="en-IN"/>
              </w:rPr>
            </w:pPr>
            <w:r w:rsidRPr="00B53423">
              <w:rPr>
                <w:rFonts w:cs="Calibri"/>
                <w:b/>
                <w:bCs/>
                <w:lang w:val="en-IN" w:eastAsia="en-IN"/>
              </w:rPr>
              <w:t>Transferred to GFA (Total Capitalisation)</w:t>
            </w:r>
          </w:p>
        </w:tc>
        <w:tc>
          <w:tcPr>
            <w:tcW w:w="987" w:type="pct"/>
            <w:shd w:val="clear" w:color="auto" w:fill="auto"/>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G=F*40%</w:t>
            </w:r>
          </w:p>
        </w:tc>
        <w:tc>
          <w:tcPr>
            <w:tcW w:w="1008" w:type="pct"/>
            <w:shd w:val="clear" w:color="auto" w:fill="auto"/>
            <w:noWrap/>
            <w:vAlign w:val="bottom"/>
            <w:hideMark/>
          </w:tcPr>
          <w:p w:rsidR="004C74C2" w:rsidRPr="00B53423" w:rsidRDefault="004C74C2" w:rsidP="0015232B">
            <w:pPr>
              <w:spacing w:before="0" w:line="240" w:lineRule="auto"/>
              <w:ind w:right="343"/>
              <w:jc w:val="right"/>
              <w:rPr>
                <w:rFonts w:cs="Calibri"/>
                <w:color w:val="000000"/>
              </w:rPr>
            </w:pPr>
            <w:r w:rsidRPr="00B53423">
              <w:rPr>
                <w:rFonts w:cs="Calibri"/>
                <w:color w:val="000000"/>
              </w:rPr>
              <w:t>74.15</w:t>
            </w:r>
          </w:p>
        </w:tc>
        <w:tc>
          <w:tcPr>
            <w:tcW w:w="801" w:type="pct"/>
            <w:shd w:val="clear" w:color="auto" w:fill="auto"/>
            <w:noWrap/>
            <w:vAlign w:val="bottom"/>
            <w:hideMark/>
          </w:tcPr>
          <w:p w:rsidR="004C74C2" w:rsidRPr="00B53423" w:rsidRDefault="004C74C2" w:rsidP="0015232B">
            <w:pPr>
              <w:spacing w:before="0" w:line="240" w:lineRule="auto"/>
              <w:ind w:right="252"/>
              <w:jc w:val="right"/>
              <w:rPr>
                <w:rFonts w:cs="Calibri"/>
                <w:color w:val="000000"/>
              </w:rPr>
            </w:pPr>
            <w:r w:rsidRPr="00B53423">
              <w:rPr>
                <w:rFonts w:cs="Calibri"/>
                <w:color w:val="000000"/>
              </w:rPr>
              <w:t>59.17</w:t>
            </w:r>
          </w:p>
        </w:tc>
      </w:tr>
      <w:tr w:rsidR="004C74C2" w:rsidRPr="00B53423" w:rsidTr="009268E4">
        <w:trPr>
          <w:trHeight w:val="421"/>
        </w:trPr>
        <w:tc>
          <w:tcPr>
            <w:tcW w:w="2204" w:type="pct"/>
            <w:shd w:val="clear" w:color="auto" w:fill="auto"/>
            <w:vAlign w:val="center"/>
            <w:hideMark/>
          </w:tcPr>
          <w:p w:rsidR="004C74C2" w:rsidRPr="00B53423" w:rsidRDefault="004C74C2" w:rsidP="0015232B">
            <w:pPr>
              <w:spacing w:before="0" w:line="240" w:lineRule="auto"/>
              <w:jc w:val="left"/>
              <w:rPr>
                <w:rFonts w:cs="Calibri"/>
                <w:b/>
                <w:bCs/>
                <w:lang w:val="en-IN" w:eastAsia="en-IN"/>
              </w:rPr>
            </w:pPr>
            <w:r w:rsidRPr="00B53423">
              <w:rPr>
                <w:rFonts w:cs="Calibri"/>
                <w:b/>
                <w:bCs/>
                <w:lang w:val="en-IN" w:eastAsia="en-IN"/>
              </w:rPr>
              <w:t>Closing WIP</w:t>
            </w:r>
          </w:p>
        </w:tc>
        <w:tc>
          <w:tcPr>
            <w:tcW w:w="987" w:type="pct"/>
            <w:shd w:val="clear" w:color="auto" w:fill="auto"/>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 xml:space="preserve"> H = F-G</w:t>
            </w:r>
          </w:p>
        </w:tc>
        <w:tc>
          <w:tcPr>
            <w:tcW w:w="1008" w:type="pct"/>
            <w:shd w:val="clear" w:color="auto" w:fill="auto"/>
            <w:noWrap/>
            <w:vAlign w:val="bottom"/>
            <w:hideMark/>
          </w:tcPr>
          <w:p w:rsidR="004C74C2" w:rsidRPr="00B53423" w:rsidRDefault="004C74C2" w:rsidP="0015232B">
            <w:pPr>
              <w:spacing w:before="0" w:line="240" w:lineRule="auto"/>
              <w:ind w:right="343"/>
              <w:jc w:val="right"/>
              <w:rPr>
                <w:rFonts w:cs="Calibri"/>
                <w:b/>
                <w:bCs/>
                <w:color w:val="000000"/>
              </w:rPr>
            </w:pPr>
            <w:r w:rsidRPr="00B53423">
              <w:rPr>
                <w:rFonts w:cs="Calibri"/>
                <w:b/>
                <w:bCs/>
                <w:color w:val="000000"/>
              </w:rPr>
              <w:t>111.11</w:t>
            </w:r>
          </w:p>
        </w:tc>
        <w:tc>
          <w:tcPr>
            <w:tcW w:w="801" w:type="pct"/>
            <w:shd w:val="clear" w:color="auto" w:fill="auto"/>
            <w:noWrap/>
            <w:vAlign w:val="bottom"/>
            <w:hideMark/>
          </w:tcPr>
          <w:p w:rsidR="004C74C2" w:rsidRPr="00B53423" w:rsidRDefault="004C74C2" w:rsidP="0015232B">
            <w:pPr>
              <w:spacing w:before="0" w:line="240" w:lineRule="auto"/>
              <w:ind w:right="252"/>
              <w:jc w:val="right"/>
              <w:rPr>
                <w:rFonts w:cs="Calibri"/>
                <w:b/>
                <w:bCs/>
                <w:color w:val="000000"/>
              </w:rPr>
            </w:pPr>
            <w:r w:rsidRPr="00B53423">
              <w:rPr>
                <w:rFonts w:cs="Calibri"/>
                <w:b/>
                <w:bCs/>
                <w:color w:val="000000"/>
              </w:rPr>
              <w:t>88.76</w:t>
            </w:r>
          </w:p>
        </w:tc>
      </w:tr>
    </w:tbl>
    <w:p w:rsidR="004C74C2" w:rsidRPr="00B53423" w:rsidRDefault="004C74C2" w:rsidP="0015232B">
      <w:pPr>
        <w:spacing w:before="0"/>
        <w:jc w:val="center"/>
      </w:pPr>
    </w:p>
    <w:p w:rsidR="004C74C2" w:rsidRPr="00B53423" w:rsidRDefault="004C74C2" w:rsidP="0015232B">
      <w:pPr>
        <w:pStyle w:val="Heading2"/>
        <w:keepNext w:val="0"/>
        <w:ind w:left="720" w:hanging="1080"/>
      </w:pPr>
      <w:bookmarkStart w:id="665" w:name="_Toc357274230"/>
      <w:bookmarkStart w:id="666" w:name="_Toc357733331"/>
      <w:bookmarkStart w:id="667" w:name="_Toc399626229"/>
      <w:bookmarkStart w:id="668" w:name="_Toc356322605"/>
      <w:r w:rsidRPr="00B53423">
        <w:t>FINANCING OF THE CAPITAL INVESTMENT</w:t>
      </w:r>
      <w:bookmarkEnd w:id="665"/>
      <w:bookmarkEnd w:id="666"/>
      <w:bookmarkEnd w:id="667"/>
    </w:p>
    <w:p w:rsidR="004C74C2" w:rsidRPr="00B53423" w:rsidRDefault="004C74C2" w:rsidP="0015232B">
      <w:pPr>
        <w:tabs>
          <w:tab w:val="num" w:pos="900"/>
        </w:tabs>
        <w:spacing w:after="120" w:line="240" w:lineRule="auto"/>
        <w:ind w:left="360" w:hanging="360"/>
      </w:pPr>
    </w:p>
    <w:p w:rsidR="004C74C2" w:rsidRPr="00B53423" w:rsidRDefault="004C74C2" w:rsidP="0015232B">
      <w:pPr>
        <w:pStyle w:val="Heading3"/>
        <w:keepNext w:val="0"/>
        <w:ind w:hanging="1080"/>
      </w:pPr>
      <w:r w:rsidRPr="00B53423">
        <w:t xml:space="preserve">The Petitioner has considered a normative gearing of 70:30. Considering this approach, 70% of the capital expenditure undertaken in any year has been considered to be financed through loan and balance 30% has been considered to be financed through equity contributions. The portion of capital expenditure financed through consumer contribution, capital subsidies and grants has been separated as the depreciation and interest thereon would not be charged to the beneficiaries.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amounts received as consumer contributions, capital subsidies and grants are traced from the provisional accounts for FY 2012-13. Further, the consumer contributions, capital subsidies and grants for FY 2013-14 and 2014-15 have been considered to be in the same ratio to the total investments, as received by it in FY 2012-13</w:t>
      </w:r>
    </w:p>
    <w:p w:rsidR="004C74C2" w:rsidRPr="00B53423" w:rsidRDefault="004C74C2" w:rsidP="0015232B">
      <w:pPr>
        <w:pStyle w:val="Heading3"/>
        <w:keepNext w:val="0"/>
        <w:numPr>
          <w:ilvl w:val="0"/>
          <w:numId w:val="0"/>
        </w:numPr>
        <w:tabs>
          <w:tab w:val="left" w:pos="851"/>
        </w:tabs>
      </w:pPr>
    </w:p>
    <w:p w:rsidR="004C74C2" w:rsidRPr="00B53423" w:rsidRDefault="004C74C2" w:rsidP="0015232B">
      <w:pPr>
        <w:pStyle w:val="Heading3"/>
        <w:keepNext w:val="0"/>
        <w:ind w:hanging="1080"/>
      </w:pPr>
      <w:r w:rsidRPr="00B53423">
        <w:t xml:space="preserve">The Petitioner has adopted a normative approach with a gearing of 70:30 which is in line with the methodology adopted by the Commission in the previous Orders. Accordingly, on similar lines, the Commission has re-worked the portion of capital expenditure financed through consumer contribution capital grants and subsidies. The </w:t>
      </w:r>
      <w:r w:rsidR="002B0139" w:rsidRPr="00B53423">
        <w:t>T</w:t>
      </w:r>
      <w:r w:rsidRPr="00B53423">
        <w:t>rued</w:t>
      </w:r>
      <w:r w:rsidR="002B0139" w:rsidRPr="00B53423">
        <w:t>-</w:t>
      </w:r>
      <w:r w:rsidRPr="00B53423">
        <w:t>up closing balance of consumer contribution, capital grants and subsidies of FY 2011-12 based on the audited has been considered and subsequent additions in FY 2012-13 and FY 2013-14 have been considered to arrive at the opening amount of consumer contribution, capital grants and subsidies for FY 2014-15.</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Since, the Commission has reduced the 30% of capital investment claimed by the Petitioner, the same treatment has been given to the additions on account of consumer contribution, capital grants and subsidies and accordingly, the Commission has allowed only 70% of total additions in consumer contribution, capital grants and subsidies claimed by the Petitioner in the ARR / Tariff Petition.</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Table below summarises the amounts considered towards consumer contributions, capital grants and subsidies up to FY 2014-15:</w:t>
      </w:r>
    </w:p>
    <w:p w:rsidR="004C74C2" w:rsidRPr="00B53423" w:rsidRDefault="004C74C2" w:rsidP="0015232B">
      <w:pPr>
        <w:tabs>
          <w:tab w:val="left" w:pos="720"/>
        </w:tabs>
        <w:spacing w:after="240"/>
        <w:ind w:left="720"/>
        <w:jc w:val="center"/>
        <w:outlineLvl w:val="2"/>
        <w:rPr>
          <w:rFonts w:cs="Calibri"/>
          <w:b/>
          <w:bCs/>
        </w:rPr>
      </w:pPr>
      <w:bookmarkStart w:id="669" w:name="_Toc356913133"/>
      <w:bookmarkStart w:id="670" w:name="_Toc357274497"/>
      <w:bookmarkStart w:id="671" w:name="_Toc357738738"/>
    </w:p>
    <w:p w:rsidR="004C74C2" w:rsidRPr="00B53423" w:rsidRDefault="004C74C2" w:rsidP="0015232B">
      <w:pPr>
        <w:tabs>
          <w:tab w:val="left" w:pos="720"/>
        </w:tabs>
        <w:spacing w:after="240"/>
        <w:ind w:left="720"/>
        <w:jc w:val="center"/>
        <w:outlineLvl w:val="2"/>
        <w:rPr>
          <w:rFonts w:cs="Arial"/>
          <w:b/>
          <w:bCs/>
        </w:rPr>
      </w:pPr>
      <w:bookmarkStart w:id="672" w:name="_Toc399626425"/>
      <w:r w:rsidRPr="00B53423">
        <w:rPr>
          <w:rFonts w:cs="Calibri"/>
          <w:b/>
          <w:bCs/>
        </w:rPr>
        <w:t xml:space="preserve">Table </w:t>
      </w:r>
      <w:r w:rsidR="005D68E7" w:rsidRPr="00B53423">
        <w:rPr>
          <w:rFonts w:cs="Calibri"/>
          <w:b/>
          <w:bCs/>
        </w:rPr>
        <w:fldChar w:fldCharType="begin"/>
      </w:r>
      <w:r w:rsidRPr="00B53423">
        <w:rPr>
          <w:rFonts w:cs="Calibri"/>
          <w:b/>
          <w:bCs/>
        </w:rPr>
        <w:instrText xml:space="preserve"> STYLEREF 1 \s </w:instrText>
      </w:r>
      <w:r w:rsidR="005D68E7" w:rsidRPr="00B53423">
        <w:rPr>
          <w:rFonts w:cs="Calibri"/>
          <w:b/>
          <w:bCs/>
        </w:rPr>
        <w:fldChar w:fldCharType="separate"/>
      </w:r>
      <w:r w:rsidR="00847C1B">
        <w:rPr>
          <w:rFonts w:cs="Calibri"/>
          <w:b/>
          <w:bCs/>
          <w:noProof/>
        </w:rPr>
        <w:t>9</w:t>
      </w:r>
      <w:r w:rsidR="005D68E7" w:rsidRPr="00B53423">
        <w:rPr>
          <w:rFonts w:cs="Calibri"/>
          <w:b/>
          <w:bCs/>
        </w:rPr>
        <w:fldChar w:fldCharType="end"/>
      </w:r>
      <w:r w:rsidRPr="00B53423">
        <w:rPr>
          <w:rFonts w:cs="Calibri"/>
          <w:b/>
          <w:bCs/>
        </w:rPr>
        <w:noBreakHyphen/>
      </w:r>
      <w:r w:rsidR="005D68E7" w:rsidRPr="00B53423">
        <w:rPr>
          <w:rFonts w:cs="Calibri"/>
          <w:b/>
          <w:bCs/>
        </w:rPr>
        <w:fldChar w:fldCharType="begin"/>
      </w:r>
      <w:r w:rsidRPr="00B53423">
        <w:rPr>
          <w:rFonts w:cs="Calibri"/>
          <w:b/>
          <w:bCs/>
        </w:rPr>
        <w:instrText xml:space="preserve"> SEQ Table \* ARABIC \s 1 </w:instrText>
      </w:r>
      <w:r w:rsidR="005D68E7" w:rsidRPr="00B53423">
        <w:rPr>
          <w:rFonts w:cs="Calibri"/>
          <w:b/>
          <w:bCs/>
        </w:rPr>
        <w:fldChar w:fldCharType="separate"/>
      </w:r>
      <w:r w:rsidR="00847C1B">
        <w:rPr>
          <w:rFonts w:cs="Calibri"/>
          <w:b/>
          <w:bCs/>
          <w:noProof/>
        </w:rPr>
        <w:t>20</w:t>
      </w:r>
      <w:r w:rsidR="005D68E7" w:rsidRPr="00B53423">
        <w:rPr>
          <w:rFonts w:cs="Calibri"/>
          <w:b/>
          <w:bCs/>
        </w:rPr>
        <w:fldChar w:fldCharType="end"/>
      </w:r>
      <w:r w:rsidRPr="00B53423">
        <w:rPr>
          <w:rFonts w:cs="Calibri"/>
          <w:b/>
          <w:bCs/>
        </w:rPr>
        <w:t>: CONSUMER CONTRIBUTIONS, CAPITAL GRANTS AND SUBSIDIES CONSIDERED UP TO FY 2014-15 (Rs. Crore)</w:t>
      </w:r>
      <w:bookmarkEnd w:id="669"/>
      <w:bookmarkEnd w:id="670"/>
      <w:bookmarkEnd w:id="671"/>
      <w:bookmarkEnd w:id="672"/>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375"/>
        <w:gridCol w:w="1267"/>
        <w:gridCol w:w="1487"/>
        <w:gridCol w:w="1350"/>
      </w:tblGrid>
      <w:tr w:rsidR="004C74C2" w:rsidRPr="00B53423" w:rsidTr="002B3D6B">
        <w:trPr>
          <w:trHeight w:val="300"/>
          <w:tblHeader/>
        </w:trPr>
        <w:tc>
          <w:tcPr>
            <w:tcW w:w="4375" w:type="dxa"/>
            <w:shd w:val="clear" w:color="000000" w:fill="DBE5F1"/>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Particulars</w:t>
            </w:r>
          </w:p>
        </w:tc>
        <w:tc>
          <w:tcPr>
            <w:tcW w:w="1267" w:type="dxa"/>
            <w:shd w:val="clear" w:color="000000" w:fill="DBE5F1"/>
            <w:noWrap/>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Derivation</w:t>
            </w:r>
          </w:p>
        </w:tc>
        <w:tc>
          <w:tcPr>
            <w:tcW w:w="1487" w:type="dxa"/>
            <w:shd w:val="clear" w:color="000000" w:fill="DBE5F1"/>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ARR Petition</w:t>
            </w:r>
          </w:p>
        </w:tc>
        <w:tc>
          <w:tcPr>
            <w:tcW w:w="1350" w:type="dxa"/>
            <w:shd w:val="clear" w:color="000000" w:fill="DBE5F1"/>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Approved</w:t>
            </w:r>
          </w:p>
        </w:tc>
      </w:tr>
      <w:tr w:rsidR="004C74C2" w:rsidRPr="00B53423" w:rsidTr="002B3D6B">
        <w:trPr>
          <w:trHeight w:val="633"/>
        </w:trPr>
        <w:tc>
          <w:tcPr>
            <w:tcW w:w="4375" w:type="dxa"/>
            <w:shd w:val="clear" w:color="auto" w:fill="auto"/>
            <w:vAlign w:val="bottom"/>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Opening Balance of Consumer Contributions, Grants and Subsidies towards Cost of Capital Assets</w:t>
            </w:r>
          </w:p>
        </w:tc>
        <w:tc>
          <w:tcPr>
            <w:tcW w:w="1267" w:type="dxa"/>
            <w:shd w:val="clear" w:color="auto" w:fill="auto"/>
            <w:noWrap/>
            <w:vAlign w:val="center"/>
            <w:hideMark/>
          </w:tcPr>
          <w:p w:rsidR="004C74C2" w:rsidRPr="00B53423" w:rsidRDefault="004C74C2" w:rsidP="0015232B">
            <w:pPr>
              <w:spacing w:before="0" w:line="240" w:lineRule="auto"/>
              <w:jc w:val="center"/>
              <w:rPr>
                <w:rFonts w:cs="Calibri"/>
                <w:color w:val="000000"/>
                <w:lang w:val="en-IN" w:eastAsia="en-IN"/>
              </w:rPr>
            </w:pPr>
            <w:r w:rsidRPr="00B53423">
              <w:rPr>
                <w:rFonts w:cs="Calibri"/>
                <w:color w:val="000000"/>
                <w:lang w:val="en-IN" w:eastAsia="en-IN"/>
              </w:rPr>
              <w:t>A</w:t>
            </w:r>
          </w:p>
        </w:tc>
        <w:tc>
          <w:tcPr>
            <w:tcW w:w="1487" w:type="dxa"/>
            <w:shd w:val="clear" w:color="auto" w:fill="auto"/>
            <w:noWrap/>
            <w:vAlign w:val="center"/>
            <w:hideMark/>
          </w:tcPr>
          <w:p w:rsidR="004C74C2" w:rsidRPr="00B53423" w:rsidRDefault="004C74C2" w:rsidP="0015232B">
            <w:pPr>
              <w:spacing w:before="0"/>
              <w:ind w:right="343"/>
              <w:jc w:val="right"/>
              <w:rPr>
                <w:rFonts w:asciiTheme="minorHAnsi" w:hAnsiTheme="minorHAnsi" w:cstheme="minorHAnsi"/>
                <w:color w:val="000000"/>
              </w:rPr>
            </w:pPr>
            <w:r w:rsidRPr="00B53423">
              <w:rPr>
                <w:rFonts w:asciiTheme="minorHAnsi" w:hAnsiTheme="minorHAnsi" w:cstheme="minorHAnsi"/>
                <w:color w:val="000000"/>
              </w:rPr>
              <w:t>156.14</w:t>
            </w:r>
          </w:p>
        </w:tc>
        <w:tc>
          <w:tcPr>
            <w:tcW w:w="1350" w:type="dxa"/>
            <w:shd w:val="clear" w:color="auto" w:fill="auto"/>
            <w:noWrap/>
            <w:vAlign w:val="center"/>
            <w:hideMark/>
          </w:tcPr>
          <w:p w:rsidR="004C74C2" w:rsidRPr="00B53423" w:rsidRDefault="004C74C2" w:rsidP="0015232B">
            <w:pPr>
              <w:spacing w:before="0"/>
              <w:ind w:right="343"/>
              <w:jc w:val="right"/>
              <w:rPr>
                <w:rFonts w:asciiTheme="minorHAnsi" w:hAnsiTheme="minorHAnsi" w:cstheme="minorHAnsi"/>
              </w:rPr>
            </w:pPr>
            <w:r w:rsidRPr="00B53423">
              <w:rPr>
                <w:rFonts w:asciiTheme="minorHAnsi" w:hAnsiTheme="minorHAnsi" w:cstheme="minorHAnsi"/>
              </w:rPr>
              <w:t xml:space="preserve"> 194.74 </w:t>
            </w:r>
          </w:p>
        </w:tc>
      </w:tr>
      <w:tr w:rsidR="004C74C2" w:rsidRPr="00B53423" w:rsidTr="002B3D6B">
        <w:trPr>
          <w:trHeight w:val="350"/>
        </w:trPr>
        <w:tc>
          <w:tcPr>
            <w:tcW w:w="4375" w:type="dxa"/>
            <w:shd w:val="clear" w:color="auto" w:fill="auto"/>
            <w:vAlign w:val="bottom"/>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Additions during the year</w:t>
            </w:r>
          </w:p>
        </w:tc>
        <w:tc>
          <w:tcPr>
            <w:tcW w:w="1267" w:type="dxa"/>
            <w:shd w:val="clear" w:color="auto" w:fill="auto"/>
            <w:noWrap/>
            <w:vAlign w:val="center"/>
            <w:hideMark/>
          </w:tcPr>
          <w:p w:rsidR="004C74C2" w:rsidRPr="00B53423" w:rsidRDefault="004C74C2" w:rsidP="0015232B">
            <w:pPr>
              <w:spacing w:before="0" w:line="240" w:lineRule="auto"/>
              <w:jc w:val="center"/>
              <w:rPr>
                <w:rFonts w:cs="Calibri"/>
                <w:color w:val="000000"/>
                <w:lang w:val="en-IN" w:eastAsia="en-IN"/>
              </w:rPr>
            </w:pPr>
            <w:r w:rsidRPr="00B53423">
              <w:rPr>
                <w:rFonts w:cs="Calibri"/>
                <w:color w:val="000000"/>
                <w:lang w:val="en-IN" w:eastAsia="en-IN"/>
              </w:rPr>
              <w:t>B</w:t>
            </w:r>
          </w:p>
        </w:tc>
        <w:tc>
          <w:tcPr>
            <w:tcW w:w="1487" w:type="dxa"/>
            <w:shd w:val="clear" w:color="auto" w:fill="auto"/>
            <w:noWrap/>
            <w:vAlign w:val="center"/>
            <w:hideMark/>
          </w:tcPr>
          <w:p w:rsidR="004C74C2" w:rsidRPr="00B53423" w:rsidRDefault="004C74C2" w:rsidP="0015232B">
            <w:pPr>
              <w:spacing w:before="0"/>
              <w:ind w:right="343"/>
              <w:jc w:val="right"/>
              <w:rPr>
                <w:rFonts w:asciiTheme="minorHAnsi" w:hAnsiTheme="minorHAnsi" w:cstheme="minorHAnsi"/>
                <w:color w:val="000000"/>
              </w:rPr>
            </w:pPr>
            <w:r w:rsidRPr="00B53423">
              <w:rPr>
                <w:rFonts w:asciiTheme="minorHAnsi" w:hAnsiTheme="minorHAnsi" w:cstheme="minorHAnsi"/>
                <w:color w:val="000000"/>
              </w:rPr>
              <w:t>25.00</w:t>
            </w:r>
          </w:p>
        </w:tc>
        <w:tc>
          <w:tcPr>
            <w:tcW w:w="1350" w:type="dxa"/>
            <w:shd w:val="clear" w:color="auto" w:fill="auto"/>
            <w:noWrap/>
            <w:vAlign w:val="center"/>
            <w:hideMark/>
          </w:tcPr>
          <w:p w:rsidR="004C74C2" w:rsidRPr="00B53423" w:rsidRDefault="004C74C2" w:rsidP="0015232B">
            <w:pPr>
              <w:spacing w:before="0"/>
              <w:ind w:right="343"/>
              <w:jc w:val="right"/>
              <w:rPr>
                <w:rFonts w:asciiTheme="minorHAnsi" w:hAnsiTheme="minorHAnsi" w:cstheme="minorHAnsi"/>
              </w:rPr>
            </w:pPr>
            <w:r w:rsidRPr="00B53423">
              <w:rPr>
                <w:rFonts w:asciiTheme="minorHAnsi" w:hAnsiTheme="minorHAnsi" w:cstheme="minorHAnsi"/>
              </w:rPr>
              <w:t xml:space="preserve"> 17.50 </w:t>
            </w:r>
          </w:p>
        </w:tc>
      </w:tr>
      <w:tr w:rsidR="004C74C2" w:rsidRPr="00B53423" w:rsidTr="002B3D6B">
        <w:trPr>
          <w:trHeight w:val="300"/>
        </w:trPr>
        <w:tc>
          <w:tcPr>
            <w:tcW w:w="4375" w:type="dxa"/>
            <w:shd w:val="clear" w:color="auto" w:fill="auto"/>
            <w:vAlign w:val="bottom"/>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 xml:space="preserve">Less: Amortisation </w:t>
            </w:r>
          </w:p>
        </w:tc>
        <w:tc>
          <w:tcPr>
            <w:tcW w:w="1267" w:type="dxa"/>
            <w:shd w:val="clear" w:color="auto" w:fill="auto"/>
            <w:noWrap/>
            <w:vAlign w:val="center"/>
            <w:hideMark/>
          </w:tcPr>
          <w:p w:rsidR="004C74C2" w:rsidRPr="00B53423" w:rsidRDefault="004C74C2" w:rsidP="0015232B">
            <w:pPr>
              <w:spacing w:before="0" w:line="240" w:lineRule="auto"/>
              <w:jc w:val="center"/>
              <w:rPr>
                <w:rFonts w:cs="Calibri"/>
                <w:color w:val="000000"/>
                <w:lang w:val="en-IN" w:eastAsia="en-IN"/>
              </w:rPr>
            </w:pPr>
            <w:r w:rsidRPr="00B53423">
              <w:rPr>
                <w:rFonts w:cs="Calibri"/>
                <w:color w:val="000000"/>
                <w:lang w:val="en-IN" w:eastAsia="en-IN"/>
              </w:rPr>
              <w:t>C</w:t>
            </w:r>
          </w:p>
        </w:tc>
        <w:tc>
          <w:tcPr>
            <w:tcW w:w="1487" w:type="dxa"/>
            <w:shd w:val="clear" w:color="auto" w:fill="auto"/>
            <w:noWrap/>
            <w:vAlign w:val="center"/>
            <w:hideMark/>
          </w:tcPr>
          <w:p w:rsidR="004C74C2" w:rsidRPr="00B53423" w:rsidRDefault="004C74C2" w:rsidP="0015232B">
            <w:pPr>
              <w:spacing w:before="0"/>
              <w:ind w:right="343"/>
              <w:jc w:val="right"/>
              <w:rPr>
                <w:rFonts w:asciiTheme="minorHAnsi" w:hAnsiTheme="minorHAnsi" w:cstheme="minorHAnsi"/>
                <w:color w:val="000000"/>
              </w:rPr>
            </w:pPr>
            <w:r w:rsidRPr="00B53423">
              <w:rPr>
                <w:rFonts w:asciiTheme="minorHAnsi" w:hAnsiTheme="minorHAnsi" w:cstheme="minorHAnsi"/>
                <w:color w:val="000000"/>
              </w:rPr>
              <w:t>15.92</w:t>
            </w:r>
          </w:p>
        </w:tc>
        <w:tc>
          <w:tcPr>
            <w:tcW w:w="1350" w:type="dxa"/>
            <w:shd w:val="clear" w:color="auto" w:fill="auto"/>
            <w:noWrap/>
            <w:vAlign w:val="center"/>
            <w:hideMark/>
          </w:tcPr>
          <w:p w:rsidR="004C74C2" w:rsidRPr="00B53423" w:rsidRDefault="004C74C2" w:rsidP="0015232B">
            <w:pPr>
              <w:spacing w:before="0"/>
              <w:ind w:right="343"/>
              <w:jc w:val="right"/>
              <w:rPr>
                <w:rFonts w:asciiTheme="minorHAnsi" w:hAnsiTheme="minorHAnsi" w:cstheme="minorHAnsi"/>
              </w:rPr>
            </w:pPr>
            <w:r w:rsidRPr="00B53423">
              <w:rPr>
                <w:rFonts w:asciiTheme="minorHAnsi" w:hAnsiTheme="minorHAnsi" w:cstheme="minorHAnsi"/>
              </w:rPr>
              <w:t xml:space="preserve"> </w:t>
            </w:r>
            <w:r w:rsidR="002B3D6B" w:rsidRPr="00B53423">
              <w:rPr>
                <w:rFonts w:asciiTheme="minorHAnsi" w:hAnsiTheme="minorHAnsi" w:cstheme="minorHAnsi"/>
              </w:rPr>
              <w:t>15.24</w:t>
            </w:r>
            <w:r w:rsidRPr="00B53423">
              <w:rPr>
                <w:rFonts w:asciiTheme="minorHAnsi" w:hAnsiTheme="minorHAnsi" w:cstheme="minorHAnsi"/>
              </w:rPr>
              <w:t xml:space="preserve"> </w:t>
            </w:r>
          </w:p>
        </w:tc>
      </w:tr>
      <w:tr w:rsidR="004C74C2" w:rsidRPr="00B53423" w:rsidTr="002B3D6B">
        <w:trPr>
          <w:trHeight w:val="300"/>
        </w:trPr>
        <w:tc>
          <w:tcPr>
            <w:tcW w:w="4375" w:type="dxa"/>
            <w:shd w:val="clear" w:color="auto" w:fill="auto"/>
            <w:vAlign w:val="bottom"/>
            <w:hideMark/>
          </w:tcPr>
          <w:p w:rsidR="004C74C2" w:rsidRPr="00B53423" w:rsidRDefault="004C74C2" w:rsidP="0015232B">
            <w:pPr>
              <w:spacing w:before="0" w:line="240" w:lineRule="auto"/>
              <w:jc w:val="left"/>
              <w:rPr>
                <w:rFonts w:cs="Calibri"/>
                <w:b/>
                <w:bCs/>
                <w:color w:val="000000"/>
                <w:lang w:val="en-IN" w:eastAsia="en-IN"/>
              </w:rPr>
            </w:pPr>
            <w:r w:rsidRPr="00B53423">
              <w:rPr>
                <w:rFonts w:cs="Calibri"/>
                <w:b/>
                <w:bCs/>
                <w:color w:val="000000"/>
                <w:lang w:val="en-IN" w:eastAsia="en-IN"/>
              </w:rPr>
              <w:t>Closing Balance</w:t>
            </w:r>
          </w:p>
        </w:tc>
        <w:tc>
          <w:tcPr>
            <w:tcW w:w="1267" w:type="dxa"/>
            <w:shd w:val="clear" w:color="auto" w:fill="auto"/>
            <w:noWrap/>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D=A+B-C</w:t>
            </w:r>
          </w:p>
        </w:tc>
        <w:tc>
          <w:tcPr>
            <w:tcW w:w="1487" w:type="dxa"/>
            <w:shd w:val="clear" w:color="auto" w:fill="auto"/>
            <w:noWrap/>
            <w:vAlign w:val="center"/>
            <w:hideMark/>
          </w:tcPr>
          <w:p w:rsidR="004C74C2" w:rsidRPr="00B53423" w:rsidRDefault="004C74C2" w:rsidP="0015232B">
            <w:pPr>
              <w:spacing w:before="0"/>
              <w:ind w:right="343"/>
              <w:jc w:val="right"/>
              <w:rPr>
                <w:rFonts w:asciiTheme="minorHAnsi" w:hAnsiTheme="minorHAnsi" w:cstheme="minorHAnsi"/>
                <w:b/>
                <w:bCs/>
                <w:color w:val="000000"/>
              </w:rPr>
            </w:pPr>
            <w:r w:rsidRPr="00B53423">
              <w:rPr>
                <w:rFonts w:asciiTheme="minorHAnsi" w:hAnsiTheme="minorHAnsi" w:cstheme="minorHAnsi"/>
                <w:b/>
                <w:bCs/>
                <w:color w:val="000000"/>
              </w:rPr>
              <w:t>165.22</w:t>
            </w:r>
          </w:p>
        </w:tc>
        <w:tc>
          <w:tcPr>
            <w:tcW w:w="1350" w:type="dxa"/>
            <w:shd w:val="clear" w:color="auto" w:fill="auto"/>
            <w:noWrap/>
            <w:vAlign w:val="center"/>
            <w:hideMark/>
          </w:tcPr>
          <w:p w:rsidR="004C74C2" w:rsidRPr="00B53423" w:rsidRDefault="004C74C2" w:rsidP="0015232B">
            <w:pPr>
              <w:spacing w:before="0"/>
              <w:ind w:right="343"/>
              <w:jc w:val="right"/>
              <w:rPr>
                <w:rFonts w:asciiTheme="minorHAnsi" w:hAnsiTheme="minorHAnsi" w:cstheme="minorHAnsi"/>
                <w:b/>
                <w:bCs/>
                <w:color w:val="000000"/>
              </w:rPr>
            </w:pPr>
            <w:r w:rsidRPr="00B53423">
              <w:rPr>
                <w:rFonts w:asciiTheme="minorHAnsi" w:hAnsiTheme="minorHAnsi" w:cstheme="minorHAnsi"/>
                <w:b/>
                <w:bCs/>
                <w:color w:val="000000"/>
              </w:rPr>
              <w:t xml:space="preserve"> 19</w:t>
            </w:r>
            <w:r w:rsidR="002B3D6B" w:rsidRPr="00B53423">
              <w:rPr>
                <w:rFonts w:asciiTheme="minorHAnsi" w:hAnsiTheme="minorHAnsi" w:cstheme="minorHAnsi"/>
                <w:b/>
                <w:bCs/>
                <w:color w:val="000000"/>
              </w:rPr>
              <w:t>7.01</w:t>
            </w:r>
            <w:r w:rsidRPr="00B53423">
              <w:rPr>
                <w:rFonts w:asciiTheme="minorHAnsi" w:hAnsiTheme="minorHAnsi" w:cstheme="minorHAnsi"/>
                <w:b/>
                <w:bCs/>
                <w:color w:val="000000"/>
              </w:rPr>
              <w:t xml:space="preserve"> </w:t>
            </w:r>
          </w:p>
        </w:tc>
      </w:tr>
    </w:tbl>
    <w:p w:rsidR="004C74C2" w:rsidRPr="00B53423" w:rsidRDefault="004C74C2" w:rsidP="0015232B">
      <w:pPr>
        <w:pStyle w:val="Heading3"/>
        <w:keepNext w:val="0"/>
        <w:numPr>
          <w:ilvl w:val="0"/>
          <w:numId w:val="0"/>
        </w:numPr>
        <w:tabs>
          <w:tab w:val="left" w:pos="851"/>
        </w:tabs>
        <w:ind w:left="851"/>
      </w:pPr>
    </w:p>
    <w:p w:rsidR="004C74C2" w:rsidRPr="00B53423" w:rsidRDefault="004C74C2" w:rsidP="0015232B">
      <w:pPr>
        <w:pStyle w:val="Heading3"/>
        <w:keepNext w:val="0"/>
        <w:ind w:hanging="1080"/>
      </w:pPr>
      <w:r w:rsidRPr="00B53423">
        <w:t xml:space="preserve">Thus, </w:t>
      </w:r>
      <w:r w:rsidRPr="00B53423">
        <w:rPr>
          <w:rFonts w:cs="Calibri"/>
        </w:rPr>
        <w:t>the</w:t>
      </w:r>
      <w:r w:rsidRPr="00B53423">
        <w:t xml:space="preserve"> approved financing of the capital investment is depicted in the Table below:</w:t>
      </w:r>
    </w:p>
    <w:p w:rsidR="004C74C2" w:rsidRPr="00B53423" w:rsidRDefault="004C74C2" w:rsidP="0015232B">
      <w:pPr>
        <w:tabs>
          <w:tab w:val="left" w:pos="720"/>
        </w:tabs>
        <w:spacing w:before="0"/>
        <w:ind w:left="720"/>
        <w:jc w:val="center"/>
        <w:outlineLvl w:val="2"/>
        <w:rPr>
          <w:rFonts w:cs="Calibri"/>
          <w:b/>
          <w:bCs/>
          <w:szCs w:val="26"/>
        </w:rPr>
      </w:pPr>
      <w:bookmarkStart w:id="673" w:name="_Toc357274498"/>
      <w:bookmarkStart w:id="674" w:name="_Toc357738739"/>
      <w:bookmarkStart w:id="675" w:name="_Toc356913135"/>
    </w:p>
    <w:p w:rsidR="004C74C2" w:rsidRPr="00B53423" w:rsidRDefault="004C74C2" w:rsidP="0015232B">
      <w:pPr>
        <w:tabs>
          <w:tab w:val="left" w:pos="720"/>
        </w:tabs>
        <w:spacing w:before="0"/>
        <w:ind w:left="720"/>
        <w:jc w:val="center"/>
        <w:outlineLvl w:val="2"/>
        <w:rPr>
          <w:rFonts w:cs="Calibri"/>
          <w:b/>
          <w:bCs/>
          <w:szCs w:val="26"/>
        </w:rPr>
      </w:pPr>
      <w:bookmarkStart w:id="676" w:name="_Toc399626426"/>
      <w:r w:rsidRPr="00B53423">
        <w:rPr>
          <w:rFonts w:cs="Calibri"/>
          <w:b/>
          <w:bCs/>
          <w:szCs w:val="26"/>
        </w:rPr>
        <w:t xml:space="preserve">Table </w:t>
      </w:r>
      <w:r w:rsidR="005D68E7" w:rsidRPr="00B53423">
        <w:rPr>
          <w:rFonts w:cs="Calibri"/>
          <w:b/>
          <w:bCs/>
          <w:szCs w:val="26"/>
        </w:rPr>
        <w:fldChar w:fldCharType="begin"/>
      </w:r>
      <w:r w:rsidRPr="00B53423">
        <w:rPr>
          <w:rFonts w:cs="Calibri"/>
          <w:b/>
          <w:bCs/>
          <w:szCs w:val="26"/>
        </w:rPr>
        <w:instrText xml:space="preserve"> STYLEREF 1 \s </w:instrText>
      </w:r>
      <w:r w:rsidR="005D68E7" w:rsidRPr="00B53423">
        <w:rPr>
          <w:rFonts w:cs="Calibri"/>
          <w:b/>
          <w:bCs/>
          <w:szCs w:val="26"/>
        </w:rPr>
        <w:fldChar w:fldCharType="separate"/>
      </w:r>
      <w:r w:rsidR="00847C1B">
        <w:rPr>
          <w:rFonts w:cs="Calibri"/>
          <w:b/>
          <w:bCs/>
          <w:noProof/>
          <w:szCs w:val="26"/>
        </w:rPr>
        <w:t>9</w:t>
      </w:r>
      <w:r w:rsidR="005D68E7" w:rsidRPr="00B53423">
        <w:rPr>
          <w:rFonts w:cs="Calibri"/>
          <w:b/>
          <w:bCs/>
          <w:szCs w:val="26"/>
        </w:rPr>
        <w:fldChar w:fldCharType="end"/>
      </w:r>
      <w:r w:rsidRPr="00B53423">
        <w:rPr>
          <w:rFonts w:cs="Calibri"/>
          <w:b/>
          <w:bCs/>
          <w:szCs w:val="26"/>
        </w:rPr>
        <w:noBreakHyphen/>
      </w:r>
      <w:r w:rsidR="005D68E7" w:rsidRPr="00B53423">
        <w:rPr>
          <w:rFonts w:cs="Calibri"/>
          <w:b/>
          <w:bCs/>
          <w:szCs w:val="26"/>
        </w:rPr>
        <w:fldChar w:fldCharType="begin"/>
      </w:r>
      <w:r w:rsidRPr="00B53423">
        <w:rPr>
          <w:rFonts w:cs="Calibri"/>
          <w:b/>
          <w:bCs/>
          <w:szCs w:val="26"/>
        </w:rPr>
        <w:instrText xml:space="preserve"> SEQ Table \* ARABIC \s 1 </w:instrText>
      </w:r>
      <w:r w:rsidR="005D68E7" w:rsidRPr="00B53423">
        <w:rPr>
          <w:rFonts w:cs="Calibri"/>
          <w:b/>
          <w:bCs/>
          <w:szCs w:val="26"/>
        </w:rPr>
        <w:fldChar w:fldCharType="separate"/>
      </w:r>
      <w:r w:rsidR="00847C1B">
        <w:rPr>
          <w:rFonts w:cs="Calibri"/>
          <w:b/>
          <w:bCs/>
          <w:noProof/>
          <w:szCs w:val="26"/>
        </w:rPr>
        <w:t>21</w:t>
      </w:r>
      <w:r w:rsidR="005D68E7" w:rsidRPr="00B53423">
        <w:rPr>
          <w:rFonts w:cs="Calibri"/>
          <w:b/>
          <w:bCs/>
          <w:szCs w:val="26"/>
        </w:rPr>
        <w:fldChar w:fldCharType="end"/>
      </w:r>
      <w:r w:rsidRPr="00B53423">
        <w:rPr>
          <w:rFonts w:cs="Calibri"/>
          <w:b/>
          <w:bCs/>
          <w:szCs w:val="26"/>
        </w:rPr>
        <w:t>: FINANCING OF THE CAPITAL INVESTMENTS UP TO FY 20</w:t>
      </w:r>
      <w:bookmarkEnd w:id="673"/>
      <w:r w:rsidRPr="00B53423">
        <w:rPr>
          <w:rFonts w:cs="Calibri"/>
          <w:b/>
          <w:bCs/>
          <w:szCs w:val="26"/>
        </w:rPr>
        <w:t>14-15 (Rs. Crore)</w:t>
      </w:r>
      <w:bookmarkEnd w:id="674"/>
      <w:bookmarkEnd w:id="676"/>
    </w:p>
    <w:tbl>
      <w:tblPr>
        <w:tblW w:w="4532" w:type="pct"/>
        <w:tblInd w:w="62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985"/>
        <w:gridCol w:w="1345"/>
        <w:gridCol w:w="1440"/>
        <w:gridCol w:w="1349"/>
      </w:tblGrid>
      <w:tr w:rsidR="004C74C2" w:rsidRPr="00B53423" w:rsidTr="002B3D6B">
        <w:trPr>
          <w:trHeight w:val="323"/>
          <w:tblHeader/>
        </w:trPr>
        <w:tc>
          <w:tcPr>
            <w:tcW w:w="2454" w:type="pct"/>
            <w:shd w:val="clear" w:color="000000" w:fill="DBE5F1"/>
            <w:vAlign w:val="center"/>
            <w:hideMark/>
          </w:tcPr>
          <w:bookmarkEnd w:id="675"/>
          <w:p w:rsidR="004C74C2" w:rsidRPr="00B53423" w:rsidRDefault="004C74C2" w:rsidP="0015232B">
            <w:pPr>
              <w:spacing w:before="0" w:line="240" w:lineRule="auto"/>
              <w:contextualSpacing/>
              <w:jc w:val="center"/>
              <w:rPr>
                <w:rFonts w:cs="Calibri"/>
                <w:b/>
                <w:bCs/>
                <w:color w:val="000000"/>
                <w:lang w:val="en-IN" w:eastAsia="en-IN"/>
              </w:rPr>
            </w:pPr>
            <w:r w:rsidRPr="00B53423">
              <w:rPr>
                <w:rFonts w:cs="Calibri"/>
                <w:b/>
                <w:bCs/>
                <w:color w:val="000000"/>
                <w:lang w:val="en-IN" w:eastAsia="en-IN"/>
              </w:rPr>
              <w:t>Particulars</w:t>
            </w:r>
          </w:p>
        </w:tc>
        <w:tc>
          <w:tcPr>
            <w:tcW w:w="828" w:type="pct"/>
            <w:shd w:val="clear" w:color="000000" w:fill="DBE5F1"/>
            <w:vAlign w:val="center"/>
            <w:hideMark/>
          </w:tcPr>
          <w:p w:rsidR="004C74C2" w:rsidRPr="00B53423" w:rsidRDefault="004C74C2" w:rsidP="0015232B">
            <w:pPr>
              <w:spacing w:before="0" w:line="240" w:lineRule="auto"/>
              <w:contextualSpacing/>
              <w:jc w:val="center"/>
              <w:rPr>
                <w:rFonts w:cs="Calibri"/>
                <w:b/>
                <w:bCs/>
                <w:color w:val="000000"/>
                <w:lang w:val="en-IN" w:eastAsia="en-IN"/>
              </w:rPr>
            </w:pPr>
            <w:r w:rsidRPr="00B53423">
              <w:rPr>
                <w:rFonts w:cs="Calibri"/>
                <w:b/>
                <w:bCs/>
                <w:color w:val="000000"/>
                <w:lang w:val="en-IN" w:eastAsia="en-IN"/>
              </w:rPr>
              <w:t>Derivation</w:t>
            </w:r>
          </w:p>
        </w:tc>
        <w:tc>
          <w:tcPr>
            <w:tcW w:w="887" w:type="pct"/>
            <w:shd w:val="clear" w:color="000000" w:fill="DBE5F1"/>
            <w:vAlign w:val="center"/>
            <w:hideMark/>
          </w:tcPr>
          <w:p w:rsidR="004C74C2" w:rsidRPr="00B53423" w:rsidRDefault="004C74C2" w:rsidP="0015232B">
            <w:pPr>
              <w:spacing w:before="0" w:line="240" w:lineRule="auto"/>
              <w:contextualSpacing/>
              <w:jc w:val="center"/>
              <w:rPr>
                <w:rFonts w:cs="Calibri"/>
                <w:b/>
                <w:bCs/>
                <w:lang w:val="en-IN" w:eastAsia="en-IN"/>
              </w:rPr>
            </w:pPr>
            <w:r w:rsidRPr="00B53423">
              <w:rPr>
                <w:rFonts w:cs="Calibri"/>
                <w:b/>
                <w:bCs/>
                <w:lang w:val="en-IN" w:eastAsia="en-IN"/>
              </w:rPr>
              <w:t>ARR Petition</w:t>
            </w:r>
          </w:p>
        </w:tc>
        <w:tc>
          <w:tcPr>
            <w:tcW w:w="832" w:type="pct"/>
            <w:shd w:val="clear" w:color="000000" w:fill="DBE5F1"/>
            <w:vAlign w:val="center"/>
            <w:hideMark/>
          </w:tcPr>
          <w:p w:rsidR="004C74C2" w:rsidRPr="00B53423" w:rsidRDefault="004C74C2" w:rsidP="0015232B">
            <w:pPr>
              <w:spacing w:before="0" w:line="240" w:lineRule="auto"/>
              <w:contextualSpacing/>
              <w:jc w:val="center"/>
              <w:rPr>
                <w:rFonts w:cs="Calibri"/>
                <w:b/>
                <w:bCs/>
                <w:lang w:val="en-IN" w:eastAsia="en-IN"/>
              </w:rPr>
            </w:pPr>
            <w:r w:rsidRPr="00B53423">
              <w:rPr>
                <w:rFonts w:cs="Calibri"/>
                <w:b/>
                <w:bCs/>
                <w:lang w:val="en-IN" w:eastAsia="en-IN"/>
              </w:rPr>
              <w:t>Approved</w:t>
            </w:r>
          </w:p>
        </w:tc>
      </w:tr>
      <w:tr w:rsidR="004C74C2" w:rsidRPr="00B53423" w:rsidTr="002B3D6B">
        <w:trPr>
          <w:trHeight w:val="300"/>
        </w:trPr>
        <w:tc>
          <w:tcPr>
            <w:tcW w:w="2454" w:type="pct"/>
            <w:shd w:val="clear" w:color="auto" w:fill="auto"/>
            <w:vAlign w:val="center"/>
            <w:hideMark/>
          </w:tcPr>
          <w:p w:rsidR="004C74C2" w:rsidRPr="00B53423" w:rsidRDefault="004C74C2" w:rsidP="0015232B">
            <w:pPr>
              <w:spacing w:before="0" w:line="240" w:lineRule="auto"/>
              <w:contextualSpacing/>
              <w:jc w:val="left"/>
              <w:rPr>
                <w:rFonts w:cs="Calibri"/>
                <w:lang w:val="en-IN" w:eastAsia="en-IN"/>
              </w:rPr>
            </w:pPr>
            <w:r w:rsidRPr="00B53423">
              <w:rPr>
                <w:rFonts w:cs="Calibri"/>
                <w:lang w:val="en-IN" w:eastAsia="en-IN"/>
              </w:rPr>
              <w:t>Investment</w:t>
            </w:r>
          </w:p>
        </w:tc>
        <w:tc>
          <w:tcPr>
            <w:tcW w:w="828" w:type="pct"/>
            <w:shd w:val="clear" w:color="auto" w:fill="auto"/>
            <w:noWrap/>
            <w:vAlign w:val="center"/>
            <w:hideMark/>
          </w:tcPr>
          <w:p w:rsidR="004C74C2" w:rsidRPr="00B53423" w:rsidRDefault="004C74C2" w:rsidP="0015232B">
            <w:pPr>
              <w:spacing w:before="0" w:line="240" w:lineRule="auto"/>
              <w:contextualSpacing/>
              <w:jc w:val="center"/>
              <w:rPr>
                <w:rFonts w:cs="Calibri"/>
                <w:color w:val="000000"/>
                <w:lang w:val="en-IN" w:eastAsia="en-IN"/>
              </w:rPr>
            </w:pPr>
            <w:r w:rsidRPr="00B53423">
              <w:rPr>
                <w:rFonts w:cs="Calibri"/>
                <w:color w:val="000000"/>
                <w:lang w:val="en-IN" w:eastAsia="en-IN"/>
              </w:rPr>
              <w:t>A</w:t>
            </w:r>
          </w:p>
        </w:tc>
        <w:tc>
          <w:tcPr>
            <w:tcW w:w="887" w:type="pct"/>
            <w:shd w:val="clear" w:color="auto" w:fill="auto"/>
            <w:noWrap/>
            <w:vAlign w:val="center"/>
            <w:hideMark/>
          </w:tcPr>
          <w:p w:rsidR="004C74C2" w:rsidRPr="00B53423" w:rsidRDefault="004C74C2" w:rsidP="0015232B">
            <w:pPr>
              <w:spacing w:before="0" w:line="240" w:lineRule="auto"/>
              <w:ind w:right="252"/>
              <w:jc w:val="right"/>
              <w:rPr>
                <w:rFonts w:cs="Calibri"/>
                <w:color w:val="000000"/>
              </w:rPr>
            </w:pPr>
            <w:r w:rsidRPr="00B53423">
              <w:rPr>
                <w:rFonts w:cs="Calibri"/>
                <w:color w:val="000000"/>
              </w:rPr>
              <w:t>85.00</w:t>
            </w:r>
          </w:p>
        </w:tc>
        <w:tc>
          <w:tcPr>
            <w:tcW w:w="832" w:type="pct"/>
            <w:shd w:val="clear" w:color="auto" w:fill="auto"/>
            <w:noWrap/>
            <w:vAlign w:val="center"/>
            <w:hideMark/>
          </w:tcPr>
          <w:p w:rsidR="004C74C2" w:rsidRPr="00B53423" w:rsidRDefault="004C74C2" w:rsidP="0015232B">
            <w:pPr>
              <w:spacing w:before="0" w:line="240" w:lineRule="auto"/>
              <w:ind w:right="252"/>
              <w:jc w:val="right"/>
              <w:rPr>
                <w:rFonts w:cs="Calibri"/>
              </w:rPr>
            </w:pPr>
            <w:r w:rsidRPr="00B53423">
              <w:rPr>
                <w:rFonts w:cs="Calibri"/>
              </w:rPr>
              <w:t xml:space="preserve">59.50 </w:t>
            </w:r>
          </w:p>
        </w:tc>
      </w:tr>
      <w:tr w:rsidR="004C74C2" w:rsidRPr="00B53423" w:rsidTr="002B3D6B">
        <w:trPr>
          <w:trHeight w:val="84"/>
        </w:trPr>
        <w:tc>
          <w:tcPr>
            <w:tcW w:w="2454" w:type="pct"/>
            <w:shd w:val="clear" w:color="auto" w:fill="auto"/>
            <w:vAlign w:val="center"/>
            <w:hideMark/>
          </w:tcPr>
          <w:p w:rsidR="004C74C2" w:rsidRPr="00B53423" w:rsidRDefault="004C74C2" w:rsidP="0015232B">
            <w:pPr>
              <w:spacing w:before="0" w:line="240" w:lineRule="auto"/>
              <w:contextualSpacing/>
              <w:jc w:val="left"/>
              <w:rPr>
                <w:rFonts w:cs="Calibri"/>
                <w:lang w:val="en-IN" w:eastAsia="en-IN"/>
              </w:rPr>
            </w:pPr>
            <w:r w:rsidRPr="00B53423">
              <w:rPr>
                <w:rFonts w:cs="Calibri"/>
                <w:lang w:val="en-IN" w:eastAsia="en-IN"/>
              </w:rPr>
              <w:t xml:space="preserve">Less: </w:t>
            </w:r>
          </w:p>
        </w:tc>
        <w:tc>
          <w:tcPr>
            <w:tcW w:w="828" w:type="pct"/>
            <w:shd w:val="clear" w:color="auto" w:fill="auto"/>
            <w:noWrap/>
            <w:vAlign w:val="center"/>
            <w:hideMark/>
          </w:tcPr>
          <w:p w:rsidR="004C74C2" w:rsidRPr="00B53423" w:rsidRDefault="004C74C2" w:rsidP="0015232B">
            <w:pPr>
              <w:spacing w:before="0" w:line="240" w:lineRule="auto"/>
              <w:contextualSpacing/>
              <w:jc w:val="center"/>
              <w:rPr>
                <w:rFonts w:cs="Calibri"/>
                <w:color w:val="000000"/>
                <w:lang w:val="en-IN" w:eastAsia="en-IN"/>
              </w:rPr>
            </w:pPr>
            <w:r w:rsidRPr="00B53423">
              <w:rPr>
                <w:rFonts w:cs="Calibri"/>
                <w:color w:val="000000"/>
                <w:lang w:val="en-IN" w:eastAsia="en-IN"/>
              </w:rPr>
              <w:t> </w:t>
            </w:r>
          </w:p>
        </w:tc>
        <w:tc>
          <w:tcPr>
            <w:tcW w:w="887" w:type="pct"/>
            <w:shd w:val="clear" w:color="auto" w:fill="auto"/>
            <w:noWrap/>
            <w:vAlign w:val="center"/>
            <w:hideMark/>
          </w:tcPr>
          <w:p w:rsidR="004C74C2" w:rsidRPr="00B53423" w:rsidRDefault="004C74C2" w:rsidP="0015232B">
            <w:pPr>
              <w:spacing w:before="0" w:line="240" w:lineRule="auto"/>
              <w:ind w:right="252"/>
              <w:jc w:val="right"/>
              <w:rPr>
                <w:rFonts w:cs="Calibri"/>
                <w:color w:val="000000"/>
              </w:rPr>
            </w:pPr>
            <w:r w:rsidRPr="00B53423">
              <w:rPr>
                <w:rFonts w:cs="Calibri"/>
                <w:color w:val="000000"/>
              </w:rPr>
              <w:t>-</w:t>
            </w:r>
          </w:p>
        </w:tc>
        <w:tc>
          <w:tcPr>
            <w:tcW w:w="832" w:type="pct"/>
            <w:shd w:val="clear" w:color="auto" w:fill="auto"/>
            <w:noWrap/>
            <w:vAlign w:val="center"/>
            <w:hideMark/>
          </w:tcPr>
          <w:p w:rsidR="004C74C2" w:rsidRPr="00B53423" w:rsidRDefault="004C74C2" w:rsidP="0015232B">
            <w:pPr>
              <w:spacing w:before="0" w:line="240" w:lineRule="auto"/>
              <w:ind w:right="252"/>
              <w:jc w:val="right"/>
              <w:rPr>
                <w:rFonts w:cs="Calibri"/>
              </w:rPr>
            </w:pPr>
            <w:r w:rsidRPr="00B53423">
              <w:rPr>
                <w:rFonts w:cs="Calibri"/>
              </w:rPr>
              <w:t xml:space="preserve">  -   </w:t>
            </w:r>
          </w:p>
        </w:tc>
      </w:tr>
      <w:tr w:rsidR="004C74C2" w:rsidRPr="00B53423" w:rsidTr="002B3D6B">
        <w:trPr>
          <w:trHeight w:val="314"/>
        </w:trPr>
        <w:tc>
          <w:tcPr>
            <w:tcW w:w="2454" w:type="pct"/>
            <w:shd w:val="clear" w:color="auto" w:fill="auto"/>
            <w:vAlign w:val="center"/>
            <w:hideMark/>
          </w:tcPr>
          <w:p w:rsidR="004C74C2" w:rsidRPr="00B53423" w:rsidRDefault="004C74C2" w:rsidP="0015232B">
            <w:pPr>
              <w:spacing w:before="0" w:line="240" w:lineRule="auto"/>
              <w:contextualSpacing/>
              <w:jc w:val="left"/>
              <w:rPr>
                <w:rFonts w:cs="Calibri"/>
                <w:lang w:val="en-IN" w:eastAsia="en-IN"/>
              </w:rPr>
            </w:pPr>
            <w:r w:rsidRPr="00B53423">
              <w:rPr>
                <w:rFonts w:cs="Calibri"/>
                <w:lang w:val="en-IN" w:eastAsia="en-IN"/>
              </w:rPr>
              <w:t>Consumer Contribution and Capital Assets Subsidy</w:t>
            </w:r>
          </w:p>
        </w:tc>
        <w:tc>
          <w:tcPr>
            <w:tcW w:w="828" w:type="pct"/>
            <w:shd w:val="clear" w:color="auto" w:fill="auto"/>
            <w:noWrap/>
            <w:vAlign w:val="center"/>
            <w:hideMark/>
          </w:tcPr>
          <w:p w:rsidR="004C74C2" w:rsidRPr="00B53423" w:rsidRDefault="004C74C2" w:rsidP="0015232B">
            <w:pPr>
              <w:spacing w:before="0" w:line="240" w:lineRule="auto"/>
              <w:contextualSpacing/>
              <w:jc w:val="center"/>
              <w:rPr>
                <w:rFonts w:cs="Calibri"/>
                <w:color w:val="000000"/>
                <w:lang w:val="en-IN" w:eastAsia="en-IN"/>
              </w:rPr>
            </w:pPr>
            <w:r w:rsidRPr="00B53423">
              <w:rPr>
                <w:rFonts w:cs="Calibri"/>
                <w:color w:val="000000"/>
                <w:lang w:val="en-IN" w:eastAsia="en-IN"/>
              </w:rPr>
              <w:t>B</w:t>
            </w:r>
          </w:p>
        </w:tc>
        <w:tc>
          <w:tcPr>
            <w:tcW w:w="887" w:type="pct"/>
            <w:shd w:val="clear" w:color="auto" w:fill="auto"/>
            <w:noWrap/>
            <w:vAlign w:val="center"/>
            <w:hideMark/>
          </w:tcPr>
          <w:p w:rsidR="004C74C2" w:rsidRPr="00B53423" w:rsidRDefault="004C74C2" w:rsidP="0015232B">
            <w:pPr>
              <w:spacing w:before="0" w:line="240" w:lineRule="auto"/>
              <w:ind w:right="252"/>
              <w:jc w:val="right"/>
              <w:rPr>
                <w:rFonts w:cs="Calibri"/>
                <w:color w:val="000000"/>
              </w:rPr>
            </w:pPr>
            <w:r w:rsidRPr="00B53423">
              <w:rPr>
                <w:rFonts w:cs="Calibri"/>
                <w:color w:val="000000"/>
              </w:rPr>
              <w:t>25.00</w:t>
            </w:r>
          </w:p>
        </w:tc>
        <w:tc>
          <w:tcPr>
            <w:tcW w:w="832" w:type="pct"/>
            <w:shd w:val="clear" w:color="auto" w:fill="auto"/>
            <w:noWrap/>
            <w:vAlign w:val="center"/>
            <w:hideMark/>
          </w:tcPr>
          <w:p w:rsidR="004C74C2" w:rsidRPr="00B53423" w:rsidRDefault="004C74C2" w:rsidP="0015232B">
            <w:pPr>
              <w:spacing w:before="0" w:line="240" w:lineRule="auto"/>
              <w:ind w:right="252"/>
              <w:jc w:val="right"/>
              <w:rPr>
                <w:rFonts w:cs="Calibri"/>
              </w:rPr>
            </w:pPr>
            <w:r w:rsidRPr="00B53423">
              <w:rPr>
                <w:rFonts w:cs="Calibri"/>
              </w:rPr>
              <w:t xml:space="preserve"> 17.50 </w:t>
            </w:r>
          </w:p>
        </w:tc>
      </w:tr>
      <w:tr w:rsidR="004C74C2" w:rsidRPr="00B53423" w:rsidTr="002B3D6B">
        <w:trPr>
          <w:trHeight w:val="367"/>
        </w:trPr>
        <w:tc>
          <w:tcPr>
            <w:tcW w:w="2454" w:type="pct"/>
            <w:shd w:val="clear" w:color="auto" w:fill="auto"/>
            <w:vAlign w:val="center"/>
            <w:hideMark/>
          </w:tcPr>
          <w:p w:rsidR="004C74C2" w:rsidRPr="00B53423" w:rsidRDefault="004C74C2" w:rsidP="0015232B">
            <w:pPr>
              <w:spacing w:before="0" w:line="240" w:lineRule="auto"/>
              <w:contextualSpacing/>
              <w:jc w:val="left"/>
              <w:rPr>
                <w:rFonts w:cs="Calibri"/>
                <w:lang w:val="en-IN" w:eastAsia="en-IN"/>
              </w:rPr>
            </w:pPr>
            <w:r w:rsidRPr="00B53423">
              <w:rPr>
                <w:rFonts w:cs="Calibri"/>
                <w:lang w:val="en-IN" w:eastAsia="en-IN"/>
              </w:rPr>
              <w:t>Investment funded by debt and equity</w:t>
            </w:r>
          </w:p>
        </w:tc>
        <w:tc>
          <w:tcPr>
            <w:tcW w:w="828" w:type="pct"/>
            <w:shd w:val="clear" w:color="auto" w:fill="auto"/>
            <w:noWrap/>
            <w:vAlign w:val="center"/>
            <w:hideMark/>
          </w:tcPr>
          <w:p w:rsidR="004C74C2" w:rsidRPr="00B53423" w:rsidRDefault="004C74C2" w:rsidP="0015232B">
            <w:pPr>
              <w:spacing w:before="0" w:line="240" w:lineRule="auto"/>
              <w:contextualSpacing/>
              <w:jc w:val="left"/>
              <w:rPr>
                <w:rFonts w:cs="Calibri"/>
                <w:color w:val="000000"/>
                <w:lang w:val="en-IN" w:eastAsia="en-IN"/>
              </w:rPr>
            </w:pPr>
            <w:r w:rsidRPr="00B53423">
              <w:rPr>
                <w:rFonts w:cs="Calibri"/>
                <w:color w:val="000000"/>
                <w:lang w:val="en-IN" w:eastAsia="en-IN"/>
              </w:rPr>
              <w:t xml:space="preserve">  </w:t>
            </w:r>
            <w:r w:rsidRPr="00B53423">
              <w:rPr>
                <w:rFonts w:cs="Calibri"/>
                <w:b/>
                <w:bCs/>
                <w:color w:val="000000"/>
                <w:lang w:val="en-IN" w:eastAsia="en-IN"/>
              </w:rPr>
              <w:t>C = A- B</w:t>
            </w:r>
          </w:p>
        </w:tc>
        <w:tc>
          <w:tcPr>
            <w:tcW w:w="887" w:type="pct"/>
            <w:shd w:val="clear" w:color="auto" w:fill="auto"/>
            <w:noWrap/>
            <w:vAlign w:val="center"/>
            <w:hideMark/>
          </w:tcPr>
          <w:p w:rsidR="004C74C2" w:rsidRPr="00B53423" w:rsidRDefault="004C74C2" w:rsidP="0015232B">
            <w:pPr>
              <w:spacing w:before="0" w:line="240" w:lineRule="auto"/>
              <w:ind w:right="252"/>
              <w:jc w:val="right"/>
              <w:rPr>
                <w:rFonts w:cs="Calibri"/>
                <w:color w:val="000000"/>
              </w:rPr>
            </w:pPr>
            <w:r w:rsidRPr="00B53423">
              <w:rPr>
                <w:rFonts w:cs="Calibri"/>
                <w:color w:val="000000"/>
              </w:rPr>
              <w:t>60.00</w:t>
            </w:r>
          </w:p>
        </w:tc>
        <w:tc>
          <w:tcPr>
            <w:tcW w:w="832" w:type="pct"/>
            <w:shd w:val="clear" w:color="auto" w:fill="auto"/>
            <w:noWrap/>
            <w:vAlign w:val="center"/>
            <w:hideMark/>
          </w:tcPr>
          <w:p w:rsidR="004C74C2" w:rsidRPr="00B53423" w:rsidRDefault="004C74C2" w:rsidP="0015232B">
            <w:pPr>
              <w:spacing w:before="0" w:line="240" w:lineRule="auto"/>
              <w:ind w:right="252"/>
              <w:jc w:val="right"/>
              <w:rPr>
                <w:rFonts w:cs="Calibri"/>
              </w:rPr>
            </w:pPr>
            <w:r w:rsidRPr="00B53423">
              <w:rPr>
                <w:rFonts w:cs="Calibri"/>
              </w:rPr>
              <w:t xml:space="preserve"> 42.00 </w:t>
            </w:r>
          </w:p>
        </w:tc>
      </w:tr>
      <w:tr w:rsidR="004C74C2" w:rsidRPr="00B53423" w:rsidTr="002B3D6B">
        <w:trPr>
          <w:trHeight w:val="300"/>
        </w:trPr>
        <w:tc>
          <w:tcPr>
            <w:tcW w:w="2454" w:type="pct"/>
            <w:shd w:val="clear" w:color="auto" w:fill="auto"/>
            <w:vAlign w:val="center"/>
            <w:hideMark/>
          </w:tcPr>
          <w:p w:rsidR="004C74C2" w:rsidRPr="00B53423" w:rsidRDefault="004C74C2" w:rsidP="0015232B">
            <w:pPr>
              <w:spacing w:before="0" w:line="240" w:lineRule="auto"/>
              <w:contextualSpacing/>
              <w:jc w:val="left"/>
              <w:rPr>
                <w:rFonts w:cs="Calibri"/>
                <w:lang w:val="en-IN" w:eastAsia="en-IN"/>
              </w:rPr>
            </w:pPr>
            <w:r w:rsidRPr="00B53423">
              <w:rPr>
                <w:rFonts w:cs="Calibri"/>
                <w:lang w:val="en-IN" w:eastAsia="en-IN"/>
              </w:rPr>
              <w:t xml:space="preserve">Debt Funded </w:t>
            </w:r>
          </w:p>
        </w:tc>
        <w:tc>
          <w:tcPr>
            <w:tcW w:w="828" w:type="pct"/>
            <w:shd w:val="clear" w:color="auto" w:fill="auto"/>
            <w:noWrap/>
            <w:vAlign w:val="center"/>
            <w:hideMark/>
          </w:tcPr>
          <w:p w:rsidR="004C74C2" w:rsidRPr="00B53423" w:rsidRDefault="004C74C2" w:rsidP="0015232B">
            <w:pPr>
              <w:spacing w:before="0" w:line="240" w:lineRule="auto"/>
              <w:contextualSpacing/>
              <w:jc w:val="center"/>
              <w:rPr>
                <w:rFonts w:cs="Calibri"/>
                <w:b/>
                <w:bCs/>
                <w:color w:val="000000"/>
                <w:lang w:val="en-IN" w:eastAsia="en-IN"/>
              </w:rPr>
            </w:pPr>
            <w:r w:rsidRPr="00B53423">
              <w:rPr>
                <w:rFonts w:cs="Calibri"/>
                <w:b/>
                <w:bCs/>
                <w:color w:val="000000"/>
                <w:lang w:val="en-IN" w:eastAsia="en-IN"/>
              </w:rPr>
              <w:t>D=70%*C</w:t>
            </w:r>
          </w:p>
        </w:tc>
        <w:tc>
          <w:tcPr>
            <w:tcW w:w="887" w:type="pct"/>
            <w:shd w:val="clear" w:color="auto" w:fill="auto"/>
            <w:noWrap/>
            <w:vAlign w:val="center"/>
            <w:hideMark/>
          </w:tcPr>
          <w:p w:rsidR="004C74C2" w:rsidRPr="00B53423" w:rsidRDefault="004C74C2" w:rsidP="0015232B">
            <w:pPr>
              <w:spacing w:before="0" w:line="240" w:lineRule="auto"/>
              <w:ind w:right="252"/>
              <w:jc w:val="right"/>
              <w:rPr>
                <w:rFonts w:cs="Calibri"/>
                <w:color w:val="000000"/>
              </w:rPr>
            </w:pPr>
            <w:r w:rsidRPr="00B53423">
              <w:rPr>
                <w:rFonts w:cs="Calibri"/>
                <w:color w:val="000000"/>
              </w:rPr>
              <w:t>42.00</w:t>
            </w:r>
          </w:p>
        </w:tc>
        <w:tc>
          <w:tcPr>
            <w:tcW w:w="832" w:type="pct"/>
            <w:shd w:val="clear" w:color="auto" w:fill="auto"/>
            <w:noWrap/>
            <w:vAlign w:val="center"/>
            <w:hideMark/>
          </w:tcPr>
          <w:p w:rsidR="004C74C2" w:rsidRPr="00B53423" w:rsidRDefault="004C74C2" w:rsidP="0015232B">
            <w:pPr>
              <w:spacing w:before="0" w:line="240" w:lineRule="auto"/>
              <w:ind w:right="252"/>
              <w:jc w:val="right"/>
              <w:rPr>
                <w:rFonts w:cs="Calibri"/>
              </w:rPr>
            </w:pPr>
            <w:r w:rsidRPr="00B53423">
              <w:rPr>
                <w:rFonts w:cs="Calibri"/>
              </w:rPr>
              <w:t xml:space="preserve"> 29.40 </w:t>
            </w:r>
          </w:p>
        </w:tc>
      </w:tr>
      <w:tr w:rsidR="004C74C2" w:rsidRPr="00B53423" w:rsidTr="002B3D6B">
        <w:trPr>
          <w:trHeight w:val="300"/>
        </w:trPr>
        <w:tc>
          <w:tcPr>
            <w:tcW w:w="2454" w:type="pct"/>
            <w:shd w:val="clear" w:color="auto" w:fill="auto"/>
            <w:vAlign w:val="center"/>
            <w:hideMark/>
          </w:tcPr>
          <w:p w:rsidR="004C74C2" w:rsidRPr="00B53423" w:rsidRDefault="004C74C2" w:rsidP="0015232B">
            <w:pPr>
              <w:spacing w:before="0" w:line="240" w:lineRule="auto"/>
              <w:contextualSpacing/>
              <w:jc w:val="left"/>
              <w:rPr>
                <w:rFonts w:cs="Calibri"/>
                <w:lang w:val="en-IN" w:eastAsia="en-IN"/>
              </w:rPr>
            </w:pPr>
            <w:r w:rsidRPr="00B53423">
              <w:rPr>
                <w:rFonts w:cs="Calibri"/>
                <w:lang w:val="en-IN" w:eastAsia="en-IN"/>
              </w:rPr>
              <w:t>Equity Funded</w:t>
            </w:r>
          </w:p>
        </w:tc>
        <w:tc>
          <w:tcPr>
            <w:tcW w:w="828" w:type="pct"/>
            <w:shd w:val="clear" w:color="auto" w:fill="auto"/>
            <w:noWrap/>
            <w:vAlign w:val="center"/>
            <w:hideMark/>
          </w:tcPr>
          <w:p w:rsidR="004C74C2" w:rsidRPr="00B53423" w:rsidRDefault="004C74C2" w:rsidP="0015232B">
            <w:pPr>
              <w:spacing w:before="0" w:line="240" w:lineRule="auto"/>
              <w:contextualSpacing/>
              <w:jc w:val="center"/>
              <w:rPr>
                <w:rFonts w:cs="Calibri"/>
                <w:b/>
                <w:bCs/>
                <w:color w:val="000000"/>
                <w:lang w:val="en-IN" w:eastAsia="en-IN"/>
              </w:rPr>
            </w:pPr>
            <w:r w:rsidRPr="00B53423">
              <w:rPr>
                <w:rFonts w:cs="Calibri"/>
                <w:b/>
                <w:bCs/>
                <w:color w:val="000000"/>
                <w:lang w:val="en-IN" w:eastAsia="en-IN"/>
              </w:rPr>
              <w:t>E=30%*C</w:t>
            </w:r>
          </w:p>
        </w:tc>
        <w:tc>
          <w:tcPr>
            <w:tcW w:w="887" w:type="pct"/>
            <w:shd w:val="clear" w:color="auto" w:fill="auto"/>
            <w:noWrap/>
            <w:vAlign w:val="center"/>
            <w:hideMark/>
          </w:tcPr>
          <w:p w:rsidR="004C74C2" w:rsidRPr="00B53423" w:rsidRDefault="004C74C2" w:rsidP="0015232B">
            <w:pPr>
              <w:spacing w:before="0" w:line="240" w:lineRule="auto"/>
              <w:ind w:right="252"/>
              <w:jc w:val="right"/>
              <w:rPr>
                <w:rFonts w:cs="Calibri"/>
                <w:color w:val="000000"/>
              </w:rPr>
            </w:pPr>
            <w:r w:rsidRPr="00B53423">
              <w:rPr>
                <w:rFonts w:cs="Calibri"/>
                <w:color w:val="000000"/>
              </w:rPr>
              <w:t>18.00</w:t>
            </w:r>
          </w:p>
        </w:tc>
        <w:tc>
          <w:tcPr>
            <w:tcW w:w="832" w:type="pct"/>
            <w:shd w:val="clear" w:color="auto" w:fill="auto"/>
            <w:noWrap/>
            <w:vAlign w:val="center"/>
            <w:hideMark/>
          </w:tcPr>
          <w:p w:rsidR="004C74C2" w:rsidRPr="00B53423" w:rsidRDefault="004C74C2" w:rsidP="0015232B">
            <w:pPr>
              <w:spacing w:before="0" w:line="240" w:lineRule="auto"/>
              <w:ind w:right="252"/>
              <w:jc w:val="right"/>
              <w:rPr>
                <w:rFonts w:cs="Calibri"/>
              </w:rPr>
            </w:pPr>
            <w:r w:rsidRPr="00B53423">
              <w:rPr>
                <w:rFonts w:cs="Calibri"/>
              </w:rPr>
              <w:t xml:space="preserve">12.60 </w:t>
            </w:r>
          </w:p>
        </w:tc>
      </w:tr>
    </w:tbl>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The Commission approves consumer </w:t>
      </w:r>
      <w:r w:rsidRPr="00B53423">
        <w:rPr>
          <w:rFonts w:cs="Calibri"/>
        </w:rPr>
        <w:t>contributions</w:t>
      </w:r>
      <w:r w:rsidRPr="00B53423">
        <w:t>, capital subsidies and grants to the tune of Rs. 17.50 Crore in FY 2014-15. Thus, balance Rs. 42.00 Crore have been considered to be funded through debt and equity. Considering a debt equity ratio of 70:30, Rs. 29.40 Crore or 70% of the capital investment is approved to be funded through debt and balance 30% equivalent to Rs. 12.60 Crore through equity.</w:t>
      </w:r>
    </w:p>
    <w:p w:rsidR="004C74C2" w:rsidRPr="00B53423" w:rsidRDefault="004C74C2" w:rsidP="0015232B">
      <w:pPr>
        <w:pStyle w:val="Heading3"/>
        <w:keepNext w:val="0"/>
        <w:numPr>
          <w:ilvl w:val="0"/>
          <w:numId w:val="0"/>
        </w:numPr>
        <w:tabs>
          <w:tab w:val="left" w:pos="851"/>
        </w:tabs>
        <w:ind w:left="720" w:hanging="720"/>
      </w:pPr>
    </w:p>
    <w:p w:rsidR="00FF22A9" w:rsidRPr="00B53423" w:rsidRDefault="00FF22A9" w:rsidP="0015232B">
      <w:pPr>
        <w:pStyle w:val="Heading3"/>
        <w:keepNext w:val="0"/>
        <w:numPr>
          <w:ilvl w:val="0"/>
          <w:numId w:val="0"/>
        </w:numPr>
        <w:tabs>
          <w:tab w:val="left" w:pos="851"/>
        </w:tabs>
        <w:ind w:left="720" w:hanging="720"/>
      </w:pPr>
    </w:p>
    <w:p w:rsidR="004C74C2" w:rsidRPr="00B53423" w:rsidRDefault="004C74C2" w:rsidP="0015232B">
      <w:pPr>
        <w:pStyle w:val="Heading2"/>
        <w:keepNext w:val="0"/>
        <w:ind w:left="720" w:hanging="1080"/>
      </w:pPr>
      <w:bookmarkStart w:id="677" w:name="_Toc357733332"/>
      <w:bookmarkStart w:id="678" w:name="_Toc399626230"/>
      <w:r w:rsidRPr="00B53423">
        <w:t>DEPRECIATION EXPENSE</w:t>
      </w:r>
      <w:bookmarkEnd w:id="668"/>
      <w:bookmarkEnd w:id="677"/>
      <w:bookmarkEnd w:id="678"/>
    </w:p>
    <w:p w:rsidR="004C74C2" w:rsidRPr="00B53423" w:rsidRDefault="004C74C2" w:rsidP="0015232B">
      <w:pPr>
        <w:tabs>
          <w:tab w:val="left" w:pos="360"/>
        </w:tabs>
        <w:spacing w:before="0"/>
      </w:pPr>
    </w:p>
    <w:p w:rsidR="004C74C2" w:rsidRPr="00B53423" w:rsidRDefault="004C74C2" w:rsidP="0015232B">
      <w:pPr>
        <w:pStyle w:val="Heading3"/>
        <w:keepNext w:val="0"/>
        <w:ind w:hanging="1080"/>
        <w:rPr>
          <w:bCs w:val="0"/>
        </w:rPr>
      </w:pPr>
      <w:r w:rsidRPr="00B53423">
        <w:rPr>
          <w:bCs w:val="0"/>
        </w:rPr>
        <w:t>The Petitioner submitted that Regulation 4.9 of the Distribution Tariff Regulations, 2006 specifies for</w:t>
      </w:r>
      <w:r w:rsidR="009E14DD" w:rsidRPr="00B53423">
        <w:rPr>
          <w:bCs w:val="0"/>
        </w:rPr>
        <w:t>:</w:t>
      </w:r>
      <w:r w:rsidRPr="00B53423">
        <w:rPr>
          <w:bCs w:val="0"/>
        </w:rPr>
        <w:t xml:space="preserve">  </w:t>
      </w:r>
    </w:p>
    <w:p w:rsidR="004C74C2" w:rsidRPr="00B53423" w:rsidRDefault="004C74C2" w:rsidP="0015232B">
      <w:pPr>
        <w:pStyle w:val="Heading3"/>
        <w:keepNext w:val="0"/>
        <w:numPr>
          <w:ilvl w:val="0"/>
          <w:numId w:val="0"/>
        </w:numPr>
        <w:ind w:left="720"/>
        <w:rPr>
          <w:bCs w:val="0"/>
        </w:rPr>
      </w:pPr>
    </w:p>
    <w:p w:rsidR="004C74C2" w:rsidRPr="00B53423" w:rsidRDefault="004C74C2" w:rsidP="0015232B">
      <w:pPr>
        <w:pStyle w:val="ListParagraph"/>
        <w:numPr>
          <w:ilvl w:val="0"/>
          <w:numId w:val="12"/>
        </w:numPr>
        <w:spacing w:before="0"/>
      </w:pPr>
      <w:r w:rsidRPr="00B53423">
        <w:t xml:space="preserve">full year depreciation on the opening balance of GFA </w:t>
      </w:r>
    </w:p>
    <w:p w:rsidR="004C74C2" w:rsidRPr="00B53423" w:rsidRDefault="004C74C2" w:rsidP="0015232B">
      <w:pPr>
        <w:pStyle w:val="ListParagraph"/>
        <w:spacing w:before="0"/>
        <w:ind w:left="1440"/>
      </w:pPr>
    </w:p>
    <w:p w:rsidR="004C74C2" w:rsidRPr="00B53423" w:rsidRDefault="004C74C2" w:rsidP="0015232B">
      <w:pPr>
        <w:pStyle w:val="ListParagraph"/>
        <w:numPr>
          <w:ilvl w:val="0"/>
          <w:numId w:val="12"/>
        </w:numPr>
        <w:spacing w:before="0"/>
      </w:pPr>
      <w:r w:rsidRPr="00B53423">
        <w:t>pro-rata depreciation on the additions made to the GFA balance during the relevant financial year</w:t>
      </w:r>
    </w:p>
    <w:p w:rsidR="004C74C2" w:rsidRPr="00B53423" w:rsidRDefault="004C74C2" w:rsidP="0015232B">
      <w:pPr>
        <w:pStyle w:val="Heading3"/>
        <w:keepNext w:val="0"/>
        <w:numPr>
          <w:ilvl w:val="0"/>
          <w:numId w:val="0"/>
        </w:numPr>
        <w:ind w:left="720"/>
        <w:rPr>
          <w:b/>
        </w:rPr>
      </w:pPr>
    </w:p>
    <w:p w:rsidR="004C74C2" w:rsidRPr="00B53423" w:rsidRDefault="004C74C2" w:rsidP="0015232B">
      <w:pPr>
        <w:pStyle w:val="Heading3"/>
        <w:keepNext w:val="0"/>
        <w:ind w:hanging="1080"/>
        <w:rPr>
          <w:b/>
        </w:rPr>
      </w:pPr>
      <w:r w:rsidRPr="00B53423">
        <w:rPr>
          <w:bCs w:val="0"/>
        </w:rPr>
        <w:t>The Petitioner submitted that for computing allowable depreciation, it has considered GFA base as per the Audited Accounts for FY 2011-12 and subsequently added the yearly capitalizations for FY 2012-13, 2013-14 and 2014-15. The Petitioner added that it has computed depreciation only on depreciable asset base and has excluded the non-depreciable assets such as land, land rights, etc</w:t>
      </w:r>
      <w:r w:rsidRPr="00B53423">
        <w:rPr>
          <w:b/>
        </w:rPr>
        <w:t>.</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submitted that Annexure B to the Distribution Tariff Regulations, 2006 specifies the depreciation rate to be charged on each class of asset and accordingly, the weighted average rate of depreciation works out to 7.84%.</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Regulation 4.9 of the Distribution Tariff Regulations, 2006 specifies as under:</w:t>
      </w:r>
    </w:p>
    <w:p w:rsidR="004C74C2" w:rsidRPr="00B53423" w:rsidRDefault="004C74C2" w:rsidP="0015232B">
      <w:pPr>
        <w:pStyle w:val="ListParagraph"/>
        <w:ind w:left="180"/>
      </w:pPr>
    </w:p>
    <w:p w:rsidR="004C74C2" w:rsidRPr="00B53423" w:rsidRDefault="004C74C2" w:rsidP="0015232B">
      <w:pPr>
        <w:pStyle w:val="Heading3"/>
        <w:keepNext w:val="0"/>
        <w:numPr>
          <w:ilvl w:val="0"/>
          <w:numId w:val="0"/>
        </w:numPr>
        <w:ind w:left="1440"/>
        <w:rPr>
          <w:b/>
          <w:i/>
        </w:rPr>
      </w:pPr>
      <w:r w:rsidRPr="00B53423">
        <w:rPr>
          <w:b/>
          <w:i/>
        </w:rPr>
        <w:t>“4.9 Depreciation:</w:t>
      </w:r>
    </w:p>
    <w:p w:rsidR="004C74C2" w:rsidRPr="00B53423" w:rsidRDefault="004C74C2" w:rsidP="0015232B">
      <w:pPr>
        <w:pStyle w:val="Heading3"/>
        <w:keepNext w:val="0"/>
        <w:numPr>
          <w:ilvl w:val="0"/>
          <w:numId w:val="0"/>
        </w:numPr>
        <w:ind w:left="1440"/>
        <w:rPr>
          <w:i/>
        </w:rPr>
      </w:pPr>
      <w:r w:rsidRPr="00B53423">
        <w:rPr>
          <w:i/>
        </w:rPr>
        <w:t xml:space="preserve">1. </w:t>
      </w:r>
      <w:proofErr w:type="gramStart"/>
      <w:r w:rsidRPr="00B53423">
        <w:rPr>
          <w:i/>
        </w:rPr>
        <w:t>For</w:t>
      </w:r>
      <w:proofErr w:type="gramEnd"/>
      <w:r w:rsidRPr="00B53423">
        <w:rPr>
          <w:i/>
        </w:rPr>
        <w:t xml:space="preserve"> the purposes of tariff, depreciation shall be computed in the following manner, namely:</w:t>
      </w:r>
    </w:p>
    <w:p w:rsidR="004C74C2" w:rsidRPr="00B53423" w:rsidRDefault="004C74C2" w:rsidP="0015232B">
      <w:pPr>
        <w:pStyle w:val="Heading3"/>
        <w:keepNext w:val="0"/>
        <w:numPr>
          <w:ilvl w:val="0"/>
          <w:numId w:val="0"/>
        </w:numPr>
        <w:ind w:left="1440"/>
        <w:rPr>
          <w:i/>
        </w:rPr>
      </w:pPr>
      <w:r w:rsidRPr="00B53423">
        <w:rPr>
          <w:i/>
        </w:rPr>
        <w:t>a. The value base for the purpose of depreciation shall be the historical cost as provided in the Fixed Assets Register, excluding consumer contribution or capital subsidy/grant utilized for capitalization of the assets.</w:t>
      </w:r>
    </w:p>
    <w:p w:rsidR="004C74C2" w:rsidRPr="00B53423" w:rsidRDefault="004C74C2" w:rsidP="0015232B">
      <w:pPr>
        <w:pStyle w:val="Heading3"/>
        <w:keepNext w:val="0"/>
        <w:numPr>
          <w:ilvl w:val="0"/>
          <w:numId w:val="0"/>
        </w:numPr>
        <w:ind w:left="1440"/>
        <w:rPr>
          <w:i/>
        </w:rPr>
      </w:pPr>
      <w:r w:rsidRPr="00B53423">
        <w:rPr>
          <w:i/>
        </w:rPr>
        <w:t>b. Depreciation shall be calculated annually at the rates specified in the Annexure - B.</w:t>
      </w:r>
    </w:p>
    <w:p w:rsidR="004C74C2" w:rsidRPr="00B53423" w:rsidRDefault="004C74C2" w:rsidP="0015232B">
      <w:pPr>
        <w:pStyle w:val="Heading3"/>
        <w:keepNext w:val="0"/>
        <w:numPr>
          <w:ilvl w:val="0"/>
          <w:numId w:val="0"/>
        </w:numPr>
        <w:ind w:left="1440"/>
        <w:rPr>
          <w:i/>
        </w:rPr>
      </w:pPr>
      <w:r w:rsidRPr="00B53423">
        <w:rPr>
          <w:i/>
        </w:rPr>
        <w:t>c. The residual value of the asset shall be considered as 10% and depreciation shall be allowed up to maximum of 90% of the historical capital cost of the asset. Land is not a depreciable asset and its cost shall be excluded from the capital cost while computing 90% of the historical cost of the asset.</w:t>
      </w:r>
    </w:p>
    <w:p w:rsidR="004C74C2" w:rsidRPr="00B53423" w:rsidRDefault="004C74C2" w:rsidP="0015232B">
      <w:pPr>
        <w:pStyle w:val="Heading3"/>
        <w:keepNext w:val="0"/>
        <w:numPr>
          <w:ilvl w:val="0"/>
          <w:numId w:val="0"/>
        </w:numPr>
        <w:ind w:left="1440"/>
        <w:rPr>
          <w:i/>
        </w:rPr>
      </w:pPr>
      <w:proofErr w:type="gramStart"/>
      <w:r w:rsidRPr="00B53423">
        <w:rPr>
          <w:i/>
        </w:rPr>
        <w:t>d</w:t>
      </w:r>
      <w:proofErr w:type="gramEnd"/>
      <w:r w:rsidRPr="00B53423">
        <w:rPr>
          <w:i/>
        </w:rPr>
        <w:t>. On repayment of entire loan, the remaining depreciable value shall be spread over the balance useful life of the asset.</w:t>
      </w:r>
    </w:p>
    <w:p w:rsidR="004C74C2" w:rsidRPr="00B53423" w:rsidRDefault="004C74C2" w:rsidP="0015232B">
      <w:pPr>
        <w:pStyle w:val="Heading3"/>
        <w:keepNext w:val="0"/>
        <w:numPr>
          <w:ilvl w:val="0"/>
          <w:numId w:val="0"/>
        </w:numPr>
        <w:ind w:left="1440"/>
        <w:rPr>
          <w:i/>
        </w:rPr>
      </w:pPr>
      <w:r w:rsidRPr="00B53423">
        <w:rPr>
          <w:i/>
        </w:rPr>
        <w:t>e. Depreciation shall be chargeable from the first year of operation. In case of operation of the asset for part of the year, depreciation shall be charged on pro-rata basis.</w:t>
      </w:r>
    </w:p>
    <w:p w:rsidR="004C74C2" w:rsidRPr="00B53423" w:rsidRDefault="004C74C2" w:rsidP="0015232B">
      <w:pPr>
        <w:pStyle w:val="Heading3"/>
        <w:keepNext w:val="0"/>
        <w:numPr>
          <w:ilvl w:val="0"/>
          <w:numId w:val="0"/>
        </w:numPr>
        <w:ind w:left="1440"/>
        <w:rPr>
          <w:i/>
        </w:rPr>
      </w:pPr>
      <w:r w:rsidRPr="00B53423">
        <w:rPr>
          <w:i/>
        </w:rPr>
        <w:t xml:space="preserve">Provided that where the Fixed Assets </w:t>
      </w:r>
      <w:proofErr w:type="gramStart"/>
      <w:r w:rsidRPr="00B53423">
        <w:rPr>
          <w:i/>
        </w:rPr>
        <w:t>Register</w:t>
      </w:r>
      <w:proofErr w:type="gramEnd"/>
      <w:r w:rsidRPr="00B53423">
        <w:rPr>
          <w:i/>
        </w:rPr>
        <w:t xml:space="preserve"> is not maintained, the Commission shall allow only as much depreciation as it may consider appropriate.”</w:t>
      </w:r>
    </w:p>
    <w:p w:rsidR="004C74C2" w:rsidRPr="00B53423" w:rsidRDefault="004C74C2" w:rsidP="0015232B">
      <w:pPr>
        <w:pStyle w:val="ListParagraph"/>
        <w:ind w:left="180"/>
      </w:pPr>
    </w:p>
    <w:p w:rsidR="004C74C2" w:rsidRPr="00B53423" w:rsidRDefault="0023110A" w:rsidP="0015232B">
      <w:pPr>
        <w:pStyle w:val="Heading3"/>
        <w:keepNext w:val="0"/>
        <w:ind w:hanging="1080"/>
      </w:pPr>
      <w:r w:rsidRPr="00B53423">
        <w:t>In reply to the deficiency note the Petitioner had submitted the Fixed Asset Register for FY 2012-13. Considering the asset base as per the FAR and the rates prescribed in the Distribution Tariff Regulations, 2006</w:t>
      </w:r>
      <w:r w:rsidR="004C74C2" w:rsidRPr="00B53423">
        <w:t xml:space="preserve"> the Commission has computed deprecation for FY 2014-15 at a weighted average rate of </w:t>
      </w:r>
      <w:r w:rsidR="00181B15" w:rsidRPr="00B53423">
        <w:t>6.89</w:t>
      </w:r>
      <w:r w:rsidR="004C74C2" w:rsidRPr="00B53423">
        <w:t>%.</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For the purpose of computing depreciation, the Commission has considered the GFA base as per Audited Accounts up to FY 2011-12 and have subsequently added the yearly capitalisations for FY 2012-13 and 2013-14 considered to arrive at the opening balance of the GFA of FY 2014-15.</w:t>
      </w:r>
    </w:p>
    <w:p w:rsidR="004C74C2" w:rsidRPr="00B53423" w:rsidRDefault="004C74C2" w:rsidP="0015232B">
      <w:pPr>
        <w:pStyle w:val="Heading3"/>
        <w:keepNext w:val="0"/>
        <w:numPr>
          <w:ilvl w:val="0"/>
          <w:numId w:val="0"/>
        </w:numPr>
        <w:ind w:left="720"/>
        <w:rPr>
          <w:bCs w:val="0"/>
        </w:rPr>
      </w:pPr>
    </w:p>
    <w:p w:rsidR="004C74C2" w:rsidRPr="00B53423" w:rsidRDefault="004C74C2" w:rsidP="0015232B">
      <w:pPr>
        <w:pStyle w:val="Heading3"/>
        <w:keepNext w:val="0"/>
        <w:ind w:hanging="1080"/>
      </w:pPr>
      <w:r w:rsidRPr="00B53423">
        <w:t>The Commission has computed the depreciation only on the depreciable asset base and have excluded the non-depreciable assets such as land, land rights, etc.</w:t>
      </w:r>
    </w:p>
    <w:p w:rsidR="004C74C2" w:rsidRPr="00B53423" w:rsidRDefault="004C74C2" w:rsidP="0015232B">
      <w:pPr>
        <w:tabs>
          <w:tab w:val="left" w:pos="720"/>
        </w:tabs>
        <w:ind w:left="720"/>
        <w:outlineLvl w:val="2"/>
        <w:rPr>
          <w:rFonts w:cs="Arial"/>
          <w:bCs/>
        </w:rPr>
      </w:pPr>
    </w:p>
    <w:p w:rsidR="004C74C2" w:rsidRPr="00B53423" w:rsidRDefault="004C74C2" w:rsidP="0015232B">
      <w:pPr>
        <w:pStyle w:val="Heading3"/>
        <w:keepNext w:val="0"/>
        <w:ind w:hanging="1080"/>
      </w:pPr>
      <w:r w:rsidRPr="00B53423">
        <w:t>Considering the philosophy and total capitalization approved by the Commission for FY 2014-15 as above, the GFA base approved by the Commission and the Petitioner’s submission in this regards is given in the Table below:</w:t>
      </w:r>
    </w:p>
    <w:p w:rsidR="004C74C2" w:rsidRPr="00B53423" w:rsidRDefault="004C74C2" w:rsidP="0015232B">
      <w:pPr>
        <w:pStyle w:val="ListParagraph"/>
        <w:ind w:left="180"/>
      </w:pPr>
    </w:p>
    <w:p w:rsidR="004C74C2" w:rsidRPr="00B53423" w:rsidRDefault="004C74C2" w:rsidP="0015232B">
      <w:pPr>
        <w:pStyle w:val="Caption"/>
        <w:jc w:val="center"/>
      </w:pPr>
      <w:bookmarkStart w:id="679" w:name="_Ref325536075"/>
      <w:bookmarkStart w:id="680" w:name="_Toc338310712"/>
      <w:bookmarkStart w:id="681" w:name="_Toc338419542"/>
      <w:bookmarkStart w:id="682" w:name="_Toc357738740"/>
      <w:bookmarkStart w:id="683" w:name="_Toc399626427"/>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22</w:t>
      </w:r>
      <w:r w:rsidR="005D68E7" w:rsidRPr="00B53423">
        <w:fldChar w:fldCharType="end"/>
      </w:r>
      <w:bookmarkEnd w:id="679"/>
      <w:r w:rsidRPr="00B53423">
        <w:t>: GROSS FIXED ASSETS FOR FY 2014-15 (Rs. Crore)</w:t>
      </w:r>
      <w:bookmarkEnd w:id="680"/>
      <w:bookmarkEnd w:id="681"/>
      <w:bookmarkEnd w:id="682"/>
      <w:bookmarkEnd w:id="683"/>
    </w:p>
    <w:tbl>
      <w:tblPr>
        <w:tblW w:w="0" w:type="auto"/>
        <w:tblInd w:w="-4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142"/>
        <w:gridCol w:w="1611"/>
        <w:gridCol w:w="1288"/>
        <w:gridCol w:w="1288"/>
      </w:tblGrid>
      <w:tr w:rsidR="004C74C2" w:rsidRPr="00B53423" w:rsidTr="009268E4">
        <w:trPr>
          <w:trHeight w:val="645"/>
          <w:tblHeader/>
        </w:trPr>
        <w:tc>
          <w:tcPr>
            <w:tcW w:w="0" w:type="auto"/>
            <w:shd w:val="clear" w:color="000000" w:fill="DBE5F1"/>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Particulars</w:t>
            </w:r>
          </w:p>
        </w:tc>
        <w:tc>
          <w:tcPr>
            <w:tcW w:w="1611" w:type="dxa"/>
            <w:shd w:val="clear" w:color="000000" w:fill="DBE5F1"/>
            <w:noWrap/>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Derivation</w:t>
            </w:r>
          </w:p>
        </w:tc>
        <w:tc>
          <w:tcPr>
            <w:tcW w:w="1288" w:type="dxa"/>
            <w:shd w:val="clear" w:color="000000" w:fill="DBE5F1"/>
            <w:vAlign w:val="center"/>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ARR Petition</w:t>
            </w:r>
          </w:p>
        </w:tc>
        <w:tc>
          <w:tcPr>
            <w:tcW w:w="1288" w:type="dxa"/>
            <w:shd w:val="clear" w:color="000000" w:fill="DBE5F1"/>
            <w:vAlign w:val="center"/>
            <w:hideMark/>
          </w:tcPr>
          <w:p w:rsidR="004C74C2" w:rsidRPr="00B53423" w:rsidRDefault="004C74C2" w:rsidP="0015232B">
            <w:pPr>
              <w:spacing w:before="0" w:line="240" w:lineRule="auto"/>
              <w:jc w:val="center"/>
              <w:rPr>
                <w:rFonts w:cs="Calibri"/>
                <w:b/>
                <w:bCs/>
                <w:color w:val="000000"/>
                <w:kern w:val="32"/>
                <w:lang w:val="en-IN" w:eastAsia="en-IN"/>
              </w:rPr>
            </w:pPr>
            <w:r w:rsidRPr="00B53423">
              <w:rPr>
                <w:rFonts w:cs="Calibri"/>
                <w:b/>
                <w:bCs/>
                <w:color w:val="000000"/>
                <w:lang w:val="en-IN" w:eastAsia="en-IN"/>
              </w:rPr>
              <w:t>Approved</w:t>
            </w:r>
          </w:p>
        </w:tc>
      </w:tr>
      <w:tr w:rsidR="004C74C2" w:rsidRPr="00B53423" w:rsidTr="009268E4">
        <w:trPr>
          <w:trHeight w:val="300"/>
        </w:trPr>
        <w:tc>
          <w:tcPr>
            <w:tcW w:w="0" w:type="auto"/>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Depreciation Rate</w:t>
            </w:r>
          </w:p>
        </w:tc>
        <w:tc>
          <w:tcPr>
            <w:tcW w:w="1611" w:type="dxa"/>
            <w:shd w:val="clear" w:color="auto" w:fill="auto"/>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A</w:t>
            </w:r>
          </w:p>
        </w:tc>
        <w:tc>
          <w:tcPr>
            <w:tcW w:w="1288" w:type="dxa"/>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7.</w:t>
            </w:r>
            <w:r w:rsidR="005B00A0" w:rsidRPr="00B53423">
              <w:rPr>
                <w:rFonts w:asciiTheme="minorHAnsi" w:hAnsiTheme="minorHAnsi" w:cstheme="minorHAnsi"/>
              </w:rPr>
              <w:t>84</w:t>
            </w:r>
            <w:r w:rsidRPr="00B53423">
              <w:rPr>
                <w:rFonts w:asciiTheme="minorHAnsi" w:hAnsiTheme="minorHAnsi" w:cstheme="minorHAnsi"/>
              </w:rPr>
              <w:t>%</w:t>
            </w:r>
          </w:p>
        </w:tc>
        <w:tc>
          <w:tcPr>
            <w:tcW w:w="1288" w:type="dxa"/>
            <w:shd w:val="clear" w:color="auto" w:fill="auto"/>
            <w:noWrap/>
            <w:vAlign w:val="center"/>
            <w:hideMark/>
          </w:tcPr>
          <w:p w:rsidR="004C74C2" w:rsidRPr="00B53423" w:rsidRDefault="00181B15" w:rsidP="0015232B">
            <w:pPr>
              <w:spacing w:before="0" w:line="240" w:lineRule="auto"/>
              <w:ind w:right="190"/>
              <w:jc w:val="right"/>
              <w:rPr>
                <w:rFonts w:asciiTheme="minorHAnsi" w:hAnsiTheme="minorHAnsi" w:cstheme="minorHAnsi"/>
                <w:color w:val="000000"/>
              </w:rPr>
            </w:pPr>
            <w:r w:rsidRPr="00B53423">
              <w:rPr>
                <w:rFonts w:asciiTheme="minorHAnsi" w:hAnsiTheme="minorHAnsi" w:cstheme="minorHAnsi"/>
                <w:color w:val="000000"/>
              </w:rPr>
              <w:t>6.89</w:t>
            </w:r>
            <w:r w:rsidR="004C74C2" w:rsidRPr="00B53423">
              <w:rPr>
                <w:rFonts w:asciiTheme="minorHAnsi" w:hAnsiTheme="minorHAnsi" w:cstheme="minorHAnsi"/>
                <w:color w:val="000000"/>
              </w:rPr>
              <w:t>%</w:t>
            </w:r>
          </w:p>
        </w:tc>
      </w:tr>
      <w:tr w:rsidR="004C74C2" w:rsidRPr="00B53423" w:rsidTr="009268E4">
        <w:trPr>
          <w:trHeight w:val="300"/>
        </w:trPr>
        <w:tc>
          <w:tcPr>
            <w:tcW w:w="0" w:type="auto"/>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Opening GFA as on 1</w:t>
            </w:r>
            <w:r w:rsidR="003A6B3B" w:rsidRPr="00B53423">
              <w:rPr>
                <w:rFonts w:cs="Calibri"/>
                <w:vertAlign w:val="superscript"/>
                <w:lang w:val="en-IN" w:eastAsia="en-IN"/>
              </w:rPr>
              <w:t>st</w:t>
            </w:r>
            <w:r w:rsidRPr="00B53423">
              <w:rPr>
                <w:rFonts w:cs="Calibri"/>
                <w:lang w:val="en-IN" w:eastAsia="en-IN"/>
              </w:rPr>
              <w:t xml:space="preserve"> April (Depreciable)</w:t>
            </w:r>
          </w:p>
        </w:tc>
        <w:tc>
          <w:tcPr>
            <w:tcW w:w="1611" w:type="dxa"/>
            <w:shd w:val="clear" w:color="auto" w:fill="auto"/>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B</w:t>
            </w:r>
          </w:p>
        </w:tc>
        <w:tc>
          <w:tcPr>
            <w:tcW w:w="1288" w:type="dxa"/>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636.46</w:t>
            </w:r>
          </w:p>
        </w:tc>
        <w:tc>
          <w:tcPr>
            <w:tcW w:w="1288" w:type="dxa"/>
            <w:shd w:val="clear" w:color="auto" w:fill="auto"/>
            <w:noWrap/>
            <w:vAlign w:val="center"/>
            <w:hideMark/>
          </w:tcPr>
          <w:p w:rsidR="004C74C2" w:rsidRPr="00B53423" w:rsidRDefault="004C74C2" w:rsidP="0015232B">
            <w:pPr>
              <w:spacing w:before="0" w:line="240" w:lineRule="auto"/>
              <w:ind w:right="190"/>
              <w:jc w:val="right"/>
              <w:rPr>
                <w:rFonts w:asciiTheme="minorHAnsi" w:hAnsiTheme="minorHAnsi" w:cstheme="minorHAnsi"/>
              </w:rPr>
            </w:pPr>
            <w:r w:rsidRPr="00B53423">
              <w:rPr>
                <w:rFonts w:asciiTheme="minorHAnsi" w:hAnsiTheme="minorHAnsi" w:cstheme="minorHAnsi"/>
              </w:rPr>
              <w:t xml:space="preserve"> 628.26 </w:t>
            </w:r>
          </w:p>
        </w:tc>
      </w:tr>
      <w:tr w:rsidR="004C74C2" w:rsidRPr="00B53423" w:rsidTr="009268E4">
        <w:trPr>
          <w:trHeight w:val="300"/>
        </w:trPr>
        <w:tc>
          <w:tcPr>
            <w:tcW w:w="0" w:type="auto"/>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Opening GFA as on 1</w:t>
            </w:r>
            <w:r w:rsidR="003A6B3B" w:rsidRPr="00B53423">
              <w:rPr>
                <w:rFonts w:cs="Calibri"/>
                <w:vertAlign w:val="superscript"/>
                <w:lang w:val="en-IN" w:eastAsia="en-IN"/>
              </w:rPr>
              <w:t>st</w:t>
            </w:r>
            <w:r w:rsidRPr="00B53423">
              <w:rPr>
                <w:rFonts w:cs="Calibri"/>
                <w:lang w:val="en-IN" w:eastAsia="en-IN"/>
              </w:rPr>
              <w:t xml:space="preserve"> April (Non-Depreciable)</w:t>
            </w:r>
          </w:p>
        </w:tc>
        <w:tc>
          <w:tcPr>
            <w:tcW w:w="1611" w:type="dxa"/>
            <w:shd w:val="clear" w:color="auto" w:fill="auto"/>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C</w:t>
            </w:r>
          </w:p>
        </w:tc>
        <w:tc>
          <w:tcPr>
            <w:tcW w:w="1288" w:type="dxa"/>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w:t>
            </w:r>
          </w:p>
        </w:tc>
        <w:tc>
          <w:tcPr>
            <w:tcW w:w="1288" w:type="dxa"/>
            <w:shd w:val="clear" w:color="auto" w:fill="auto"/>
            <w:noWrap/>
            <w:vAlign w:val="center"/>
            <w:hideMark/>
          </w:tcPr>
          <w:p w:rsidR="004C74C2" w:rsidRPr="00B53423" w:rsidRDefault="004C74C2" w:rsidP="0015232B">
            <w:pPr>
              <w:spacing w:before="0" w:line="240" w:lineRule="auto"/>
              <w:ind w:right="190"/>
              <w:jc w:val="right"/>
              <w:rPr>
                <w:rFonts w:asciiTheme="minorHAnsi" w:hAnsiTheme="minorHAnsi" w:cstheme="minorHAnsi"/>
              </w:rPr>
            </w:pPr>
            <w:r w:rsidRPr="00B53423">
              <w:rPr>
                <w:rFonts w:asciiTheme="minorHAnsi" w:hAnsiTheme="minorHAnsi" w:cstheme="minorHAnsi"/>
              </w:rPr>
              <w:t xml:space="preserve">-   </w:t>
            </w:r>
          </w:p>
        </w:tc>
      </w:tr>
      <w:tr w:rsidR="004C74C2" w:rsidRPr="00B53423" w:rsidTr="009268E4">
        <w:trPr>
          <w:trHeight w:val="300"/>
        </w:trPr>
        <w:tc>
          <w:tcPr>
            <w:tcW w:w="0" w:type="auto"/>
            <w:shd w:val="clear" w:color="auto" w:fill="auto"/>
            <w:hideMark/>
          </w:tcPr>
          <w:p w:rsidR="004C74C2" w:rsidRPr="00B53423" w:rsidRDefault="004C74C2" w:rsidP="0015232B">
            <w:pPr>
              <w:spacing w:before="0" w:line="240" w:lineRule="auto"/>
              <w:jc w:val="left"/>
              <w:rPr>
                <w:rFonts w:cs="Calibri"/>
                <w:b/>
                <w:bCs/>
                <w:lang w:val="en-IN" w:eastAsia="en-IN"/>
              </w:rPr>
            </w:pPr>
            <w:r w:rsidRPr="00B53423">
              <w:rPr>
                <w:rFonts w:cs="Calibri"/>
                <w:b/>
                <w:bCs/>
                <w:lang w:val="en-IN" w:eastAsia="en-IN"/>
              </w:rPr>
              <w:t>Total Opening GFA as on 1</w:t>
            </w:r>
            <w:r w:rsidR="003A6B3B" w:rsidRPr="00B53423">
              <w:rPr>
                <w:rFonts w:cs="Calibri"/>
                <w:b/>
                <w:bCs/>
                <w:vertAlign w:val="superscript"/>
                <w:lang w:val="en-IN" w:eastAsia="en-IN"/>
              </w:rPr>
              <w:t>st</w:t>
            </w:r>
            <w:r w:rsidRPr="00B53423">
              <w:rPr>
                <w:rFonts w:cs="Calibri"/>
                <w:b/>
                <w:bCs/>
                <w:lang w:val="en-IN" w:eastAsia="en-IN"/>
              </w:rPr>
              <w:t xml:space="preserve"> April</w:t>
            </w:r>
          </w:p>
        </w:tc>
        <w:tc>
          <w:tcPr>
            <w:tcW w:w="1611" w:type="dxa"/>
            <w:shd w:val="clear" w:color="auto" w:fill="auto"/>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D=B+C</w:t>
            </w:r>
          </w:p>
        </w:tc>
        <w:tc>
          <w:tcPr>
            <w:tcW w:w="1288" w:type="dxa"/>
            <w:vAlign w:val="center"/>
          </w:tcPr>
          <w:p w:rsidR="004C74C2" w:rsidRPr="00B53423" w:rsidRDefault="004C74C2" w:rsidP="0015232B">
            <w:pPr>
              <w:spacing w:before="0" w:line="240" w:lineRule="auto"/>
              <w:ind w:right="162"/>
              <w:jc w:val="right"/>
              <w:rPr>
                <w:rFonts w:asciiTheme="minorHAnsi" w:hAnsiTheme="minorHAnsi" w:cstheme="minorHAnsi"/>
                <w:b/>
                <w:bCs/>
                <w:color w:val="000000"/>
              </w:rPr>
            </w:pPr>
            <w:r w:rsidRPr="00B53423">
              <w:rPr>
                <w:rFonts w:asciiTheme="minorHAnsi" w:hAnsiTheme="minorHAnsi" w:cstheme="minorHAnsi"/>
                <w:b/>
                <w:bCs/>
                <w:color w:val="000000"/>
              </w:rPr>
              <w:t xml:space="preserve">636.46 </w:t>
            </w:r>
          </w:p>
        </w:tc>
        <w:tc>
          <w:tcPr>
            <w:tcW w:w="1288" w:type="dxa"/>
            <w:shd w:val="clear" w:color="auto" w:fill="auto"/>
            <w:noWrap/>
            <w:vAlign w:val="center"/>
            <w:hideMark/>
          </w:tcPr>
          <w:p w:rsidR="004C74C2" w:rsidRPr="00B53423" w:rsidRDefault="004C74C2" w:rsidP="0015232B">
            <w:pPr>
              <w:spacing w:before="0" w:line="240" w:lineRule="auto"/>
              <w:ind w:right="190"/>
              <w:jc w:val="right"/>
              <w:rPr>
                <w:rFonts w:asciiTheme="minorHAnsi" w:hAnsiTheme="minorHAnsi" w:cstheme="minorHAnsi"/>
                <w:b/>
                <w:bCs/>
                <w:color w:val="000000"/>
              </w:rPr>
            </w:pPr>
            <w:r w:rsidRPr="00B53423">
              <w:rPr>
                <w:rFonts w:asciiTheme="minorHAnsi" w:hAnsiTheme="minorHAnsi" w:cstheme="minorHAnsi"/>
                <w:b/>
                <w:bCs/>
                <w:color w:val="000000"/>
              </w:rPr>
              <w:t xml:space="preserve">628.26 </w:t>
            </w:r>
          </w:p>
        </w:tc>
      </w:tr>
      <w:tr w:rsidR="004C74C2" w:rsidRPr="00B53423" w:rsidTr="009268E4">
        <w:trPr>
          <w:trHeight w:val="300"/>
        </w:trPr>
        <w:tc>
          <w:tcPr>
            <w:tcW w:w="0" w:type="auto"/>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Addition to GFA during the year (Depreciable)</w:t>
            </w:r>
          </w:p>
        </w:tc>
        <w:tc>
          <w:tcPr>
            <w:tcW w:w="1611" w:type="dxa"/>
            <w:shd w:val="clear" w:color="auto" w:fill="auto"/>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D</w:t>
            </w:r>
          </w:p>
        </w:tc>
        <w:tc>
          <w:tcPr>
            <w:tcW w:w="1288" w:type="dxa"/>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 xml:space="preserve">74.15 </w:t>
            </w:r>
          </w:p>
        </w:tc>
        <w:tc>
          <w:tcPr>
            <w:tcW w:w="1288" w:type="dxa"/>
            <w:shd w:val="clear" w:color="auto" w:fill="auto"/>
            <w:noWrap/>
            <w:vAlign w:val="center"/>
            <w:hideMark/>
          </w:tcPr>
          <w:p w:rsidR="004C74C2" w:rsidRPr="00B53423" w:rsidRDefault="004C74C2" w:rsidP="0015232B">
            <w:pPr>
              <w:spacing w:before="0" w:line="240" w:lineRule="auto"/>
              <w:ind w:right="190"/>
              <w:jc w:val="right"/>
              <w:rPr>
                <w:rFonts w:asciiTheme="minorHAnsi" w:hAnsiTheme="minorHAnsi" w:cstheme="minorHAnsi"/>
              </w:rPr>
            </w:pPr>
            <w:r w:rsidRPr="00B53423">
              <w:rPr>
                <w:rFonts w:asciiTheme="minorHAnsi" w:hAnsiTheme="minorHAnsi" w:cstheme="minorHAnsi"/>
              </w:rPr>
              <w:t xml:space="preserve">59.17 </w:t>
            </w:r>
          </w:p>
        </w:tc>
      </w:tr>
      <w:tr w:rsidR="004C74C2" w:rsidRPr="00B53423" w:rsidTr="009268E4">
        <w:trPr>
          <w:trHeight w:val="300"/>
        </w:trPr>
        <w:tc>
          <w:tcPr>
            <w:tcW w:w="0" w:type="auto"/>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Addition to GFA during the year (Non Depreciable)</w:t>
            </w:r>
          </w:p>
        </w:tc>
        <w:tc>
          <w:tcPr>
            <w:tcW w:w="1611" w:type="dxa"/>
            <w:shd w:val="clear" w:color="auto" w:fill="auto"/>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E</w:t>
            </w:r>
          </w:p>
        </w:tc>
        <w:tc>
          <w:tcPr>
            <w:tcW w:w="1288" w:type="dxa"/>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w:t>
            </w:r>
          </w:p>
        </w:tc>
        <w:tc>
          <w:tcPr>
            <w:tcW w:w="1288" w:type="dxa"/>
            <w:shd w:val="clear" w:color="auto" w:fill="auto"/>
            <w:noWrap/>
            <w:vAlign w:val="center"/>
            <w:hideMark/>
          </w:tcPr>
          <w:p w:rsidR="004C74C2" w:rsidRPr="00B53423" w:rsidRDefault="004C74C2" w:rsidP="0015232B">
            <w:pPr>
              <w:spacing w:before="0" w:line="240" w:lineRule="auto"/>
              <w:ind w:right="190"/>
              <w:jc w:val="right"/>
              <w:rPr>
                <w:rFonts w:asciiTheme="minorHAnsi" w:hAnsiTheme="minorHAnsi" w:cstheme="minorHAnsi"/>
              </w:rPr>
            </w:pPr>
            <w:r w:rsidRPr="00B53423">
              <w:rPr>
                <w:rFonts w:asciiTheme="minorHAnsi" w:hAnsiTheme="minorHAnsi" w:cstheme="minorHAnsi"/>
              </w:rPr>
              <w:t xml:space="preserve">-   </w:t>
            </w:r>
          </w:p>
        </w:tc>
      </w:tr>
      <w:tr w:rsidR="004C74C2" w:rsidRPr="00B53423" w:rsidTr="009268E4">
        <w:trPr>
          <w:trHeight w:val="300"/>
        </w:trPr>
        <w:tc>
          <w:tcPr>
            <w:tcW w:w="0" w:type="auto"/>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Deduction from GFA during the year (Depreciable)</w:t>
            </w:r>
          </w:p>
        </w:tc>
        <w:tc>
          <w:tcPr>
            <w:tcW w:w="1611" w:type="dxa"/>
            <w:shd w:val="clear" w:color="auto" w:fill="auto"/>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F</w:t>
            </w:r>
          </w:p>
        </w:tc>
        <w:tc>
          <w:tcPr>
            <w:tcW w:w="1288" w:type="dxa"/>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w:t>
            </w:r>
          </w:p>
        </w:tc>
        <w:tc>
          <w:tcPr>
            <w:tcW w:w="1288" w:type="dxa"/>
            <w:shd w:val="clear" w:color="auto" w:fill="auto"/>
            <w:noWrap/>
            <w:vAlign w:val="center"/>
            <w:hideMark/>
          </w:tcPr>
          <w:p w:rsidR="004C74C2" w:rsidRPr="00B53423" w:rsidRDefault="004C74C2" w:rsidP="0015232B">
            <w:pPr>
              <w:spacing w:before="0" w:line="240" w:lineRule="auto"/>
              <w:ind w:right="190"/>
              <w:jc w:val="right"/>
              <w:rPr>
                <w:rFonts w:asciiTheme="minorHAnsi" w:hAnsiTheme="minorHAnsi" w:cstheme="minorHAnsi"/>
              </w:rPr>
            </w:pPr>
            <w:r w:rsidRPr="00B53423">
              <w:rPr>
                <w:rFonts w:asciiTheme="minorHAnsi" w:hAnsiTheme="minorHAnsi" w:cstheme="minorHAnsi"/>
              </w:rPr>
              <w:t xml:space="preserve">-   </w:t>
            </w:r>
          </w:p>
        </w:tc>
      </w:tr>
      <w:tr w:rsidR="004C74C2" w:rsidRPr="00B53423" w:rsidTr="009268E4">
        <w:trPr>
          <w:trHeight w:val="300"/>
        </w:trPr>
        <w:tc>
          <w:tcPr>
            <w:tcW w:w="0" w:type="auto"/>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Closing GFA as on 31</w:t>
            </w:r>
            <w:r w:rsidR="003A6B3B" w:rsidRPr="00B53423">
              <w:rPr>
                <w:rFonts w:cs="Calibri"/>
                <w:vertAlign w:val="superscript"/>
                <w:lang w:val="en-IN" w:eastAsia="en-IN"/>
              </w:rPr>
              <w:t>st</w:t>
            </w:r>
            <w:r w:rsidRPr="00B53423">
              <w:rPr>
                <w:rFonts w:cs="Calibri"/>
                <w:lang w:val="en-IN" w:eastAsia="en-IN"/>
              </w:rPr>
              <w:t xml:space="preserve"> March (Depreciable)</w:t>
            </w:r>
          </w:p>
        </w:tc>
        <w:tc>
          <w:tcPr>
            <w:tcW w:w="1611" w:type="dxa"/>
            <w:shd w:val="clear" w:color="auto" w:fill="auto"/>
            <w:hideMark/>
          </w:tcPr>
          <w:p w:rsidR="004C74C2" w:rsidRPr="00B53423" w:rsidRDefault="004C74C2" w:rsidP="0015232B">
            <w:pPr>
              <w:spacing w:before="0" w:line="240" w:lineRule="auto"/>
              <w:jc w:val="center"/>
              <w:rPr>
                <w:rFonts w:cs="Calibri"/>
                <w:bCs/>
                <w:lang w:val="en-IN" w:eastAsia="en-IN"/>
              </w:rPr>
            </w:pPr>
            <w:r w:rsidRPr="00B53423">
              <w:rPr>
                <w:rFonts w:cs="Calibri"/>
                <w:bCs/>
                <w:lang w:val="en-IN" w:eastAsia="en-IN"/>
              </w:rPr>
              <w:t>G = B + D – F</w:t>
            </w:r>
          </w:p>
        </w:tc>
        <w:tc>
          <w:tcPr>
            <w:tcW w:w="1288" w:type="dxa"/>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 xml:space="preserve">710.60 </w:t>
            </w:r>
          </w:p>
        </w:tc>
        <w:tc>
          <w:tcPr>
            <w:tcW w:w="1288" w:type="dxa"/>
            <w:shd w:val="clear" w:color="auto" w:fill="auto"/>
            <w:noWrap/>
            <w:vAlign w:val="center"/>
            <w:hideMark/>
          </w:tcPr>
          <w:p w:rsidR="004C74C2" w:rsidRPr="00B53423" w:rsidRDefault="004C74C2" w:rsidP="0015232B">
            <w:pPr>
              <w:spacing w:before="0" w:line="240" w:lineRule="auto"/>
              <w:ind w:right="190"/>
              <w:jc w:val="right"/>
              <w:rPr>
                <w:rFonts w:asciiTheme="minorHAnsi" w:hAnsiTheme="minorHAnsi" w:cstheme="minorHAnsi"/>
              </w:rPr>
            </w:pPr>
            <w:r w:rsidRPr="00B53423">
              <w:rPr>
                <w:rFonts w:asciiTheme="minorHAnsi" w:hAnsiTheme="minorHAnsi" w:cstheme="minorHAnsi"/>
              </w:rPr>
              <w:t xml:space="preserve">687.44 </w:t>
            </w:r>
          </w:p>
        </w:tc>
      </w:tr>
      <w:tr w:rsidR="004C74C2" w:rsidRPr="00B53423" w:rsidTr="009268E4">
        <w:trPr>
          <w:trHeight w:val="300"/>
        </w:trPr>
        <w:tc>
          <w:tcPr>
            <w:tcW w:w="0" w:type="auto"/>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Closing GFA as on 31</w:t>
            </w:r>
            <w:r w:rsidR="003A6B3B" w:rsidRPr="00B53423">
              <w:rPr>
                <w:rFonts w:cs="Calibri"/>
                <w:vertAlign w:val="superscript"/>
                <w:lang w:val="en-IN" w:eastAsia="en-IN"/>
              </w:rPr>
              <w:t>st</w:t>
            </w:r>
            <w:r w:rsidRPr="00B53423">
              <w:rPr>
                <w:rFonts w:cs="Calibri"/>
                <w:lang w:val="en-IN" w:eastAsia="en-IN"/>
              </w:rPr>
              <w:t xml:space="preserve"> March (Non Depreciable)</w:t>
            </w:r>
          </w:p>
        </w:tc>
        <w:tc>
          <w:tcPr>
            <w:tcW w:w="1611" w:type="dxa"/>
            <w:shd w:val="clear" w:color="auto" w:fill="auto"/>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H = C+E</w:t>
            </w:r>
          </w:p>
        </w:tc>
        <w:tc>
          <w:tcPr>
            <w:tcW w:w="1288" w:type="dxa"/>
          </w:tcPr>
          <w:p w:rsidR="004C74C2" w:rsidRPr="00B53423" w:rsidRDefault="004C74C2" w:rsidP="0015232B">
            <w:pPr>
              <w:spacing w:before="0" w:line="240" w:lineRule="auto"/>
              <w:ind w:right="162"/>
              <w:jc w:val="right"/>
              <w:rPr>
                <w:rFonts w:asciiTheme="minorHAnsi" w:hAnsiTheme="minorHAnsi" w:cstheme="minorHAnsi"/>
              </w:rPr>
            </w:pPr>
            <w:r w:rsidRPr="00B53423">
              <w:rPr>
                <w:rFonts w:asciiTheme="minorHAnsi" w:hAnsiTheme="minorHAnsi" w:cstheme="minorHAnsi"/>
              </w:rPr>
              <w:t> </w:t>
            </w:r>
          </w:p>
        </w:tc>
        <w:tc>
          <w:tcPr>
            <w:tcW w:w="1288" w:type="dxa"/>
            <w:shd w:val="clear" w:color="auto" w:fill="auto"/>
            <w:noWrap/>
            <w:vAlign w:val="center"/>
            <w:hideMark/>
          </w:tcPr>
          <w:p w:rsidR="004C74C2" w:rsidRPr="00B53423" w:rsidRDefault="004C74C2" w:rsidP="0015232B">
            <w:pPr>
              <w:spacing w:before="0" w:line="240" w:lineRule="auto"/>
              <w:ind w:right="190"/>
              <w:jc w:val="right"/>
              <w:rPr>
                <w:rFonts w:asciiTheme="minorHAnsi" w:hAnsiTheme="minorHAnsi" w:cstheme="minorHAnsi"/>
              </w:rPr>
            </w:pPr>
            <w:r w:rsidRPr="00B53423">
              <w:rPr>
                <w:rFonts w:asciiTheme="minorHAnsi" w:hAnsiTheme="minorHAnsi" w:cstheme="minorHAnsi"/>
              </w:rPr>
              <w:t xml:space="preserve">-   </w:t>
            </w:r>
          </w:p>
        </w:tc>
      </w:tr>
      <w:tr w:rsidR="004C74C2" w:rsidRPr="00B53423" w:rsidTr="009268E4">
        <w:trPr>
          <w:trHeight w:val="300"/>
        </w:trPr>
        <w:tc>
          <w:tcPr>
            <w:tcW w:w="0" w:type="auto"/>
            <w:shd w:val="clear" w:color="auto" w:fill="auto"/>
            <w:hideMark/>
          </w:tcPr>
          <w:p w:rsidR="004C74C2" w:rsidRPr="00B53423" w:rsidRDefault="004C74C2" w:rsidP="0015232B">
            <w:pPr>
              <w:spacing w:before="0" w:line="240" w:lineRule="auto"/>
              <w:jc w:val="left"/>
              <w:rPr>
                <w:rFonts w:cs="Calibri"/>
                <w:b/>
                <w:bCs/>
                <w:lang w:val="en-IN" w:eastAsia="en-IN"/>
              </w:rPr>
            </w:pPr>
            <w:r w:rsidRPr="00B53423">
              <w:rPr>
                <w:rFonts w:cs="Calibri"/>
                <w:b/>
                <w:bCs/>
                <w:lang w:val="en-IN" w:eastAsia="en-IN"/>
              </w:rPr>
              <w:t>Total Closing GFA as on 31</w:t>
            </w:r>
            <w:r w:rsidR="003A6B3B" w:rsidRPr="00B53423">
              <w:rPr>
                <w:rFonts w:cs="Calibri"/>
                <w:b/>
                <w:bCs/>
                <w:vertAlign w:val="superscript"/>
                <w:lang w:val="en-IN" w:eastAsia="en-IN"/>
              </w:rPr>
              <w:t>st</w:t>
            </w:r>
            <w:r w:rsidRPr="00B53423">
              <w:rPr>
                <w:rFonts w:cs="Calibri"/>
                <w:b/>
                <w:bCs/>
                <w:lang w:val="en-IN" w:eastAsia="en-IN"/>
              </w:rPr>
              <w:t xml:space="preserve"> March</w:t>
            </w:r>
          </w:p>
        </w:tc>
        <w:tc>
          <w:tcPr>
            <w:tcW w:w="1611" w:type="dxa"/>
            <w:shd w:val="clear" w:color="auto" w:fill="auto"/>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I = G + H</w:t>
            </w:r>
          </w:p>
        </w:tc>
        <w:tc>
          <w:tcPr>
            <w:tcW w:w="1288" w:type="dxa"/>
            <w:vAlign w:val="center"/>
          </w:tcPr>
          <w:p w:rsidR="004C74C2" w:rsidRPr="00B53423" w:rsidRDefault="004C74C2" w:rsidP="0015232B">
            <w:pPr>
              <w:spacing w:before="0" w:line="240" w:lineRule="auto"/>
              <w:ind w:right="162"/>
              <w:jc w:val="right"/>
              <w:rPr>
                <w:rFonts w:asciiTheme="minorHAnsi" w:hAnsiTheme="minorHAnsi" w:cstheme="minorHAnsi"/>
                <w:b/>
                <w:bCs/>
                <w:color w:val="000000"/>
              </w:rPr>
            </w:pPr>
            <w:r w:rsidRPr="00B53423">
              <w:rPr>
                <w:rFonts w:asciiTheme="minorHAnsi" w:hAnsiTheme="minorHAnsi" w:cstheme="minorHAnsi"/>
                <w:b/>
                <w:bCs/>
                <w:color w:val="000000"/>
              </w:rPr>
              <w:t xml:space="preserve">  710.60 </w:t>
            </w:r>
          </w:p>
        </w:tc>
        <w:tc>
          <w:tcPr>
            <w:tcW w:w="1288" w:type="dxa"/>
            <w:shd w:val="clear" w:color="auto" w:fill="auto"/>
            <w:noWrap/>
            <w:vAlign w:val="center"/>
            <w:hideMark/>
          </w:tcPr>
          <w:p w:rsidR="004C74C2" w:rsidRPr="00B53423" w:rsidRDefault="004C74C2" w:rsidP="0015232B">
            <w:pPr>
              <w:spacing w:before="0" w:line="240" w:lineRule="auto"/>
              <w:ind w:right="190"/>
              <w:jc w:val="right"/>
              <w:rPr>
                <w:rFonts w:asciiTheme="minorHAnsi" w:hAnsiTheme="minorHAnsi" w:cstheme="minorHAnsi"/>
                <w:b/>
                <w:bCs/>
                <w:color w:val="000000"/>
              </w:rPr>
            </w:pPr>
            <w:r w:rsidRPr="00B53423">
              <w:rPr>
                <w:rFonts w:asciiTheme="minorHAnsi" w:hAnsiTheme="minorHAnsi" w:cstheme="minorHAnsi"/>
                <w:b/>
                <w:bCs/>
                <w:color w:val="000000"/>
              </w:rPr>
              <w:t xml:space="preserve">687.44 </w:t>
            </w:r>
          </w:p>
        </w:tc>
      </w:tr>
    </w:tbl>
    <w:p w:rsidR="004C74C2" w:rsidRPr="00B53423" w:rsidRDefault="004C74C2" w:rsidP="0015232B">
      <w:pPr>
        <w:tabs>
          <w:tab w:val="left" w:pos="360"/>
        </w:tabs>
        <w:spacing w:before="0"/>
      </w:pPr>
    </w:p>
    <w:p w:rsidR="004C74C2" w:rsidRPr="00B53423" w:rsidRDefault="004C74C2" w:rsidP="0015232B">
      <w:pPr>
        <w:pStyle w:val="Heading3"/>
        <w:keepNext w:val="0"/>
        <w:ind w:hanging="1080"/>
      </w:pPr>
      <w:r w:rsidRPr="00B53423">
        <w:t xml:space="preserve">The Commission has projected the depreciation on assets created out of consumer contributions, capital grants and subsidies for FY 2014-15 in the same ratio as per provisional accounts </w:t>
      </w:r>
      <w:r w:rsidRPr="00B53423">
        <w:rPr>
          <w:rFonts w:eastAsiaTheme="minorHAnsi"/>
          <w:bCs w:val="0"/>
          <w:lang w:val="en-IN"/>
        </w:rPr>
        <w:t xml:space="preserve">for </w:t>
      </w:r>
      <w:r w:rsidRPr="00B53423">
        <w:t xml:space="preserve">FY 2012-13. The Commission has reduced the equivalent depreciation amounting to Rs. 17.33 Crore in respect of depreciation on assets created out of consumer contributions, capital grants and subsidies. </w:t>
      </w:r>
    </w:p>
    <w:p w:rsidR="004C74C2" w:rsidRPr="00B53423" w:rsidRDefault="004C74C2" w:rsidP="0015232B">
      <w:pPr>
        <w:pStyle w:val="Heading3"/>
        <w:keepNext w:val="0"/>
        <w:numPr>
          <w:ilvl w:val="0"/>
          <w:numId w:val="0"/>
        </w:numPr>
        <w:tabs>
          <w:tab w:val="left" w:pos="851"/>
        </w:tabs>
        <w:ind w:left="851"/>
      </w:pPr>
    </w:p>
    <w:p w:rsidR="004C74C2" w:rsidRPr="00B53423" w:rsidRDefault="004C74C2" w:rsidP="0015232B">
      <w:pPr>
        <w:pStyle w:val="Heading3"/>
        <w:keepNext w:val="0"/>
        <w:ind w:hanging="1080"/>
      </w:pPr>
      <w:r w:rsidRPr="00B53423">
        <w:t xml:space="preserve">Thus, the Commission has approved net depreciation expense of Rs. </w:t>
      </w:r>
      <w:r w:rsidR="002B3D6B" w:rsidRPr="00B53423">
        <w:t>30.11</w:t>
      </w:r>
      <w:r w:rsidRPr="00B53423">
        <w:t xml:space="preserve"> Crore for FY 2014-15 as depicted in the Table below:</w:t>
      </w:r>
    </w:p>
    <w:p w:rsidR="004C74C2" w:rsidRPr="00B53423" w:rsidRDefault="004C74C2" w:rsidP="0015232B">
      <w:pPr>
        <w:pStyle w:val="ListParagraph"/>
        <w:ind w:left="180"/>
      </w:pPr>
    </w:p>
    <w:p w:rsidR="004C74C2" w:rsidRPr="00B53423" w:rsidRDefault="004C74C2" w:rsidP="0015232B">
      <w:pPr>
        <w:pStyle w:val="Caption"/>
        <w:jc w:val="center"/>
      </w:pPr>
      <w:bookmarkStart w:id="684" w:name="_Ref325536088"/>
      <w:bookmarkStart w:id="685" w:name="_Toc338310713"/>
      <w:bookmarkStart w:id="686" w:name="_Toc338419543"/>
      <w:bookmarkStart w:id="687" w:name="_Toc357738741"/>
      <w:bookmarkStart w:id="688" w:name="_Toc399626428"/>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23</w:t>
      </w:r>
      <w:r w:rsidR="005D68E7" w:rsidRPr="00B53423">
        <w:fldChar w:fldCharType="end"/>
      </w:r>
      <w:bookmarkEnd w:id="684"/>
      <w:r w:rsidRPr="00B53423">
        <w:t>: APPROVED DEPRECIATION FOR FY 2014-15 (Rs. Crore)</w:t>
      </w:r>
      <w:bookmarkEnd w:id="685"/>
      <w:bookmarkEnd w:id="686"/>
      <w:bookmarkEnd w:id="687"/>
      <w:bookmarkEnd w:id="688"/>
    </w:p>
    <w:tbl>
      <w:tblPr>
        <w:tblW w:w="92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608"/>
        <w:gridCol w:w="1947"/>
        <w:gridCol w:w="1530"/>
        <w:gridCol w:w="1170"/>
      </w:tblGrid>
      <w:tr w:rsidR="004C74C2" w:rsidRPr="00B53423" w:rsidTr="002B0139">
        <w:trPr>
          <w:trHeight w:val="287"/>
          <w:tblHeader/>
        </w:trPr>
        <w:tc>
          <w:tcPr>
            <w:tcW w:w="4608" w:type="dxa"/>
            <w:shd w:val="clear" w:color="000000" w:fill="DBE5F1"/>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Particulars</w:t>
            </w:r>
          </w:p>
        </w:tc>
        <w:tc>
          <w:tcPr>
            <w:tcW w:w="1947" w:type="dxa"/>
            <w:shd w:val="clear" w:color="000000" w:fill="DBE5F1"/>
            <w:noWrap/>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Derivation</w:t>
            </w:r>
          </w:p>
        </w:tc>
        <w:tc>
          <w:tcPr>
            <w:tcW w:w="1530" w:type="dxa"/>
            <w:shd w:val="clear" w:color="000000" w:fill="DBE5F1"/>
            <w:vAlign w:val="center"/>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ARR Petition</w:t>
            </w:r>
          </w:p>
        </w:tc>
        <w:tc>
          <w:tcPr>
            <w:tcW w:w="1170" w:type="dxa"/>
            <w:shd w:val="clear" w:color="000000" w:fill="DBE5F1"/>
            <w:vAlign w:val="center"/>
            <w:hideMark/>
          </w:tcPr>
          <w:p w:rsidR="004C74C2" w:rsidRPr="00B53423" w:rsidRDefault="004C74C2" w:rsidP="0015232B">
            <w:pPr>
              <w:spacing w:before="0" w:line="240" w:lineRule="auto"/>
              <w:jc w:val="center"/>
              <w:rPr>
                <w:rFonts w:cs="Calibri"/>
                <w:b/>
                <w:bCs/>
                <w:color w:val="000000"/>
                <w:kern w:val="32"/>
                <w:lang w:val="en-IN" w:eastAsia="en-IN"/>
              </w:rPr>
            </w:pPr>
            <w:r w:rsidRPr="00B53423">
              <w:rPr>
                <w:rFonts w:cs="Calibri"/>
                <w:b/>
                <w:bCs/>
                <w:color w:val="000000"/>
                <w:lang w:val="en-IN" w:eastAsia="en-IN"/>
              </w:rPr>
              <w:t>Approved</w:t>
            </w:r>
          </w:p>
        </w:tc>
      </w:tr>
      <w:tr w:rsidR="004C74C2" w:rsidRPr="00B53423" w:rsidTr="002B0139">
        <w:trPr>
          <w:trHeight w:val="300"/>
        </w:trPr>
        <w:tc>
          <w:tcPr>
            <w:tcW w:w="4608" w:type="dxa"/>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Depreciation Rate</w:t>
            </w:r>
          </w:p>
        </w:tc>
        <w:tc>
          <w:tcPr>
            <w:tcW w:w="1947" w:type="dxa"/>
            <w:shd w:val="clear" w:color="auto" w:fill="auto"/>
            <w:vAlign w:val="center"/>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A</w:t>
            </w:r>
          </w:p>
        </w:tc>
        <w:tc>
          <w:tcPr>
            <w:tcW w:w="1530" w:type="dxa"/>
            <w:vAlign w:val="center"/>
          </w:tcPr>
          <w:p w:rsidR="004C74C2" w:rsidRPr="00B53423" w:rsidRDefault="004C74C2" w:rsidP="0015232B">
            <w:pPr>
              <w:spacing w:before="0" w:line="240" w:lineRule="auto"/>
              <w:ind w:right="252"/>
              <w:jc w:val="right"/>
              <w:rPr>
                <w:rFonts w:cs="Calibri"/>
              </w:rPr>
            </w:pPr>
            <w:r w:rsidRPr="00B53423">
              <w:rPr>
                <w:rFonts w:cs="Calibri"/>
              </w:rPr>
              <w:t>7.84%</w:t>
            </w:r>
          </w:p>
        </w:tc>
        <w:tc>
          <w:tcPr>
            <w:tcW w:w="1170" w:type="dxa"/>
            <w:shd w:val="clear" w:color="auto" w:fill="auto"/>
            <w:noWrap/>
            <w:vAlign w:val="center"/>
            <w:hideMark/>
          </w:tcPr>
          <w:p w:rsidR="004C74C2" w:rsidRPr="00B53423" w:rsidRDefault="002B3D6B" w:rsidP="0015232B">
            <w:pPr>
              <w:spacing w:before="0" w:line="240" w:lineRule="auto"/>
              <w:ind w:right="134"/>
              <w:jc w:val="right"/>
              <w:rPr>
                <w:rFonts w:cs="Calibri"/>
                <w:color w:val="000000"/>
              </w:rPr>
            </w:pPr>
            <w:r w:rsidRPr="00B53423">
              <w:rPr>
                <w:rFonts w:cs="Calibri"/>
                <w:color w:val="000000"/>
              </w:rPr>
              <w:t>6.89</w:t>
            </w:r>
            <w:r w:rsidR="004C74C2" w:rsidRPr="00B53423">
              <w:rPr>
                <w:rFonts w:cs="Calibri"/>
                <w:color w:val="000000"/>
              </w:rPr>
              <w:t>%</w:t>
            </w:r>
          </w:p>
        </w:tc>
      </w:tr>
      <w:tr w:rsidR="004C74C2" w:rsidRPr="00B53423" w:rsidTr="002B0139">
        <w:trPr>
          <w:trHeight w:val="300"/>
        </w:trPr>
        <w:tc>
          <w:tcPr>
            <w:tcW w:w="4608" w:type="dxa"/>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Opening GFA as on 1st April (Depreciable Assets)</w:t>
            </w:r>
          </w:p>
        </w:tc>
        <w:tc>
          <w:tcPr>
            <w:tcW w:w="1947" w:type="dxa"/>
            <w:shd w:val="clear" w:color="auto" w:fill="auto"/>
            <w:vAlign w:val="center"/>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B</w:t>
            </w:r>
          </w:p>
        </w:tc>
        <w:tc>
          <w:tcPr>
            <w:tcW w:w="1530" w:type="dxa"/>
            <w:vAlign w:val="center"/>
          </w:tcPr>
          <w:p w:rsidR="004C74C2" w:rsidRPr="00B53423" w:rsidRDefault="004C74C2" w:rsidP="0015232B">
            <w:pPr>
              <w:spacing w:before="0" w:line="240" w:lineRule="auto"/>
              <w:ind w:right="252"/>
              <w:jc w:val="right"/>
              <w:rPr>
                <w:rFonts w:cs="Calibri"/>
              </w:rPr>
            </w:pPr>
            <w:r w:rsidRPr="00B53423">
              <w:rPr>
                <w:rFonts w:cs="Calibri"/>
              </w:rPr>
              <w:t>636.46</w:t>
            </w:r>
          </w:p>
        </w:tc>
        <w:tc>
          <w:tcPr>
            <w:tcW w:w="1170" w:type="dxa"/>
            <w:shd w:val="clear" w:color="auto" w:fill="auto"/>
            <w:noWrap/>
            <w:vAlign w:val="center"/>
            <w:hideMark/>
          </w:tcPr>
          <w:p w:rsidR="004C74C2" w:rsidRPr="00B53423" w:rsidRDefault="004C74C2" w:rsidP="0015232B">
            <w:pPr>
              <w:spacing w:before="0" w:line="240" w:lineRule="auto"/>
              <w:ind w:right="134"/>
              <w:jc w:val="right"/>
              <w:rPr>
                <w:rFonts w:cs="Calibri"/>
                <w:color w:val="000000"/>
              </w:rPr>
            </w:pPr>
            <w:r w:rsidRPr="00B53423">
              <w:rPr>
                <w:rFonts w:cs="Calibri"/>
                <w:color w:val="000000"/>
              </w:rPr>
              <w:t xml:space="preserve">628.26 </w:t>
            </w:r>
          </w:p>
        </w:tc>
      </w:tr>
      <w:tr w:rsidR="004C74C2" w:rsidRPr="00B53423" w:rsidTr="002B0139">
        <w:trPr>
          <w:trHeight w:val="300"/>
        </w:trPr>
        <w:tc>
          <w:tcPr>
            <w:tcW w:w="4608" w:type="dxa"/>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Addition to GFA during the year (Depreciable Assets)</w:t>
            </w:r>
          </w:p>
        </w:tc>
        <w:tc>
          <w:tcPr>
            <w:tcW w:w="1947" w:type="dxa"/>
            <w:shd w:val="clear" w:color="auto" w:fill="auto"/>
            <w:vAlign w:val="center"/>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C</w:t>
            </w:r>
          </w:p>
        </w:tc>
        <w:tc>
          <w:tcPr>
            <w:tcW w:w="1530" w:type="dxa"/>
            <w:vAlign w:val="center"/>
          </w:tcPr>
          <w:p w:rsidR="004C74C2" w:rsidRPr="00B53423" w:rsidRDefault="004C74C2" w:rsidP="0015232B">
            <w:pPr>
              <w:spacing w:before="0" w:line="240" w:lineRule="auto"/>
              <w:ind w:right="252"/>
              <w:jc w:val="right"/>
              <w:rPr>
                <w:rFonts w:cs="Calibri"/>
              </w:rPr>
            </w:pPr>
            <w:r w:rsidRPr="00B53423">
              <w:rPr>
                <w:rFonts w:cs="Calibri"/>
              </w:rPr>
              <w:t>74.15</w:t>
            </w:r>
          </w:p>
        </w:tc>
        <w:tc>
          <w:tcPr>
            <w:tcW w:w="1170" w:type="dxa"/>
            <w:shd w:val="clear" w:color="auto" w:fill="auto"/>
            <w:noWrap/>
            <w:vAlign w:val="center"/>
            <w:hideMark/>
          </w:tcPr>
          <w:p w:rsidR="004C74C2" w:rsidRPr="00B53423" w:rsidRDefault="004C74C2" w:rsidP="0015232B">
            <w:pPr>
              <w:spacing w:before="0" w:line="240" w:lineRule="auto"/>
              <w:ind w:right="134"/>
              <w:jc w:val="right"/>
              <w:rPr>
                <w:rFonts w:cs="Calibri"/>
                <w:color w:val="000000"/>
              </w:rPr>
            </w:pPr>
            <w:r w:rsidRPr="00B53423">
              <w:rPr>
                <w:rFonts w:cs="Calibri"/>
                <w:color w:val="000000"/>
              </w:rPr>
              <w:t xml:space="preserve">59.17 </w:t>
            </w:r>
          </w:p>
        </w:tc>
      </w:tr>
      <w:tr w:rsidR="004C74C2" w:rsidRPr="00B53423" w:rsidTr="002B0139">
        <w:trPr>
          <w:trHeight w:val="300"/>
        </w:trPr>
        <w:tc>
          <w:tcPr>
            <w:tcW w:w="4608" w:type="dxa"/>
            <w:shd w:val="clear" w:color="auto" w:fill="auto"/>
            <w:vAlign w:val="center"/>
            <w:hideMark/>
          </w:tcPr>
          <w:p w:rsidR="004C74C2" w:rsidRPr="00B53423" w:rsidRDefault="004C74C2" w:rsidP="0015232B">
            <w:pPr>
              <w:spacing w:before="0" w:line="240" w:lineRule="auto"/>
              <w:jc w:val="left"/>
              <w:rPr>
                <w:rFonts w:cs="Calibri"/>
                <w:b/>
                <w:bCs/>
                <w:lang w:val="en-IN" w:eastAsia="en-IN"/>
              </w:rPr>
            </w:pPr>
            <w:r w:rsidRPr="00B53423">
              <w:rPr>
                <w:rFonts w:cs="Calibri"/>
                <w:b/>
                <w:bCs/>
                <w:lang w:val="en-IN" w:eastAsia="en-IN"/>
              </w:rPr>
              <w:t>Depreciation on Opening  GFA + Addition during the year</w:t>
            </w:r>
          </w:p>
        </w:tc>
        <w:tc>
          <w:tcPr>
            <w:tcW w:w="1947" w:type="dxa"/>
            <w:shd w:val="clear" w:color="auto" w:fill="auto"/>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D = (A*B)+(C*A/2)</w:t>
            </w:r>
          </w:p>
        </w:tc>
        <w:tc>
          <w:tcPr>
            <w:tcW w:w="1530" w:type="dxa"/>
            <w:vAlign w:val="center"/>
          </w:tcPr>
          <w:p w:rsidR="004C74C2" w:rsidRPr="00B53423" w:rsidRDefault="004C74C2" w:rsidP="0015232B">
            <w:pPr>
              <w:spacing w:before="0" w:line="240" w:lineRule="auto"/>
              <w:ind w:right="252"/>
              <w:jc w:val="right"/>
              <w:rPr>
                <w:rFonts w:cs="Calibri"/>
                <w:b/>
                <w:bCs/>
              </w:rPr>
            </w:pPr>
            <w:r w:rsidRPr="00B53423">
              <w:rPr>
                <w:rFonts w:cs="Calibri"/>
                <w:b/>
                <w:bCs/>
              </w:rPr>
              <w:t>52.8</w:t>
            </w:r>
          </w:p>
        </w:tc>
        <w:tc>
          <w:tcPr>
            <w:tcW w:w="1170" w:type="dxa"/>
            <w:shd w:val="clear" w:color="auto" w:fill="auto"/>
            <w:noWrap/>
            <w:vAlign w:val="center"/>
            <w:hideMark/>
          </w:tcPr>
          <w:p w:rsidR="004C74C2" w:rsidRPr="00B53423" w:rsidRDefault="002B3D6B" w:rsidP="0015232B">
            <w:pPr>
              <w:spacing w:before="0" w:line="240" w:lineRule="auto"/>
              <w:ind w:right="134"/>
              <w:jc w:val="right"/>
              <w:rPr>
                <w:rFonts w:cs="Calibri"/>
                <w:b/>
                <w:bCs/>
                <w:color w:val="000000"/>
              </w:rPr>
            </w:pPr>
            <w:r w:rsidRPr="00B53423">
              <w:rPr>
                <w:rFonts w:cs="Calibri"/>
                <w:b/>
                <w:bCs/>
                <w:color w:val="000000"/>
              </w:rPr>
              <w:t>45.34</w:t>
            </w:r>
            <w:r w:rsidR="004C74C2" w:rsidRPr="00B53423">
              <w:rPr>
                <w:rFonts w:cs="Calibri"/>
                <w:b/>
                <w:bCs/>
                <w:color w:val="000000"/>
              </w:rPr>
              <w:t xml:space="preserve"> </w:t>
            </w:r>
          </w:p>
        </w:tc>
      </w:tr>
      <w:tr w:rsidR="004C74C2" w:rsidRPr="00B53423" w:rsidTr="002B0139">
        <w:trPr>
          <w:trHeight w:val="300"/>
        </w:trPr>
        <w:tc>
          <w:tcPr>
            <w:tcW w:w="4608" w:type="dxa"/>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 xml:space="preserve">Less: </w:t>
            </w:r>
          </w:p>
        </w:tc>
        <w:tc>
          <w:tcPr>
            <w:tcW w:w="1947" w:type="dxa"/>
            <w:shd w:val="clear" w:color="auto" w:fill="auto"/>
            <w:vAlign w:val="center"/>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 </w:t>
            </w:r>
          </w:p>
        </w:tc>
        <w:tc>
          <w:tcPr>
            <w:tcW w:w="1530" w:type="dxa"/>
            <w:vAlign w:val="center"/>
          </w:tcPr>
          <w:p w:rsidR="004C74C2" w:rsidRPr="00B53423" w:rsidRDefault="004C74C2" w:rsidP="0015232B">
            <w:pPr>
              <w:spacing w:before="0" w:line="240" w:lineRule="auto"/>
              <w:ind w:right="252"/>
              <w:jc w:val="right"/>
              <w:rPr>
                <w:rFonts w:cs="Calibri"/>
              </w:rPr>
            </w:pPr>
            <w:r w:rsidRPr="00B53423">
              <w:rPr>
                <w:rFonts w:cs="Calibri"/>
              </w:rPr>
              <w:t> </w:t>
            </w:r>
          </w:p>
        </w:tc>
        <w:tc>
          <w:tcPr>
            <w:tcW w:w="1170" w:type="dxa"/>
            <w:shd w:val="clear" w:color="auto" w:fill="auto"/>
            <w:noWrap/>
            <w:vAlign w:val="center"/>
            <w:hideMark/>
          </w:tcPr>
          <w:p w:rsidR="004C74C2" w:rsidRPr="00B53423" w:rsidRDefault="004C74C2" w:rsidP="0015232B">
            <w:pPr>
              <w:spacing w:before="0" w:line="240" w:lineRule="auto"/>
              <w:ind w:right="134"/>
              <w:jc w:val="right"/>
              <w:rPr>
                <w:rFonts w:cs="Calibri"/>
                <w:color w:val="000000"/>
              </w:rPr>
            </w:pPr>
            <w:r w:rsidRPr="00B53423">
              <w:rPr>
                <w:rFonts w:cs="Calibri"/>
                <w:color w:val="000000"/>
              </w:rPr>
              <w:t> </w:t>
            </w:r>
          </w:p>
        </w:tc>
      </w:tr>
      <w:tr w:rsidR="004C74C2" w:rsidRPr="00B53423" w:rsidTr="002B0139">
        <w:trPr>
          <w:trHeight w:val="600"/>
        </w:trPr>
        <w:tc>
          <w:tcPr>
            <w:tcW w:w="4608" w:type="dxa"/>
            <w:shd w:val="clear" w:color="auto" w:fill="auto"/>
            <w:vAlign w:val="center"/>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 xml:space="preserve">Depreciation on  assets created from </w:t>
            </w:r>
            <w:r w:rsidRPr="00B53423">
              <w:rPr>
                <w:rFonts w:cs="Calibri"/>
                <w:lang w:val="en-IN" w:eastAsia="en-IN"/>
              </w:rPr>
              <w:br/>
              <w:t xml:space="preserve">Consumer Contribution and Capital Assets Subsidy </w:t>
            </w:r>
          </w:p>
        </w:tc>
        <w:tc>
          <w:tcPr>
            <w:tcW w:w="1947" w:type="dxa"/>
            <w:shd w:val="clear" w:color="auto" w:fill="auto"/>
            <w:vAlign w:val="center"/>
            <w:hideMark/>
          </w:tcPr>
          <w:p w:rsidR="004C74C2" w:rsidRPr="00B53423" w:rsidRDefault="004C74C2" w:rsidP="0015232B">
            <w:pPr>
              <w:spacing w:before="0" w:line="240" w:lineRule="auto"/>
              <w:jc w:val="center"/>
              <w:rPr>
                <w:rFonts w:cs="Calibri"/>
                <w:lang w:val="en-IN" w:eastAsia="en-IN"/>
              </w:rPr>
            </w:pPr>
            <w:r w:rsidRPr="00B53423">
              <w:rPr>
                <w:rFonts w:cs="Calibri"/>
                <w:lang w:val="en-IN" w:eastAsia="en-IN"/>
              </w:rPr>
              <w:t>E</w:t>
            </w:r>
          </w:p>
        </w:tc>
        <w:tc>
          <w:tcPr>
            <w:tcW w:w="1530" w:type="dxa"/>
            <w:vAlign w:val="center"/>
          </w:tcPr>
          <w:p w:rsidR="004C74C2" w:rsidRPr="00B53423" w:rsidRDefault="004C74C2" w:rsidP="0015232B">
            <w:pPr>
              <w:spacing w:before="0" w:line="240" w:lineRule="auto"/>
              <w:ind w:right="252"/>
              <w:jc w:val="right"/>
              <w:rPr>
                <w:rFonts w:cs="Calibri"/>
              </w:rPr>
            </w:pPr>
            <w:r w:rsidRPr="00B53423">
              <w:rPr>
                <w:rFonts w:cs="Calibri"/>
              </w:rPr>
              <w:t>15.92</w:t>
            </w:r>
          </w:p>
        </w:tc>
        <w:tc>
          <w:tcPr>
            <w:tcW w:w="1170" w:type="dxa"/>
            <w:shd w:val="clear" w:color="auto" w:fill="auto"/>
            <w:noWrap/>
            <w:vAlign w:val="center"/>
            <w:hideMark/>
          </w:tcPr>
          <w:p w:rsidR="004C74C2" w:rsidRPr="00B53423" w:rsidRDefault="002B3D6B" w:rsidP="0015232B">
            <w:pPr>
              <w:spacing w:before="0" w:line="240" w:lineRule="auto"/>
              <w:ind w:right="134"/>
              <w:jc w:val="right"/>
              <w:rPr>
                <w:rFonts w:cs="Calibri"/>
                <w:color w:val="000000"/>
              </w:rPr>
            </w:pPr>
            <w:r w:rsidRPr="00B53423">
              <w:rPr>
                <w:rFonts w:cs="Calibri"/>
                <w:color w:val="000000"/>
              </w:rPr>
              <w:t>15.24</w:t>
            </w:r>
            <w:r w:rsidR="004C74C2" w:rsidRPr="00B53423">
              <w:rPr>
                <w:rFonts w:cs="Calibri"/>
                <w:color w:val="000000"/>
              </w:rPr>
              <w:t xml:space="preserve"> </w:t>
            </w:r>
          </w:p>
        </w:tc>
      </w:tr>
      <w:tr w:rsidR="004C74C2" w:rsidRPr="00B53423" w:rsidTr="002B0139">
        <w:trPr>
          <w:trHeight w:val="300"/>
        </w:trPr>
        <w:tc>
          <w:tcPr>
            <w:tcW w:w="4608" w:type="dxa"/>
            <w:shd w:val="clear" w:color="auto" w:fill="auto"/>
            <w:vAlign w:val="center"/>
            <w:hideMark/>
          </w:tcPr>
          <w:p w:rsidR="004C74C2" w:rsidRPr="00B53423" w:rsidRDefault="004C74C2" w:rsidP="00F66310">
            <w:pPr>
              <w:spacing w:before="0" w:line="240" w:lineRule="auto"/>
              <w:jc w:val="left"/>
              <w:rPr>
                <w:rFonts w:cs="Calibri"/>
                <w:b/>
                <w:bCs/>
                <w:lang w:val="en-IN" w:eastAsia="en-IN"/>
              </w:rPr>
            </w:pPr>
            <w:r w:rsidRPr="00B53423">
              <w:rPr>
                <w:rFonts w:cs="Calibri"/>
                <w:b/>
                <w:bCs/>
                <w:lang w:val="en-IN" w:eastAsia="en-IN"/>
              </w:rPr>
              <w:t xml:space="preserve">Net Allowable Depreciation for </w:t>
            </w:r>
            <w:r w:rsidR="00F66310">
              <w:rPr>
                <w:rFonts w:cs="Calibri"/>
                <w:b/>
                <w:bCs/>
                <w:lang w:val="en-IN" w:eastAsia="en-IN"/>
              </w:rPr>
              <w:t xml:space="preserve">FY </w:t>
            </w:r>
            <w:r w:rsidRPr="00B53423">
              <w:rPr>
                <w:rFonts w:cs="Calibri"/>
                <w:b/>
                <w:bCs/>
                <w:lang w:val="en-IN" w:eastAsia="en-IN"/>
              </w:rPr>
              <w:t>201</w:t>
            </w:r>
            <w:r w:rsidR="00F66310">
              <w:rPr>
                <w:rFonts w:cs="Calibri"/>
                <w:b/>
                <w:bCs/>
                <w:lang w:val="en-IN" w:eastAsia="en-IN"/>
              </w:rPr>
              <w:t>4-15</w:t>
            </w:r>
          </w:p>
        </w:tc>
        <w:tc>
          <w:tcPr>
            <w:tcW w:w="1947" w:type="dxa"/>
            <w:shd w:val="clear" w:color="auto" w:fill="auto"/>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F=D-E</w:t>
            </w:r>
          </w:p>
        </w:tc>
        <w:tc>
          <w:tcPr>
            <w:tcW w:w="1530" w:type="dxa"/>
            <w:vAlign w:val="center"/>
          </w:tcPr>
          <w:p w:rsidR="004C74C2" w:rsidRPr="00B53423" w:rsidRDefault="004C74C2" w:rsidP="0015232B">
            <w:pPr>
              <w:spacing w:before="0" w:line="240" w:lineRule="auto"/>
              <w:ind w:right="252"/>
              <w:jc w:val="right"/>
              <w:rPr>
                <w:rFonts w:cs="Calibri"/>
                <w:b/>
                <w:bCs/>
              </w:rPr>
            </w:pPr>
            <w:r w:rsidRPr="00B53423">
              <w:rPr>
                <w:rFonts w:cs="Calibri"/>
                <w:b/>
                <w:bCs/>
              </w:rPr>
              <w:t>36.89</w:t>
            </w:r>
          </w:p>
        </w:tc>
        <w:tc>
          <w:tcPr>
            <w:tcW w:w="1170" w:type="dxa"/>
            <w:shd w:val="clear" w:color="auto" w:fill="auto"/>
            <w:noWrap/>
            <w:vAlign w:val="center"/>
            <w:hideMark/>
          </w:tcPr>
          <w:p w:rsidR="004C74C2" w:rsidRPr="00B53423" w:rsidRDefault="004C74C2" w:rsidP="0015232B">
            <w:pPr>
              <w:spacing w:before="0" w:line="240" w:lineRule="auto"/>
              <w:ind w:right="134"/>
              <w:jc w:val="right"/>
              <w:rPr>
                <w:rFonts w:cs="Calibri"/>
                <w:b/>
                <w:bCs/>
                <w:color w:val="000000"/>
              </w:rPr>
            </w:pPr>
            <w:r w:rsidRPr="00B53423">
              <w:rPr>
                <w:rFonts w:cs="Calibri"/>
                <w:b/>
                <w:bCs/>
                <w:color w:val="000000"/>
              </w:rPr>
              <w:t>3</w:t>
            </w:r>
            <w:r w:rsidR="002B3D6B" w:rsidRPr="00B53423">
              <w:rPr>
                <w:rFonts w:cs="Calibri"/>
                <w:b/>
                <w:bCs/>
                <w:color w:val="000000"/>
              </w:rPr>
              <w:t>0.11</w:t>
            </w:r>
            <w:r w:rsidRPr="00B53423">
              <w:rPr>
                <w:rFonts w:cs="Calibri"/>
                <w:b/>
                <w:bCs/>
                <w:color w:val="000000"/>
              </w:rPr>
              <w:t xml:space="preserve"> </w:t>
            </w:r>
          </w:p>
        </w:tc>
      </w:tr>
    </w:tbl>
    <w:p w:rsidR="004C74C2" w:rsidRPr="00B53423" w:rsidRDefault="004C74C2" w:rsidP="0015232B">
      <w:pPr>
        <w:pStyle w:val="Heading3"/>
        <w:keepNext w:val="0"/>
        <w:numPr>
          <w:ilvl w:val="0"/>
          <w:numId w:val="0"/>
        </w:numPr>
        <w:jc w:val="center"/>
      </w:pPr>
      <w:r w:rsidRPr="00B53423" w:rsidDel="003121F9">
        <w:t xml:space="preserve"> </w:t>
      </w:r>
    </w:p>
    <w:p w:rsidR="004C74C2" w:rsidRPr="00B53423" w:rsidRDefault="004C74C2" w:rsidP="0015232B">
      <w:pPr>
        <w:pStyle w:val="Heading3"/>
        <w:keepNext w:val="0"/>
        <w:numPr>
          <w:ilvl w:val="0"/>
          <w:numId w:val="0"/>
        </w:numPr>
      </w:pPr>
    </w:p>
    <w:p w:rsidR="004C74C2" w:rsidRPr="00B53423" w:rsidRDefault="004C74C2" w:rsidP="0015232B">
      <w:pPr>
        <w:pStyle w:val="Heading2"/>
        <w:keepNext w:val="0"/>
        <w:ind w:left="720" w:hanging="1080"/>
      </w:pPr>
      <w:bookmarkStart w:id="689" w:name="_Toc356322606"/>
      <w:bookmarkStart w:id="690" w:name="_Toc357733333"/>
      <w:bookmarkStart w:id="691" w:name="_Toc399626231"/>
      <w:r w:rsidRPr="00B53423">
        <w:t>INTEREST AND FINANCING COST</w:t>
      </w:r>
      <w:bookmarkEnd w:id="689"/>
      <w:bookmarkEnd w:id="690"/>
      <w:bookmarkEnd w:id="691"/>
    </w:p>
    <w:p w:rsidR="004C74C2" w:rsidRPr="00B53423" w:rsidRDefault="004C74C2" w:rsidP="0015232B">
      <w:pPr>
        <w:pStyle w:val="Heading3"/>
        <w:keepNext w:val="0"/>
        <w:numPr>
          <w:ilvl w:val="0"/>
          <w:numId w:val="0"/>
        </w:numPr>
        <w:tabs>
          <w:tab w:val="left" w:pos="864"/>
        </w:tabs>
      </w:pPr>
    </w:p>
    <w:p w:rsidR="004C74C2" w:rsidRPr="00B53423" w:rsidRDefault="004C74C2" w:rsidP="0015232B">
      <w:pPr>
        <w:pStyle w:val="Heading3"/>
        <w:keepNext w:val="0"/>
        <w:numPr>
          <w:ilvl w:val="0"/>
          <w:numId w:val="0"/>
        </w:numPr>
        <w:tabs>
          <w:tab w:val="left" w:pos="720"/>
        </w:tabs>
        <w:ind w:left="720"/>
        <w:rPr>
          <w:b/>
        </w:rPr>
      </w:pPr>
      <w:r w:rsidRPr="00B53423">
        <w:rPr>
          <w:b/>
        </w:rPr>
        <w:t xml:space="preserve">Interest on Long Term Loans </w:t>
      </w:r>
    </w:p>
    <w:p w:rsidR="004C74C2" w:rsidRPr="00B53423" w:rsidRDefault="004C74C2" w:rsidP="0015232B">
      <w:pPr>
        <w:pStyle w:val="ListParagraph"/>
        <w:spacing w:before="0"/>
        <w:ind w:left="480"/>
      </w:pPr>
    </w:p>
    <w:p w:rsidR="004C74C2" w:rsidRPr="00B53423" w:rsidRDefault="004C74C2" w:rsidP="0015232B">
      <w:pPr>
        <w:pStyle w:val="Heading3"/>
        <w:keepNext w:val="0"/>
        <w:ind w:hanging="1080"/>
        <w:rPr>
          <w:b/>
        </w:rPr>
      </w:pPr>
      <w:r w:rsidRPr="00B53423">
        <w:t xml:space="preserve">The Petitioner submitted that in line with the approach adopted by the Commission in its previous Order it has considered a normative tariff approach with a </w:t>
      </w:r>
      <w:r w:rsidR="00AE3D88" w:rsidRPr="00B53423">
        <w:t>debt: equity</w:t>
      </w:r>
      <w:r w:rsidRPr="00B53423">
        <w:t xml:space="preserve"> of 70:30. In this approach, 70% of the capital expenditure undertaken in any year has been considered to be financed through loan and balance 30% has been considered to be funded through equity contributions. The portion of capital expenditure financed through consumer contributions, capital subsidies and grants has been separated as the depreciation and interest thereon would not be charged to the consumers.</w:t>
      </w:r>
    </w:p>
    <w:p w:rsidR="004C74C2" w:rsidRPr="00B53423" w:rsidRDefault="004C74C2" w:rsidP="0015232B">
      <w:pPr>
        <w:pStyle w:val="Heading4"/>
        <w:numPr>
          <w:ilvl w:val="0"/>
          <w:numId w:val="0"/>
        </w:numPr>
        <w:ind w:left="864"/>
        <w:rPr>
          <w:b/>
        </w:rPr>
      </w:pPr>
    </w:p>
    <w:p w:rsidR="004C74C2" w:rsidRPr="00B53423" w:rsidRDefault="004C74C2" w:rsidP="0015232B">
      <w:pPr>
        <w:pStyle w:val="Heading3"/>
        <w:keepNext w:val="0"/>
        <w:ind w:hanging="1080"/>
      </w:pPr>
      <w:r w:rsidRPr="00B53423">
        <w:rPr>
          <w:rFonts w:cs="Calibri"/>
        </w:rPr>
        <w:t>The Petitioner submitted that the allowable depreciation for the year has been considered as normative loan repayment. The Petitioner submitted that it has considered the weighted average rate of interest of overall long term loan portfolio for FY 2012-13, FY 2013-14 and 2014-15, as it seemed fair and equitable. The Petitioner has considered interest capitalization at a rate of 23% of the total interest which is consistent with the rate considered by the Commission in previous Tariff Orders</w:t>
      </w:r>
    </w:p>
    <w:p w:rsidR="004C74C2" w:rsidRPr="00B53423" w:rsidRDefault="004C74C2" w:rsidP="0015232B">
      <w:pPr>
        <w:tabs>
          <w:tab w:val="left" w:pos="864"/>
        </w:tabs>
        <w:spacing w:before="0"/>
        <w:ind w:left="720"/>
        <w:outlineLvl w:val="2"/>
        <w:rPr>
          <w:rFonts w:cs="Arial"/>
          <w:b/>
          <w:bCs/>
          <w:szCs w:val="26"/>
        </w:rPr>
      </w:pPr>
    </w:p>
    <w:p w:rsidR="004C74C2" w:rsidRPr="00B53423" w:rsidRDefault="004C74C2" w:rsidP="0015232B">
      <w:pPr>
        <w:pStyle w:val="Heading3"/>
        <w:keepNext w:val="0"/>
        <w:ind w:hanging="1080"/>
      </w:pPr>
      <w:r w:rsidRPr="00B53423">
        <w:t xml:space="preserve">It is observed that the Petitioner has computed interest on long term loan based on the normative approach adopted by the Commission in its previous Orders. Therefore, the Commission approves the methodology used by the Petitioner in this regard. However, the Commission has recomputed the interest on long term loan based on the revised opening and closing loan balances approved in earlier sections while doing the Truing up of FY 2011-12. Also the loan addition during FY 2014-15 has been considered as worked out in earlier Section of this Chapter.  </w:t>
      </w:r>
    </w:p>
    <w:p w:rsidR="004C74C2" w:rsidRPr="00B53423" w:rsidRDefault="004C74C2" w:rsidP="0015232B">
      <w:pPr>
        <w:pStyle w:val="Heading3"/>
        <w:keepNext w:val="0"/>
        <w:numPr>
          <w:ilvl w:val="0"/>
          <w:numId w:val="0"/>
        </w:numPr>
        <w:ind w:left="720"/>
        <w:rPr>
          <w:bCs w:val="0"/>
        </w:rPr>
      </w:pPr>
    </w:p>
    <w:p w:rsidR="004C74C2" w:rsidRPr="00B53423" w:rsidRDefault="004C74C2" w:rsidP="0015232B">
      <w:pPr>
        <w:pStyle w:val="Heading3"/>
        <w:keepNext w:val="0"/>
        <w:ind w:hanging="1080"/>
      </w:pPr>
      <w:r w:rsidRPr="00B53423">
        <w:t>The weighted average rate of interest as submitted by the Petitioner has been considered for computing the interest on long term loan for FY 2014-15. Further, the interest capitalisation has been considered at a rate of 23% which is same as the Petitioner’s submission and is also consistent with the methodology adopted by the Commission in its previous Orders.</w:t>
      </w:r>
    </w:p>
    <w:p w:rsidR="004C74C2" w:rsidRPr="00B53423" w:rsidRDefault="004C74C2" w:rsidP="0015232B">
      <w:pPr>
        <w:pStyle w:val="Heading3"/>
        <w:keepNext w:val="0"/>
        <w:numPr>
          <w:ilvl w:val="0"/>
          <w:numId w:val="0"/>
        </w:numPr>
        <w:ind w:left="720"/>
        <w:rPr>
          <w:bCs w:val="0"/>
        </w:rPr>
      </w:pPr>
    </w:p>
    <w:p w:rsidR="004C74C2" w:rsidRPr="00B53423" w:rsidRDefault="004C74C2" w:rsidP="0015232B">
      <w:pPr>
        <w:pStyle w:val="Heading3"/>
        <w:keepNext w:val="0"/>
        <w:ind w:hanging="1080"/>
      </w:pPr>
      <w:r w:rsidRPr="00B53423">
        <w:t>The allowable depreciation for FY 2014-15 has been considered as normative loan repayment. However, it is observed that the depreciation of Rs. 3</w:t>
      </w:r>
      <w:r w:rsidR="002B3D6B" w:rsidRPr="00B53423">
        <w:t>0.11</w:t>
      </w:r>
      <w:r w:rsidRPr="00B53423">
        <w:t xml:space="preserve"> Crore is higher than the sum of the opening loan balance and the loan addition for FY 2014-15. Thus, the entire amount of Rs. 29.40 Crore has been considered to be repaid resulting into net interest on long term loan as nil.</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rPr>
          <w:b/>
        </w:rPr>
      </w:pPr>
      <w:r w:rsidRPr="00B53423">
        <w:t>The computations for interest on long term loan as claimed by the Petitioner and that approved by the Commission is shown in the Table below:</w:t>
      </w:r>
    </w:p>
    <w:p w:rsidR="004C74C2" w:rsidRPr="00B53423" w:rsidRDefault="004C74C2" w:rsidP="0015232B">
      <w:pPr>
        <w:pStyle w:val="ListParagraph"/>
        <w:ind w:left="180"/>
        <w:rPr>
          <w:b/>
        </w:rPr>
      </w:pPr>
    </w:p>
    <w:p w:rsidR="004C74C2" w:rsidRPr="00B53423" w:rsidRDefault="004C74C2" w:rsidP="0015232B">
      <w:pPr>
        <w:pStyle w:val="Caption"/>
        <w:jc w:val="center"/>
      </w:pPr>
      <w:bookmarkStart w:id="692" w:name="_Toc357738742"/>
      <w:bookmarkStart w:id="693" w:name="_Toc399626429"/>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24</w:t>
      </w:r>
      <w:r w:rsidR="005D68E7" w:rsidRPr="00B53423">
        <w:fldChar w:fldCharType="end"/>
      </w:r>
      <w:r w:rsidRPr="00B53423">
        <w:t>: INTEREST ON LONG TERM LOANS UP TO FY 2014-15 (Rs. Crore)</w:t>
      </w:r>
      <w:bookmarkEnd w:id="692"/>
      <w:bookmarkEnd w:id="693"/>
    </w:p>
    <w:tbl>
      <w:tblPr>
        <w:tblW w:w="8166" w:type="dxa"/>
        <w:tblInd w:w="58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196"/>
        <w:gridCol w:w="1530"/>
        <w:gridCol w:w="1440"/>
      </w:tblGrid>
      <w:tr w:rsidR="004C74C2" w:rsidRPr="00B53423" w:rsidTr="009E14DD">
        <w:trPr>
          <w:trHeight w:val="285"/>
          <w:tblHeader/>
        </w:trPr>
        <w:tc>
          <w:tcPr>
            <w:tcW w:w="5196" w:type="dxa"/>
            <w:shd w:val="clear" w:color="000000" w:fill="DBE5F1"/>
            <w:vAlign w:val="center"/>
            <w:hideMark/>
          </w:tcPr>
          <w:p w:rsidR="004C74C2" w:rsidRPr="00B53423" w:rsidRDefault="004C74C2" w:rsidP="0015232B">
            <w:pPr>
              <w:spacing w:before="0" w:line="240" w:lineRule="auto"/>
              <w:jc w:val="left"/>
              <w:rPr>
                <w:rFonts w:cs="Calibri"/>
                <w:b/>
                <w:bCs/>
                <w:lang w:val="en-IN" w:eastAsia="en-IN"/>
              </w:rPr>
            </w:pPr>
            <w:r w:rsidRPr="00B53423">
              <w:rPr>
                <w:rFonts w:cs="Calibri"/>
                <w:b/>
                <w:bCs/>
                <w:lang w:val="en-IN" w:eastAsia="en-IN"/>
              </w:rPr>
              <w:t>Particulars</w:t>
            </w:r>
          </w:p>
        </w:tc>
        <w:tc>
          <w:tcPr>
            <w:tcW w:w="1530" w:type="dxa"/>
            <w:shd w:val="clear" w:color="000000" w:fill="DBE5F1"/>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ARR Petition</w:t>
            </w:r>
          </w:p>
        </w:tc>
        <w:tc>
          <w:tcPr>
            <w:tcW w:w="1440" w:type="dxa"/>
            <w:shd w:val="clear" w:color="000000" w:fill="DBE5F1"/>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Approved</w:t>
            </w:r>
          </w:p>
        </w:tc>
      </w:tr>
      <w:tr w:rsidR="004C74C2" w:rsidRPr="00B53423" w:rsidTr="009E14DD">
        <w:trPr>
          <w:trHeight w:val="285"/>
        </w:trPr>
        <w:tc>
          <w:tcPr>
            <w:tcW w:w="5196" w:type="dxa"/>
            <w:shd w:val="clear" w:color="auto" w:fill="auto"/>
            <w:vAlign w:val="center"/>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Opening Loan</w:t>
            </w:r>
          </w:p>
        </w:tc>
        <w:tc>
          <w:tcPr>
            <w:tcW w:w="1530" w:type="dxa"/>
            <w:vAlign w:val="center"/>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1.60</w:t>
            </w:r>
          </w:p>
        </w:tc>
        <w:tc>
          <w:tcPr>
            <w:tcW w:w="1440" w:type="dxa"/>
            <w:shd w:val="clear" w:color="auto" w:fill="auto"/>
            <w:noWrap/>
            <w:vAlign w:val="center"/>
            <w:hideMark/>
          </w:tcPr>
          <w:p w:rsidR="00564993" w:rsidRPr="00B53423" w:rsidRDefault="004C74C2" w:rsidP="0015232B">
            <w:pPr>
              <w:spacing w:before="0" w:line="240" w:lineRule="auto"/>
              <w:ind w:right="252"/>
              <w:jc w:val="right"/>
              <w:rPr>
                <w:rFonts w:asciiTheme="minorHAnsi" w:hAnsiTheme="minorHAnsi" w:cstheme="minorHAnsi"/>
                <w:sz w:val="18"/>
                <w:szCs w:val="18"/>
              </w:rPr>
            </w:pPr>
            <w:r w:rsidRPr="00B53423">
              <w:rPr>
                <w:rFonts w:asciiTheme="minorHAnsi" w:hAnsiTheme="minorHAnsi" w:cstheme="minorHAnsi"/>
              </w:rPr>
              <w:t xml:space="preserve">     </w:t>
            </w:r>
            <w:r w:rsidR="009E14DD" w:rsidRPr="00B53423">
              <w:rPr>
                <w:rFonts w:asciiTheme="minorHAnsi" w:hAnsiTheme="minorHAnsi" w:cstheme="minorHAnsi"/>
              </w:rPr>
              <w:t>-</w:t>
            </w:r>
          </w:p>
        </w:tc>
      </w:tr>
      <w:tr w:rsidR="004C74C2" w:rsidRPr="00B53423" w:rsidTr="009E14DD">
        <w:trPr>
          <w:trHeight w:val="285"/>
        </w:trPr>
        <w:tc>
          <w:tcPr>
            <w:tcW w:w="5196" w:type="dxa"/>
            <w:shd w:val="clear" w:color="auto" w:fill="auto"/>
            <w:vAlign w:val="center"/>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Loan Additions (70% of Investments)</w:t>
            </w:r>
          </w:p>
        </w:tc>
        <w:tc>
          <w:tcPr>
            <w:tcW w:w="1530" w:type="dxa"/>
            <w:vAlign w:val="center"/>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42.00</w:t>
            </w:r>
          </w:p>
        </w:tc>
        <w:tc>
          <w:tcPr>
            <w:tcW w:w="1440"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 xml:space="preserve">29.40 </w:t>
            </w:r>
          </w:p>
        </w:tc>
      </w:tr>
      <w:tr w:rsidR="004C74C2" w:rsidRPr="00B53423" w:rsidTr="009E14DD">
        <w:trPr>
          <w:trHeight w:val="287"/>
        </w:trPr>
        <w:tc>
          <w:tcPr>
            <w:tcW w:w="5196" w:type="dxa"/>
            <w:shd w:val="clear" w:color="auto" w:fill="auto"/>
            <w:vAlign w:val="center"/>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Less: Repayments (Depreciation allowable for the year)</w:t>
            </w:r>
          </w:p>
        </w:tc>
        <w:tc>
          <w:tcPr>
            <w:tcW w:w="1530" w:type="dxa"/>
            <w:vAlign w:val="center"/>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36.89</w:t>
            </w:r>
          </w:p>
        </w:tc>
        <w:tc>
          <w:tcPr>
            <w:tcW w:w="1440"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 xml:space="preserve">  29.40 </w:t>
            </w:r>
          </w:p>
        </w:tc>
      </w:tr>
      <w:tr w:rsidR="004C74C2" w:rsidRPr="00B53423" w:rsidTr="009E14DD">
        <w:trPr>
          <w:trHeight w:val="285"/>
        </w:trPr>
        <w:tc>
          <w:tcPr>
            <w:tcW w:w="5196" w:type="dxa"/>
            <w:shd w:val="clear" w:color="auto" w:fill="auto"/>
            <w:vAlign w:val="center"/>
            <w:hideMark/>
          </w:tcPr>
          <w:p w:rsidR="004C74C2" w:rsidRPr="00B53423" w:rsidRDefault="004C74C2" w:rsidP="0015232B">
            <w:pPr>
              <w:spacing w:before="0" w:line="240" w:lineRule="auto"/>
              <w:jc w:val="left"/>
              <w:rPr>
                <w:rFonts w:cs="Calibri"/>
                <w:b/>
                <w:bCs/>
                <w:color w:val="000000"/>
                <w:lang w:val="en-IN" w:eastAsia="en-IN"/>
              </w:rPr>
            </w:pPr>
            <w:r w:rsidRPr="00B53423">
              <w:rPr>
                <w:rFonts w:cs="Calibri"/>
                <w:b/>
                <w:bCs/>
                <w:color w:val="000000"/>
                <w:lang w:val="en-IN" w:eastAsia="en-IN"/>
              </w:rPr>
              <w:t>Closing Loan Balance</w:t>
            </w:r>
          </w:p>
        </w:tc>
        <w:tc>
          <w:tcPr>
            <w:tcW w:w="1530" w:type="dxa"/>
            <w:vAlign w:val="center"/>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6.72</w:t>
            </w:r>
          </w:p>
        </w:tc>
        <w:tc>
          <w:tcPr>
            <w:tcW w:w="1440" w:type="dxa"/>
            <w:shd w:val="clear" w:color="auto" w:fill="auto"/>
            <w:noWrap/>
            <w:vAlign w:val="center"/>
            <w:hideMark/>
          </w:tcPr>
          <w:p w:rsidR="00564993" w:rsidRPr="00B53423" w:rsidRDefault="004C74C2" w:rsidP="0015232B">
            <w:pPr>
              <w:spacing w:before="0" w:line="240" w:lineRule="auto"/>
              <w:ind w:right="252"/>
              <w:jc w:val="right"/>
              <w:rPr>
                <w:rFonts w:asciiTheme="minorHAnsi" w:hAnsiTheme="minorHAnsi" w:cstheme="minorHAnsi"/>
                <w:sz w:val="18"/>
                <w:szCs w:val="18"/>
              </w:rPr>
            </w:pPr>
            <w:r w:rsidRPr="00B53423">
              <w:rPr>
                <w:rFonts w:asciiTheme="minorHAnsi" w:hAnsiTheme="minorHAnsi" w:cstheme="minorHAnsi"/>
              </w:rPr>
              <w:t xml:space="preserve">          -   </w:t>
            </w:r>
          </w:p>
        </w:tc>
      </w:tr>
      <w:tr w:rsidR="004C74C2" w:rsidRPr="00B53423" w:rsidTr="009E14DD">
        <w:trPr>
          <w:trHeight w:val="285"/>
        </w:trPr>
        <w:tc>
          <w:tcPr>
            <w:tcW w:w="5196" w:type="dxa"/>
            <w:shd w:val="clear" w:color="auto" w:fill="auto"/>
            <w:vAlign w:val="center"/>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Weighted Average Rate of Interest</w:t>
            </w:r>
          </w:p>
        </w:tc>
        <w:tc>
          <w:tcPr>
            <w:tcW w:w="1530" w:type="dxa"/>
            <w:vAlign w:val="center"/>
          </w:tcPr>
          <w:p w:rsidR="004C74C2" w:rsidRPr="00B53423" w:rsidRDefault="002B3D6B"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11.99%</w:t>
            </w:r>
          </w:p>
        </w:tc>
        <w:tc>
          <w:tcPr>
            <w:tcW w:w="1440"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11.99%</w:t>
            </w:r>
          </w:p>
        </w:tc>
      </w:tr>
      <w:tr w:rsidR="004C74C2" w:rsidRPr="00B53423" w:rsidTr="009E14DD">
        <w:trPr>
          <w:trHeight w:val="285"/>
        </w:trPr>
        <w:tc>
          <w:tcPr>
            <w:tcW w:w="5196" w:type="dxa"/>
            <w:shd w:val="clear" w:color="auto" w:fill="auto"/>
            <w:vAlign w:val="center"/>
            <w:hideMark/>
          </w:tcPr>
          <w:p w:rsidR="004C74C2" w:rsidRPr="00B53423" w:rsidRDefault="004C74C2" w:rsidP="0015232B">
            <w:pPr>
              <w:spacing w:before="0" w:line="240" w:lineRule="auto"/>
              <w:jc w:val="left"/>
              <w:rPr>
                <w:rFonts w:cs="Calibri"/>
                <w:b/>
                <w:bCs/>
                <w:color w:val="000000"/>
                <w:lang w:val="en-IN" w:eastAsia="en-IN"/>
              </w:rPr>
            </w:pPr>
            <w:r w:rsidRPr="00B53423">
              <w:rPr>
                <w:rFonts w:cs="Calibri"/>
                <w:b/>
                <w:bCs/>
                <w:color w:val="000000"/>
                <w:lang w:val="en-IN" w:eastAsia="en-IN"/>
              </w:rPr>
              <w:t>Interest on long term loan</w:t>
            </w:r>
          </w:p>
        </w:tc>
        <w:tc>
          <w:tcPr>
            <w:tcW w:w="1530" w:type="dxa"/>
            <w:vAlign w:val="center"/>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0.50</w:t>
            </w:r>
          </w:p>
        </w:tc>
        <w:tc>
          <w:tcPr>
            <w:tcW w:w="1440"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0.00</w:t>
            </w:r>
          </w:p>
        </w:tc>
      </w:tr>
      <w:tr w:rsidR="004C74C2" w:rsidRPr="00B53423" w:rsidTr="009E14DD">
        <w:trPr>
          <w:trHeight w:val="285"/>
        </w:trPr>
        <w:tc>
          <w:tcPr>
            <w:tcW w:w="5196" w:type="dxa"/>
            <w:shd w:val="clear" w:color="auto" w:fill="auto"/>
            <w:vAlign w:val="center"/>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Interest Capitalisation Rate</w:t>
            </w:r>
          </w:p>
        </w:tc>
        <w:tc>
          <w:tcPr>
            <w:tcW w:w="1530" w:type="dxa"/>
            <w:vAlign w:val="center"/>
          </w:tcPr>
          <w:p w:rsidR="004C74C2" w:rsidRPr="00B53423" w:rsidRDefault="004C74C2" w:rsidP="0015232B">
            <w:pPr>
              <w:spacing w:before="0" w:line="240" w:lineRule="auto"/>
              <w:ind w:right="342"/>
              <w:jc w:val="right"/>
              <w:rPr>
                <w:rFonts w:asciiTheme="minorHAnsi" w:hAnsiTheme="minorHAnsi" w:cstheme="minorHAnsi"/>
                <w:bCs/>
                <w:color w:val="000000"/>
              </w:rPr>
            </w:pPr>
            <w:r w:rsidRPr="00B53423">
              <w:rPr>
                <w:rFonts w:asciiTheme="minorHAnsi" w:hAnsiTheme="minorHAnsi" w:cstheme="minorHAnsi"/>
                <w:bCs/>
                <w:color w:val="000000"/>
              </w:rPr>
              <w:t>23.00%</w:t>
            </w:r>
          </w:p>
        </w:tc>
        <w:tc>
          <w:tcPr>
            <w:tcW w:w="1440"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bCs/>
                <w:color w:val="000000"/>
              </w:rPr>
            </w:pPr>
            <w:r w:rsidRPr="00B53423">
              <w:rPr>
                <w:rFonts w:asciiTheme="minorHAnsi" w:hAnsiTheme="minorHAnsi" w:cstheme="minorHAnsi"/>
                <w:bCs/>
                <w:color w:val="000000"/>
              </w:rPr>
              <w:t>23.00%</w:t>
            </w:r>
          </w:p>
        </w:tc>
      </w:tr>
      <w:tr w:rsidR="004C74C2" w:rsidRPr="00B53423" w:rsidTr="009E14DD">
        <w:trPr>
          <w:trHeight w:val="285"/>
        </w:trPr>
        <w:tc>
          <w:tcPr>
            <w:tcW w:w="5196" w:type="dxa"/>
            <w:shd w:val="clear" w:color="auto" w:fill="auto"/>
            <w:vAlign w:val="center"/>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Less: Interest Capitalized</w:t>
            </w:r>
          </w:p>
        </w:tc>
        <w:tc>
          <w:tcPr>
            <w:tcW w:w="1530" w:type="dxa"/>
            <w:vAlign w:val="center"/>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0.11</w:t>
            </w:r>
          </w:p>
        </w:tc>
        <w:tc>
          <w:tcPr>
            <w:tcW w:w="1440" w:type="dxa"/>
            <w:shd w:val="clear" w:color="auto" w:fill="auto"/>
            <w:noWrap/>
            <w:vAlign w:val="center"/>
            <w:hideMark/>
          </w:tcPr>
          <w:p w:rsidR="00564993" w:rsidRPr="00B53423" w:rsidRDefault="004C74C2" w:rsidP="0015232B">
            <w:pPr>
              <w:spacing w:before="0" w:line="240" w:lineRule="auto"/>
              <w:ind w:right="252"/>
              <w:jc w:val="right"/>
              <w:rPr>
                <w:rFonts w:asciiTheme="minorHAnsi" w:hAnsiTheme="minorHAnsi" w:cstheme="minorHAnsi"/>
                <w:sz w:val="18"/>
                <w:szCs w:val="18"/>
              </w:rPr>
            </w:pPr>
            <w:r w:rsidRPr="00B53423">
              <w:rPr>
                <w:rFonts w:asciiTheme="minorHAnsi" w:hAnsiTheme="minorHAnsi" w:cstheme="minorHAnsi"/>
              </w:rPr>
              <w:t xml:space="preserve">        -   </w:t>
            </w:r>
          </w:p>
        </w:tc>
      </w:tr>
      <w:tr w:rsidR="004C74C2" w:rsidRPr="00B53423" w:rsidTr="009268E4">
        <w:trPr>
          <w:trHeight w:val="285"/>
        </w:trPr>
        <w:tc>
          <w:tcPr>
            <w:tcW w:w="5196" w:type="dxa"/>
            <w:shd w:val="clear" w:color="auto" w:fill="auto"/>
            <w:vAlign w:val="center"/>
            <w:hideMark/>
          </w:tcPr>
          <w:p w:rsidR="004C74C2" w:rsidRPr="00B53423" w:rsidRDefault="004C74C2" w:rsidP="0015232B">
            <w:pPr>
              <w:spacing w:before="0" w:line="240" w:lineRule="auto"/>
              <w:jc w:val="left"/>
              <w:rPr>
                <w:rFonts w:cs="Calibri"/>
                <w:b/>
                <w:bCs/>
                <w:color w:val="000000"/>
                <w:lang w:val="en-IN" w:eastAsia="en-IN"/>
              </w:rPr>
            </w:pPr>
            <w:r w:rsidRPr="00B53423">
              <w:rPr>
                <w:rFonts w:cs="Calibri"/>
                <w:b/>
                <w:bCs/>
                <w:color w:val="000000"/>
                <w:lang w:val="en-IN" w:eastAsia="en-IN"/>
              </w:rPr>
              <w:t>Net Interest Charged</w:t>
            </w:r>
          </w:p>
        </w:tc>
        <w:tc>
          <w:tcPr>
            <w:tcW w:w="1530" w:type="dxa"/>
          </w:tcPr>
          <w:p w:rsidR="004C74C2" w:rsidRPr="00B53423" w:rsidRDefault="004C74C2" w:rsidP="0015232B">
            <w:pPr>
              <w:spacing w:before="0" w:line="240" w:lineRule="auto"/>
              <w:ind w:right="342"/>
              <w:jc w:val="right"/>
              <w:rPr>
                <w:rFonts w:asciiTheme="minorHAnsi" w:hAnsiTheme="minorHAnsi" w:cstheme="minorHAnsi"/>
                <w:color w:val="000000"/>
              </w:rPr>
            </w:pPr>
            <w:r w:rsidRPr="00B53423">
              <w:rPr>
                <w:rFonts w:asciiTheme="minorHAnsi" w:hAnsiTheme="minorHAnsi" w:cstheme="minorHAnsi"/>
                <w:color w:val="000000"/>
              </w:rPr>
              <w:t>0.38</w:t>
            </w:r>
          </w:p>
        </w:tc>
        <w:tc>
          <w:tcPr>
            <w:tcW w:w="1440" w:type="dxa"/>
            <w:shd w:val="clear" w:color="auto" w:fill="auto"/>
            <w:noWrap/>
            <w:vAlign w:val="bottom"/>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0.00</w:t>
            </w:r>
          </w:p>
        </w:tc>
      </w:tr>
    </w:tbl>
    <w:p w:rsidR="004C74C2" w:rsidRPr="00B53423" w:rsidRDefault="004C74C2" w:rsidP="0015232B">
      <w:pPr>
        <w:tabs>
          <w:tab w:val="left" w:pos="360"/>
        </w:tabs>
        <w:spacing w:before="0"/>
        <w:jc w:val="center"/>
      </w:pPr>
    </w:p>
    <w:p w:rsidR="004C74C2" w:rsidRPr="00B53423" w:rsidRDefault="004C74C2" w:rsidP="0015232B">
      <w:pPr>
        <w:pStyle w:val="Heading3"/>
        <w:keepNext w:val="0"/>
        <w:numPr>
          <w:ilvl w:val="0"/>
          <w:numId w:val="0"/>
        </w:numPr>
        <w:ind w:left="720"/>
        <w:rPr>
          <w:b/>
        </w:rPr>
      </w:pPr>
    </w:p>
    <w:p w:rsidR="004C74C2" w:rsidRPr="00B53423" w:rsidRDefault="004C74C2" w:rsidP="0015232B">
      <w:pPr>
        <w:pStyle w:val="Heading3"/>
        <w:keepNext w:val="0"/>
        <w:numPr>
          <w:ilvl w:val="0"/>
          <w:numId w:val="0"/>
        </w:numPr>
        <w:tabs>
          <w:tab w:val="left" w:pos="720"/>
        </w:tabs>
        <w:ind w:left="720"/>
        <w:rPr>
          <w:b/>
        </w:rPr>
      </w:pPr>
      <w:r w:rsidRPr="00B53423">
        <w:rPr>
          <w:b/>
        </w:rPr>
        <w:t xml:space="preserve">Interest on Working Capital </w:t>
      </w:r>
    </w:p>
    <w:p w:rsidR="004C74C2" w:rsidRPr="00B53423" w:rsidRDefault="004C74C2" w:rsidP="0015232B">
      <w:pPr>
        <w:pStyle w:val="Heading3"/>
        <w:keepNext w:val="0"/>
        <w:numPr>
          <w:ilvl w:val="0"/>
          <w:numId w:val="0"/>
        </w:numPr>
        <w:ind w:left="720"/>
        <w:rPr>
          <w:b/>
        </w:rPr>
      </w:pPr>
    </w:p>
    <w:p w:rsidR="004C74C2" w:rsidRPr="00B53423" w:rsidRDefault="004C74C2" w:rsidP="0015232B">
      <w:pPr>
        <w:pStyle w:val="Heading3"/>
        <w:keepNext w:val="0"/>
        <w:ind w:hanging="1080"/>
      </w:pPr>
      <w:r w:rsidRPr="00B53423">
        <w:rPr>
          <w:rFonts w:cs="Calibri"/>
        </w:rPr>
        <w:t>The Petitioner submitted that the Distribution Tariff Regulations, 2006 provides for interest on the working capital requirement at the Bank rate as specified by the Reserve Bank of India as on 1</w:t>
      </w:r>
      <w:r w:rsidRPr="00B53423">
        <w:rPr>
          <w:rFonts w:cs="Calibri"/>
          <w:vertAlign w:val="superscript"/>
        </w:rPr>
        <w:t>st</w:t>
      </w:r>
      <w:r w:rsidRPr="00B53423">
        <w:rPr>
          <w:rFonts w:cs="Calibri"/>
        </w:rPr>
        <w:t xml:space="preserve"> April of the relevant year plus a margin as decided by the Commission. The Petitioner submitted that accordingly it has considered the interest rate on working capital requirement at 12.50% including margin, however, the actual rate of interest would be considered based on the Audited Accounts during the True-up process for the year in accordance with the Distribution Tariff Regulations, 2006.</w:t>
      </w:r>
    </w:p>
    <w:p w:rsidR="004C74C2" w:rsidRPr="00B53423" w:rsidRDefault="004C74C2" w:rsidP="0015232B">
      <w:pPr>
        <w:pStyle w:val="Heading4"/>
        <w:numPr>
          <w:ilvl w:val="0"/>
          <w:numId w:val="0"/>
        </w:numPr>
        <w:spacing w:before="0"/>
        <w:ind w:left="864"/>
      </w:pPr>
    </w:p>
    <w:p w:rsidR="004C74C2" w:rsidRPr="00B53423" w:rsidRDefault="004C74C2" w:rsidP="0015232B">
      <w:pPr>
        <w:pStyle w:val="Heading3"/>
        <w:keepNext w:val="0"/>
        <w:ind w:hanging="1080"/>
      </w:pPr>
      <w:r w:rsidRPr="00B53423">
        <w:t>Regulation 4.8.2 of the Distribution Tariff Regulations lays down the norms and methodology for calculating interest on working capital. Further, the Commission in its earlier Orders has clearly opined that although there is a situation of financial stress and liquidity crunch within the Petitioner company, however, the Distribution Licensee is eligible only for interest cost on account of normative working capital.  Further, it is observed that the collection efficiency of the Petitioner also needs improvement and by improving its collection efficiency and reduction in bad debts etc. the cash flows of the Petitioner can improve which will help it in managing its day to day working capital requirements. The Petitioner should understand that only by ensuring that its working capital needs are well looked after, it can focus on growth and development of its organisation.</w:t>
      </w:r>
    </w:p>
    <w:p w:rsidR="004C74C2" w:rsidRPr="00B53423" w:rsidRDefault="004C74C2" w:rsidP="0015232B">
      <w:pPr>
        <w:pStyle w:val="ListParagraph"/>
        <w:ind w:left="180"/>
      </w:pPr>
    </w:p>
    <w:p w:rsidR="004C74C2" w:rsidRPr="00B53423" w:rsidRDefault="004C74C2" w:rsidP="0015232B">
      <w:pPr>
        <w:pStyle w:val="Heading3"/>
        <w:keepNext w:val="0"/>
        <w:ind w:hanging="1080"/>
      </w:pPr>
      <w:r w:rsidRPr="00B53423">
        <w:t xml:space="preserve"> In view of the above the Commission has considered the interest on working capital at the rate of 12.50% as proposed by the Petitioner which includes the margin above the Bank Rate specified by the RBI and is in accordance in line with the provisions of the Distribution Tariff Regulations, 2006.</w:t>
      </w:r>
    </w:p>
    <w:p w:rsidR="004C74C2" w:rsidRPr="00B53423" w:rsidRDefault="004C74C2" w:rsidP="0015232B">
      <w:pPr>
        <w:pStyle w:val="Default"/>
        <w:jc w:val="both"/>
        <w:rPr>
          <w:color w:val="auto"/>
          <w:sz w:val="23"/>
          <w:szCs w:val="23"/>
        </w:rPr>
      </w:pPr>
    </w:p>
    <w:p w:rsidR="004C74C2" w:rsidRPr="00B53423" w:rsidRDefault="004C74C2" w:rsidP="0015232B">
      <w:pPr>
        <w:pStyle w:val="Heading3"/>
        <w:keepNext w:val="0"/>
        <w:ind w:hanging="1080"/>
      </w:pPr>
      <w:r w:rsidRPr="00B53423">
        <w:t>The interest on working capital as submitted by the Petitioner and that approved by the Commission for FY 2014-15 is given in the Table below:</w:t>
      </w:r>
    </w:p>
    <w:p w:rsidR="004C74C2" w:rsidRPr="00B53423" w:rsidRDefault="004C74C2" w:rsidP="0015232B">
      <w:pPr>
        <w:pStyle w:val="ListParagraph"/>
        <w:ind w:left="180"/>
      </w:pPr>
    </w:p>
    <w:p w:rsidR="004C74C2" w:rsidRPr="00B53423" w:rsidRDefault="004C74C2" w:rsidP="0015232B">
      <w:pPr>
        <w:pStyle w:val="Caption"/>
        <w:jc w:val="center"/>
      </w:pPr>
      <w:bookmarkStart w:id="694" w:name="_Ref325536209"/>
      <w:bookmarkStart w:id="695" w:name="_Toc338310715"/>
      <w:bookmarkStart w:id="696" w:name="_Toc338419545"/>
      <w:bookmarkStart w:id="697" w:name="_Toc357738743"/>
      <w:bookmarkStart w:id="698" w:name="_Toc399626430"/>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25</w:t>
      </w:r>
      <w:r w:rsidR="005D68E7" w:rsidRPr="00B53423">
        <w:fldChar w:fldCharType="end"/>
      </w:r>
      <w:bookmarkEnd w:id="694"/>
      <w:r w:rsidRPr="00B53423">
        <w:t>: INTEREST COST ON WORKING CAPITAL LOANS FOR FY 2014-15 (Rs. Crore)</w:t>
      </w:r>
      <w:bookmarkEnd w:id="695"/>
      <w:bookmarkEnd w:id="696"/>
      <w:bookmarkEnd w:id="697"/>
      <w:bookmarkEnd w:id="698"/>
    </w:p>
    <w:tbl>
      <w:tblPr>
        <w:tblW w:w="0" w:type="auto"/>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940"/>
        <w:gridCol w:w="1620"/>
        <w:gridCol w:w="1350"/>
      </w:tblGrid>
      <w:tr w:rsidR="004C74C2" w:rsidRPr="00B53423" w:rsidTr="009268E4">
        <w:trPr>
          <w:trHeight w:val="20"/>
          <w:tblHeader/>
        </w:trPr>
        <w:tc>
          <w:tcPr>
            <w:tcW w:w="5940" w:type="dxa"/>
            <w:shd w:val="clear" w:color="000000" w:fill="DBE5F1"/>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Particulars</w:t>
            </w:r>
          </w:p>
        </w:tc>
        <w:tc>
          <w:tcPr>
            <w:tcW w:w="1620" w:type="dxa"/>
            <w:shd w:val="clear" w:color="000000" w:fill="DBE5F1"/>
            <w:vAlign w:val="center"/>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ARR Petition</w:t>
            </w:r>
          </w:p>
        </w:tc>
        <w:tc>
          <w:tcPr>
            <w:tcW w:w="1350" w:type="dxa"/>
            <w:shd w:val="clear" w:color="000000" w:fill="DBE5F1"/>
            <w:vAlign w:val="center"/>
            <w:hideMark/>
          </w:tcPr>
          <w:p w:rsidR="004C74C2" w:rsidRPr="00B53423" w:rsidRDefault="004C74C2" w:rsidP="0015232B">
            <w:pPr>
              <w:spacing w:before="0" w:line="240" w:lineRule="auto"/>
              <w:jc w:val="center"/>
              <w:rPr>
                <w:rFonts w:cs="Calibri"/>
                <w:b/>
                <w:bCs/>
                <w:color w:val="000000"/>
                <w:kern w:val="32"/>
                <w:lang w:val="en-IN" w:eastAsia="en-IN"/>
              </w:rPr>
            </w:pPr>
            <w:r w:rsidRPr="00B53423">
              <w:rPr>
                <w:rFonts w:cs="Calibri"/>
                <w:b/>
                <w:bCs/>
                <w:color w:val="000000"/>
                <w:lang w:val="en-IN" w:eastAsia="en-IN"/>
              </w:rPr>
              <w:t>Approved</w:t>
            </w:r>
          </w:p>
        </w:tc>
      </w:tr>
      <w:tr w:rsidR="004C74C2" w:rsidRPr="00B53423" w:rsidTr="009268E4">
        <w:trPr>
          <w:trHeight w:val="20"/>
        </w:trPr>
        <w:tc>
          <w:tcPr>
            <w:tcW w:w="5940" w:type="dxa"/>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 xml:space="preserve">One month's O&amp;M  Expenses </w:t>
            </w:r>
          </w:p>
        </w:tc>
        <w:tc>
          <w:tcPr>
            <w:tcW w:w="1620" w:type="dxa"/>
            <w:vAlign w:val="center"/>
          </w:tcPr>
          <w:p w:rsidR="004C74C2" w:rsidRPr="00B53423" w:rsidRDefault="004C74C2" w:rsidP="0015232B">
            <w:pPr>
              <w:spacing w:before="0" w:line="240" w:lineRule="auto"/>
              <w:ind w:right="432"/>
              <w:jc w:val="right"/>
              <w:rPr>
                <w:rFonts w:asciiTheme="minorHAnsi" w:hAnsiTheme="minorHAnsi" w:cstheme="minorHAnsi"/>
              </w:rPr>
            </w:pPr>
            <w:r w:rsidRPr="00B53423">
              <w:rPr>
                <w:rFonts w:asciiTheme="minorHAnsi" w:hAnsiTheme="minorHAnsi" w:cstheme="minorHAnsi"/>
              </w:rPr>
              <w:t xml:space="preserve"> 13.23 </w:t>
            </w:r>
          </w:p>
        </w:tc>
        <w:tc>
          <w:tcPr>
            <w:tcW w:w="1350"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 xml:space="preserve">     13.23 </w:t>
            </w:r>
          </w:p>
        </w:tc>
      </w:tr>
      <w:tr w:rsidR="004C74C2" w:rsidRPr="00B53423" w:rsidTr="009268E4">
        <w:trPr>
          <w:trHeight w:val="20"/>
        </w:trPr>
        <w:tc>
          <w:tcPr>
            <w:tcW w:w="5940" w:type="dxa"/>
            <w:shd w:val="clear" w:color="auto" w:fill="auto"/>
            <w:hideMark/>
          </w:tcPr>
          <w:p w:rsidR="004C74C2" w:rsidRPr="00B53423" w:rsidRDefault="004C74C2" w:rsidP="0015232B">
            <w:pPr>
              <w:spacing w:before="0" w:line="240" w:lineRule="auto"/>
              <w:rPr>
                <w:rFonts w:cs="Calibri"/>
                <w:lang w:val="en-IN" w:eastAsia="en-IN"/>
              </w:rPr>
            </w:pPr>
            <w:r w:rsidRPr="00B53423">
              <w:rPr>
                <w:rFonts w:cs="Calibri"/>
                <w:lang w:val="en-IN" w:eastAsia="en-IN"/>
              </w:rPr>
              <w:t>One-twelfth of the sum of the book value of materials in stores at the end of each month of such financial year.</w:t>
            </w:r>
          </w:p>
        </w:tc>
        <w:tc>
          <w:tcPr>
            <w:tcW w:w="1620" w:type="dxa"/>
            <w:vAlign w:val="center"/>
          </w:tcPr>
          <w:p w:rsidR="004C74C2" w:rsidRPr="00B53423" w:rsidRDefault="004C74C2" w:rsidP="0015232B">
            <w:pPr>
              <w:spacing w:before="0" w:line="240" w:lineRule="auto"/>
              <w:ind w:right="432"/>
              <w:jc w:val="right"/>
              <w:rPr>
                <w:rFonts w:asciiTheme="minorHAnsi" w:hAnsiTheme="minorHAnsi" w:cstheme="minorHAnsi"/>
              </w:rPr>
            </w:pPr>
            <w:r w:rsidRPr="00B53423">
              <w:rPr>
                <w:rFonts w:asciiTheme="minorHAnsi" w:hAnsiTheme="minorHAnsi" w:cstheme="minorHAnsi"/>
              </w:rPr>
              <w:t xml:space="preserve">   0.59 </w:t>
            </w:r>
          </w:p>
        </w:tc>
        <w:tc>
          <w:tcPr>
            <w:tcW w:w="1350"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 xml:space="preserve">        0.59 </w:t>
            </w:r>
          </w:p>
        </w:tc>
      </w:tr>
      <w:tr w:rsidR="00AE3D88" w:rsidRPr="00B53423" w:rsidTr="009268E4">
        <w:trPr>
          <w:trHeight w:val="20"/>
        </w:trPr>
        <w:tc>
          <w:tcPr>
            <w:tcW w:w="5940" w:type="dxa"/>
            <w:shd w:val="clear" w:color="auto" w:fill="auto"/>
            <w:hideMark/>
          </w:tcPr>
          <w:p w:rsidR="00AE3D88" w:rsidRPr="00B53423" w:rsidRDefault="00AE3D88" w:rsidP="0015232B">
            <w:pPr>
              <w:spacing w:before="0" w:line="240" w:lineRule="auto"/>
              <w:rPr>
                <w:rFonts w:cs="Calibri"/>
                <w:lang w:val="en-IN" w:eastAsia="en-IN"/>
              </w:rPr>
            </w:pPr>
            <w:r w:rsidRPr="00B53423">
              <w:rPr>
                <w:rFonts w:cs="Calibri"/>
                <w:lang w:val="en-IN" w:eastAsia="en-IN"/>
              </w:rPr>
              <w:t>Receivables equivalent to 60 days average billing on consumers</w:t>
            </w:r>
          </w:p>
        </w:tc>
        <w:tc>
          <w:tcPr>
            <w:tcW w:w="1620" w:type="dxa"/>
            <w:vAlign w:val="center"/>
          </w:tcPr>
          <w:p w:rsidR="00AE3D88" w:rsidRPr="00B53423" w:rsidRDefault="00AE3D88" w:rsidP="0015232B">
            <w:pPr>
              <w:spacing w:before="0" w:line="240" w:lineRule="auto"/>
              <w:ind w:right="432"/>
              <w:jc w:val="right"/>
              <w:rPr>
                <w:rFonts w:asciiTheme="minorHAnsi" w:hAnsiTheme="minorHAnsi" w:cstheme="minorHAnsi"/>
              </w:rPr>
            </w:pPr>
            <w:r w:rsidRPr="00B53423">
              <w:rPr>
                <w:rFonts w:asciiTheme="minorHAnsi" w:hAnsiTheme="minorHAnsi" w:cstheme="minorHAnsi"/>
              </w:rPr>
              <w:t xml:space="preserve">    264.80 </w:t>
            </w:r>
          </w:p>
        </w:tc>
        <w:tc>
          <w:tcPr>
            <w:tcW w:w="1350" w:type="dxa"/>
            <w:shd w:val="clear" w:color="auto" w:fill="auto"/>
            <w:noWrap/>
            <w:vAlign w:val="center"/>
            <w:hideMark/>
          </w:tcPr>
          <w:p w:rsidR="00AE3D88" w:rsidRPr="00B53423" w:rsidRDefault="00AE3D88" w:rsidP="0015232B">
            <w:pPr>
              <w:jc w:val="right"/>
              <w:rPr>
                <w:rFonts w:asciiTheme="minorHAnsi" w:hAnsiTheme="minorHAnsi" w:cstheme="minorHAnsi"/>
              </w:rPr>
            </w:pPr>
            <w:r w:rsidRPr="00B53423">
              <w:rPr>
                <w:rFonts w:asciiTheme="minorHAnsi" w:hAnsiTheme="minorHAnsi" w:cstheme="minorHAnsi"/>
              </w:rPr>
              <w:t xml:space="preserve"> 25</w:t>
            </w:r>
            <w:r w:rsidR="009E14DD" w:rsidRPr="00B53423">
              <w:rPr>
                <w:rFonts w:asciiTheme="minorHAnsi" w:hAnsiTheme="minorHAnsi" w:cstheme="minorHAnsi"/>
              </w:rPr>
              <w:t>8.71</w:t>
            </w:r>
            <w:r w:rsidRPr="00B53423">
              <w:rPr>
                <w:rFonts w:asciiTheme="minorHAnsi" w:hAnsiTheme="minorHAnsi" w:cstheme="minorHAnsi"/>
              </w:rPr>
              <w:t xml:space="preserve"> </w:t>
            </w:r>
          </w:p>
        </w:tc>
      </w:tr>
      <w:tr w:rsidR="00AE3D88" w:rsidRPr="00B53423" w:rsidTr="009268E4">
        <w:trPr>
          <w:trHeight w:val="242"/>
        </w:trPr>
        <w:tc>
          <w:tcPr>
            <w:tcW w:w="5940" w:type="dxa"/>
            <w:shd w:val="clear" w:color="auto" w:fill="auto"/>
            <w:hideMark/>
          </w:tcPr>
          <w:p w:rsidR="00AE3D88" w:rsidRPr="00B53423" w:rsidRDefault="00AE3D88" w:rsidP="0015232B">
            <w:pPr>
              <w:spacing w:before="0" w:line="240" w:lineRule="auto"/>
              <w:rPr>
                <w:rFonts w:cs="Calibri"/>
                <w:b/>
                <w:bCs/>
                <w:lang w:val="en-IN" w:eastAsia="en-IN"/>
              </w:rPr>
            </w:pPr>
            <w:r w:rsidRPr="00B53423">
              <w:rPr>
                <w:rFonts w:cs="Calibri"/>
                <w:b/>
                <w:bCs/>
                <w:lang w:val="en-IN" w:eastAsia="en-IN"/>
              </w:rPr>
              <w:t>Gross Total</w:t>
            </w:r>
          </w:p>
        </w:tc>
        <w:tc>
          <w:tcPr>
            <w:tcW w:w="1620" w:type="dxa"/>
            <w:vAlign w:val="center"/>
          </w:tcPr>
          <w:p w:rsidR="00AE3D88" w:rsidRPr="00B53423" w:rsidRDefault="00AE3D88" w:rsidP="0015232B">
            <w:pPr>
              <w:spacing w:before="0" w:line="240" w:lineRule="auto"/>
              <w:ind w:right="432"/>
              <w:jc w:val="right"/>
              <w:rPr>
                <w:rFonts w:asciiTheme="minorHAnsi" w:hAnsiTheme="minorHAnsi" w:cstheme="minorHAnsi"/>
                <w:b/>
              </w:rPr>
            </w:pPr>
            <w:r w:rsidRPr="00B53423">
              <w:rPr>
                <w:rFonts w:asciiTheme="minorHAnsi" w:hAnsiTheme="minorHAnsi" w:cstheme="minorHAnsi"/>
                <w:b/>
              </w:rPr>
              <w:t xml:space="preserve"> 278.63 </w:t>
            </w:r>
          </w:p>
        </w:tc>
        <w:tc>
          <w:tcPr>
            <w:tcW w:w="1350" w:type="dxa"/>
            <w:shd w:val="clear" w:color="auto" w:fill="auto"/>
            <w:noWrap/>
            <w:vAlign w:val="center"/>
            <w:hideMark/>
          </w:tcPr>
          <w:p w:rsidR="00AE3D88" w:rsidRPr="00B53423" w:rsidRDefault="00AE3D88" w:rsidP="0015232B">
            <w:pPr>
              <w:jc w:val="right"/>
              <w:rPr>
                <w:rFonts w:asciiTheme="minorHAnsi" w:hAnsiTheme="minorHAnsi" w:cstheme="minorHAnsi"/>
                <w:b/>
                <w:bCs/>
                <w:color w:val="000000"/>
              </w:rPr>
            </w:pPr>
            <w:r w:rsidRPr="00B53423">
              <w:rPr>
                <w:rFonts w:asciiTheme="minorHAnsi" w:hAnsiTheme="minorHAnsi" w:cstheme="minorHAnsi"/>
                <w:b/>
                <w:bCs/>
                <w:color w:val="000000"/>
              </w:rPr>
              <w:t xml:space="preserve">  2</w:t>
            </w:r>
            <w:r w:rsidR="009E14DD" w:rsidRPr="00B53423">
              <w:rPr>
                <w:rFonts w:asciiTheme="minorHAnsi" w:hAnsiTheme="minorHAnsi" w:cstheme="minorHAnsi"/>
                <w:b/>
                <w:bCs/>
                <w:color w:val="000000"/>
              </w:rPr>
              <w:t>72.00</w:t>
            </w:r>
            <w:r w:rsidRPr="00B53423">
              <w:rPr>
                <w:rFonts w:asciiTheme="minorHAnsi" w:hAnsiTheme="minorHAnsi" w:cstheme="minorHAnsi"/>
                <w:b/>
                <w:bCs/>
                <w:color w:val="000000"/>
              </w:rPr>
              <w:t xml:space="preserve"> </w:t>
            </w:r>
          </w:p>
        </w:tc>
      </w:tr>
      <w:tr w:rsidR="004C74C2" w:rsidRPr="00B53423" w:rsidTr="009268E4">
        <w:trPr>
          <w:trHeight w:val="20"/>
        </w:trPr>
        <w:tc>
          <w:tcPr>
            <w:tcW w:w="5940" w:type="dxa"/>
            <w:shd w:val="clear" w:color="auto" w:fill="auto"/>
            <w:noWrap/>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 </w:t>
            </w:r>
          </w:p>
        </w:tc>
        <w:tc>
          <w:tcPr>
            <w:tcW w:w="1620" w:type="dxa"/>
            <w:vAlign w:val="center"/>
          </w:tcPr>
          <w:p w:rsidR="004C74C2" w:rsidRPr="00B53423" w:rsidRDefault="004C74C2" w:rsidP="0015232B">
            <w:pPr>
              <w:spacing w:before="0" w:line="240" w:lineRule="auto"/>
              <w:ind w:right="432"/>
              <w:jc w:val="right"/>
              <w:rPr>
                <w:rFonts w:asciiTheme="minorHAnsi" w:hAnsiTheme="minorHAnsi" w:cstheme="minorHAnsi"/>
              </w:rPr>
            </w:pPr>
          </w:p>
        </w:tc>
        <w:tc>
          <w:tcPr>
            <w:tcW w:w="1350"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p>
        </w:tc>
      </w:tr>
      <w:tr w:rsidR="00AE3D88" w:rsidRPr="00B53423" w:rsidTr="009268E4">
        <w:trPr>
          <w:trHeight w:val="20"/>
        </w:trPr>
        <w:tc>
          <w:tcPr>
            <w:tcW w:w="5940" w:type="dxa"/>
            <w:shd w:val="clear" w:color="auto" w:fill="auto"/>
            <w:hideMark/>
          </w:tcPr>
          <w:p w:rsidR="00AE3D88" w:rsidRPr="00B53423" w:rsidRDefault="00AE3D88" w:rsidP="0015232B">
            <w:pPr>
              <w:spacing w:before="0" w:line="240" w:lineRule="auto"/>
              <w:rPr>
                <w:rFonts w:cs="Calibri"/>
                <w:lang w:val="en-IN" w:eastAsia="en-IN"/>
              </w:rPr>
            </w:pPr>
            <w:r w:rsidRPr="00B53423">
              <w:rPr>
                <w:rFonts w:cs="Calibri"/>
                <w:lang w:val="en-IN" w:eastAsia="en-IN"/>
              </w:rPr>
              <w:t>Less: Total Security Deposits by the Consumers reduced by Security Deposits under section 47(1)(b) of the Electricity Act 2003</w:t>
            </w:r>
          </w:p>
        </w:tc>
        <w:tc>
          <w:tcPr>
            <w:tcW w:w="1620" w:type="dxa"/>
            <w:vAlign w:val="center"/>
          </w:tcPr>
          <w:p w:rsidR="00AE3D88" w:rsidRPr="00B53423" w:rsidRDefault="00AE3D88" w:rsidP="0015232B">
            <w:pPr>
              <w:spacing w:before="0" w:line="240" w:lineRule="auto"/>
              <w:ind w:right="432"/>
              <w:jc w:val="right"/>
              <w:rPr>
                <w:rFonts w:asciiTheme="minorHAnsi" w:hAnsiTheme="minorHAnsi" w:cstheme="minorHAnsi"/>
              </w:rPr>
            </w:pPr>
            <w:r w:rsidRPr="00B53423">
              <w:rPr>
                <w:rFonts w:asciiTheme="minorHAnsi" w:hAnsiTheme="minorHAnsi" w:cstheme="minorHAnsi"/>
              </w:rPr>
              <w:t xml:space="preserve">   101.14 </w:t>
            </w:r>
          </w:p>
        </w:tc>
        <w:tc>
          <w:tcPr>
            <w:tcW w:w="1350" w:type="dxa"/>
            <w:shd w:val="clear" w:color="auto" w:fill="auto"/>
            <w:noWrap/>
            <w:vAlign w:val="center"/>
            <w:hideMark/>
          </w:tcPr>
          <w:p w:rsidR="00AE3D88" w:rsidRPr="00B53423" w:rsidRDefault="00AE3D88" w:rsidP="0015232B">
            <w:pPr>
              <w:jc w:val="right"/>
              <w:rPr>
                <w:rFonts w:asciiTheme="minorHAnsi" w:hAnsiTheme="minorHAnsi" w:cstheme="minorHAnsi"/>
              </w:rPr>
            </w:pPr>
            <w:r w:rsidRPr="00B53423">
              <w:rPr>
                <w:rFonts w:asciiTheme="minorHAnsi" w:hAnsiTheme="minorHAnsi" w:cstheme="minorHAnsi"/>
              </w:rPr>
              <w:t xml:space="preserve">101.14 </w:t>
            </w:r>
          </w:p>
        </w:tc>
      </w:tr>
      <w:tr w:rsidR="00AE3D88" w:rsidRPr="00B53423" w:rsidTr="009268E4">
        <w:trPr>
          <w:trHeight w:val="20"/>
        </w:trPr>
        <w:tc>
          <w:tcPr>
            <w:tcW w:w="5940" w:type="dxa"/>
            <w:shd w:val="clear" w:color="auto" w:fill="auto"/>
            <w:hideMark/>
          </w:tcPr>
          <w:p w:rsidR="00AE3D88" w:rsidRPr="00B53423" w:rsidRDefault="00AE3D88" w:rsidP="0015232B">
            <w:pPr>
              <w:spacing w:before="0" w:line="240" w:lineRule="auto"/>
              <w:rPr>
                <w:rFonts w:cs="Calibri"/>
                <w:b/>
                <w:bCs/>
                <w:lang w:val="en-IN" w:eastAsia="en-IN"/>
              </w:rPr>
            </w:pPr>
            <w:r w:rsidRPr="00B53423">
              <w:rPr>
                <w:rFonts w:cs="Calibri"/>
                <w:b/>
                <w:bCs/>
                <w:lang w:val="en-IN" w:eastAsia="en-IN"/>
              </w:rPr>
              <w:t>Net Working Capital</w:t>
            </w:r>
          </w:p>
        </w:tc>
        <w:tc>
          <w:tcPr>
            <w:tcW w:w="1620" w:type="dxa"/>
            <w:vAlign w:val="center"/>
          </w:tcPr>
          <w:p w:rsidR="00AE3D88" w:rsidRPr="00B53423" w:rsidRDefault="00AE3D88" w:rsidP="0015232B">
            <w:pPr>
              <w:spacing w:before="0" w:line="240" w:lineRule="auto"/>
              <w:ind w:right="432"/>
              <w:jc w:val="right"/>
              <w:rPr>
                <w:rFonts w:asciiTheme="minorHAnsi" w:hAnsiTheme="minorHAnsi" w:cstheme="minorHAnsi"/>
                <w:b/>
              </w:rPr>
            </w:pPr>
            <w:r w:rsidRPr="00B53423">
              <w:rPr>
                <w:rFonts w:asciiTheme="minorHAnsi" w:hAnsiTheme="minorHAnsi" w:cstheme="minorHAnsi"/>
                <w:b/>
              </w:rPr>
              <w:t xml:space="preserve">  177.49 </w:t>
            </w:r>
          </w:p>
        </w:tc>
        <w:tc>
          <w:tcPr>
            <w:tcW w:w="1350" w:type="dxa"/>
            <w:shd w:val="clear" w:color="auto" w:fill="auto"/>
            <w:noWrap/>
            <w:vAlign w:val="center"/>
            <w:hideMark/>
          </w:tcPr>
          <w:p w:rsidR="00AE3D88" w:rsidRPr="00B53423" w:rsidRDefault="00AE3D88" w:rsidP="0015232B">
            <w:pPr>
              <w:jc w:val="right"/>
              <w:rPr>
                <w:rFonts w:asciiTheme="minorHAnsi" w:hAnsiTheme="minorHAnsi" w:cstheme="minorHAnsi"/>
                <w:b/>
                <w:bCs/>
                <w:color w:val="000000"/>
              </w:rPr>
            </w:pPr>
            <w:r w:rsidRPr="00B53423">
              <w:rPr>
                <w:rFonts w:asciiTheme="minorHAnsi" w:hAnsiTheme="minorHAnsi" w:cstheme="minorHAnsi"/>
                <w:b/>
                <w:bCs/>
                <w:color w:val="000000"/>
              </w:rPr>
              <w:t xml:space="preserve">  1</w:t>
            </w:r>
            <w:r w:rsidR="009E14DD" w:rsidRPr="00B53423">
              <w:rPr>
                <w:rFonts w:asciiTheme="minorHAnsi" w:hAnsiTheme="minorHAnsi" w:cstheme="minorHAnsi"/>
                <w:b/>
                <w:bCs/>
                <w:color w:val="000000"/>
              </w:rPr>
              <w:t>70.85</w:t>
            </w:r>
            <w:r w:rsidRPr="00B53423">
              <w:rPr>
                <w:rFonts w:asciiTheme="minorHAnsi" w:hAnsiTheme="minorHAnsi" w:cstheme="minorHAnsi"/>
                <w:b/>
                <w:bCs/>
                <w:color w:val="000000"/>
              </w:rPr>
              <w:t xml:space="preserve"> </w:t>
            </w:r>
          </w:p>
        </w:tc>
      </w:tr>
      <w:tr w:rsidR="00AE3D88" w:rsidRPr="00B53423" w:rsidTr="009268E4">
        <w:trPr>
          <w:trHeight w:val="20"/>
        </w:trPr>
        <w:tc>
          <w:tcPr>
            <w:tcW w:w="5940" w:type="dxa"/>
            <w:shd w:val="clear" w:color="auto" w:fill="auto"/>
            <w:hideMark/>
          </w:tcPr>
          <w:p w:rsidR="00AE3D88" w:rsidRPr="00B53423" w:rsidRDefault="00AE3D88" w:rsidP="0015232B">
            <w:pPr>
              <w:spacing w:before="0" w:line="240" w:lineRule="auto"/>
              <w:rPr>
                <w:rFonts w:cs="Calibri"/>
                <w:lang w:val="en-IN" w:eastAsia="en-IN"/>
              </w:rPr>
            </w:pPr>
            <w:r w:rsidRPr="00B53423">
              <w:rPr>
                <w:rFonts w:cs="Calibri"/>
                <w:lang w:val="en-IN" w:eastAsia="en-IN"/>
              </w:rPr>
              <w:t>Rate of Interest for Working Capital</w:t>
            </w:r>
          </w:p>
        </w:tc>
        <w:tc>
          <w:tcPr>
            <w:tcW w:w="1620" w:type="dxa"/>
            <w:vAlign w:val="center"/>
          </w:tcPr>
          <w:p w:rsidR="00AE3D88" w:rsidRPr="00B53423" w:rsidRDefault="00AE3D88" w:rsidP="0015232B">
            <w:pPr>
              <w:spacing w:before="0" w:line="240" w:lineRule="auto"/>
              <w:ind w:right="432"/>
              <w:jc w:val="right"/>
              <w:rPr>
                <w:rFonts w:asciiTheme="minorHAnsi" w:hAnsiTheme="minorHAnsi" w:cstheme="minorHAnsi"/>
              </w:rPr>
            </w:pPr>
            <w:r w:rsidRPr="00B53423">
              <w:rPr>
                <w:rFonts w:asciiTheme="minorHAnsi" w:hAnsiTheme="minorHAnsi" w:cstheme="minorHAnsi"/>
              </w:rPr>
              <w:t>12.50%</w:t>
            </w:r>
          </w:p>
        </w:tc>
        <w:tc>
          <w:tcPr>
            <w:tcW w:w="1350" w:type="dxa"/>
            <w:shd w:val="clear" w:color="auto" w:fill="auto"/>
            <w:noWrap/>
            <w:vAlign w:val="center"/>
            <w:hideMark/>
          </w:tcPr>
          <w:p w:rsidR="00AE3D88" w:rsidRPr="00B53423" w:rsidRDefault="00AE3D88" w:rsidP="0015232B">
            <w:pPr>
              <w:jc w:val="right"/>
              <w:rPr>
                <w:rFonts w:asciiTheme="minorHAnsi" w:hAnsiTheme="minorHAnsi" w:cstheme="minorHAnsi"/>
              </w:rPr>
            </w:pPr>
            <w:r w:rsidRPr="00B53423">
              <w:rPr>
                <w:rFonts w:asciiTheme="minorHAnsi" w:hAnsiTheme="minorHAnsi" w:cstheme="minorHAnsi"/>
              </w:rPr>
              <w:t>12.50%</w:t>
            </w:r>
          </w:p>
        </w:tc>
      </w:tr>
      <w:tr w:rsidR="00AE3D88" w:rsidRPr="00B53423" w:rsidTr="009268E4">
        <w:trPr>
          <w:trHeight w:val="20"/>
        </w:trPr>
        <w:tc>
          <w:tcPr>
            <w:tcW w:w="5940" w:type="dxa"/>
            <w:shd w:val="clear" w:color="auto" w:fill="auto"/>
            <w:hideMark/>
          </w:tcPr>
          <w:p w:rsidR="00AE3D88" w:rsidRPr="00B53423" w:rsidRDefault="00AE3D88" w:rsidP="0015232B">
            <w:pPr>
              <w:spacing w:before="0" w:line="240" w:lineRule="auto"/>
              <w:rPr>
                <w:rFonts w:cs="Calibri"/>
                <w:b/>
                <w:bCs/>
                <w:lang w:val="en-IN" w:eastAsia="en-IN"/>
              </w:rPr>
            </w:pPr>
            <w:r w:rsidRPr="00B53423">
              <w:rPr>
                <w:rFonts w:cs="Calibri"/>
                <w:b/>
                <w:bCs/>
                <w:lang w:val="en-IN" w:eastAsia="en-IN"/>
              </w:rPr>
              <w:t>Interest on Working Capital</w:t>
            </w:r>
          </w:p>
        </w:tc>
        <w:tc>
          <w:tcPr>
            <w:tcW w:w="1620" w:type="dxa"/>
            <w:vAlign w:val="center"/>
          </w:tcPr>
          <w:p w:rsidR="00AE3D88" w:rsidRPr="00B53423" w:rsidRDefault="00AE3D88" w:rsidP="0015232B">
            <w:pPr>
              <w:spacing w:before="0" w:line="240" w:lineRule="auto"/>
              <w:ind w:right="432"/>
              <w:jc w:val="right"/>
              <w:rPr>
                <w:rFonts w:asciiTheme="minorHAnsi" w:hAnsiTheme="minorHAnsi" w:cstheme="minorHAnsi"/>
                <w:b/>
              </w:rPr>
            </w:pPr>
            <w:r w:rsidRPr="00B53423">
              <w:rPr>
                <w:rFonts w:asciiTheme="minorHAnsi" w:hAnsiTheme="minorHAnsi" w:cstheme="minorHAnsi"/>
                <w:b/>
              </w:rPr>
              <w:t xml:space="preserve">  22.19 </w:t>
            </w:r>
          </w:p>
        </w:tc>
        <w:tc>
          <w:tcPr>
            <w:tcW w:w="1350" w:type="dxa"/>
            <w:shd w:val="clear" w:color="auto" w:fill="auto"/>
            <w:noWrap/>
            <w:vAlign w:val="center"/>
            <w:hideMark/>
          </w:tcPr>
          <w:p w:rsidR="00AE3D88" w:rsidRPr="00B53423" w:rsidRDefault="00AE3D88" w:rsidP="0015232B">
            <w:pPr>
              <w:jc w:val="right"/>
              <w:rPr>
                <w:rFonts w:asciiTheme="minorHAnsi" w:hAnsiTheme="minorHAnsi" w:cstheme="minorHAnsi"/>
                <w:b/>
                <w:bCs/>
                <w:color w:val="000000"/>
              </w:rPr>
            </w:pPr>
            <w:r w:rsidRPr="00B53423">
              <w:rPr>
                <w:rFonts w:asciiTheme="minorHAnsi" w:hAnsiTheme="minorHAnsi" w:cstheme="minorHAnsi"/>
                <w:b/>
                <w:bCs/>
                <w:color w:val="000000"/>
              </w:rPr>
              <w:t xml:space="preserve">  2</w:t>
            </w:r>
            <w:r w:rsidR="009E14DD" w:rsidRPr="00B53423">
              <w:rPr>
                <w:rFonts w:asciiTheme="minorHAnsi" w:hAnsiTheme="minorHAnsi" w:cstheme="minorHAnsi"/>
                <w:b/>
                <w:bCs/>
                <w:color w:val="000000"/>
              </w:rPr>
              <w:t>1.36</w:t>
            </w:r>
            <w:r w:rsidRPr="00B53423">
              <w:rPr>
                <w:rFonts w:asciiTheme="minorHAnsi" w:hAnsiTheme="minorHAnsi" w:cstheme="minorHAnsi"/>
                <w:b/>
                <w:bCs/>
                <w:color w:val="000000"/>
              </w:rPr>
              <w:t xml:space="preserve"> </w:t>
            </w:r>
          </w:p>
        </w:tc>
      </w:tr>
    </w:tbl>
    <w:p w:rsidR="004C74C2" w:rsidRPr="00B53423" w:rsidRDefault="004C74C2" w:rsidP="0015232B">
      <w:pPr>
        <w:pStyle w:val="Default"/>
        <w:jc w:val="center"/>
        <w:rPr>
          <w:rFonts w:cs="Times New Roman"/>
          <w:color w:val="auto"/>
          <w:lang w:val="en-GB"/>
        </w:rPr>
      </w:pPr>
      <w:r w:rsidRPr="00B53423" w:rsidDel="00111C2D">
        <w:t xml:space="preserve"> </w:t>
      </w:r>
    </w:p>
    <w:p w:rsidR="004C74C2" w:rsidRPr="00B53423" w:rsidRDefault="004C74C2" w:rsidP="0015232B">
      <w:pPr>
        <w:pStyle w:val="Heading4"/>
        <w:numPr>
          <w:ilvl w:val="0"/>
          <w:numId w:val="0"/>
        </w:numPr>
        <w:spacing w:before="0"/>
      </w:pPr>
    </w:p>
    <w:p w:rsidR="004C74C2" w:rsidRPr="00B53423" w:rsidRDefault="004C74C2" w:rsidP="0015232B">
      <w:pPr>
        <w:pStyle w:val="Heading3"/>
        <w:keepNext w:val="0"/>
        <w:numPr>
          <w:ilvl w:val="0"/>
          <w:numId w:val="0"/>
        </w:numPr>
        <w:tabs>
          <w:tab w:val="left" w:pos="720"/>
        </w:tabs>
        <w:ind w:left="720"/>
        <w:rPr>
          <w:b/>
        </w:rPr>
      </w:pPr>
      <w:r w:rsidRPr="00B53423">
        <w:rPr>
          <w:b/>
        </w:rPr>
        <w:t>Interest on Consumer Security Deposits</w:t>
      </w:r>
    </w:p>
    <w:p w:rsidR="004C74C2" w:rsidRPr="00B53423" w:rsidRDefault="004C74C2" w:rsidP="0015232B">
      <w:pPr>
        <w:pStyle w:val="Heading3"/>
        <w:keepNext w:val="0"/>
        <w:numPr>
          <w:ilvl w:val="0"/>
          <w:numId w:val="0"/>
        </w:numPr>
        <w:ind w:left="720"/>
        <w:rPr>
          <w:b/>
        </w:rPr>
      </w:pPr>
    </w:p>
    <w:p w:rsidR="004C74C2" w:rsidRPr="00B53423" w:rsidRDefault="004C74C2" w:rsidP="0015232B">
      <w:pPr>
        <w:pStyle w:val="Heading3"/>
        <w:keepNext w:val="0"/>
        <w:ind w:hanging="1080"/>
      </w:pPr>
      <w:r w:rsidRPr="00B53423">
        <w:t xml:space="preserve">The Petitioner submitted that as per Regulation 4.8(3) of the Distribution Tariff Regulation, 2006 the Licensee has to pay interest to the consumers at Bank Rate or more on the consumer security deposit.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further submitted that Section 47(4) of the Electricity Act 2003, states as follows:</w:t>
      </w:r>
    </w:p>
    <w:p w:rsidR="004C74C2" w:rsidRPr="00B53423" w:rsidRDefault="004C74C2" w:rsidP="0015232B">
      <w:pPr>
        <w:pStyle w:val="Heading4"/>
        <w:numPr>
          <w:ilvl w:val="0"/>
          <w:numId w:val="0"/>
        </w:numPr>
        <w:spacing w:before="0"/>
        <w:ind w:left="1440"/>
      </w:pPr>
      <w:r w:rsidRPr="00B53423">
        <w:t xml:space="preserve"> </w:t>
      </w:r>
    </w:p>
    <w:p w:rsidR="004C74C2" w:rsidRPr="00B53423" w:rsidRDefault="004C74C2" w:rsidP="0015232B">
      <w:pPr>
        <w:pStyle w:val="Heading4"/>
        <w:numPr>
          <w:ilvl w:val="0"/>
          <w:numId w:val="0"/>
        </w:numPr>
        <w:spacing w:before="0"/>
        <w:ind w:left="1440"/>
      </w:pPr>
      <w:r w:rsidRPr="00B53423">
        <w:t>“...</w:t>
      </w:r>
      <w:r w:rsidRPr="00B53423">
        <w:rPr>
          <w:i/>
        </w:rPr>
        <w:t>the distribution licensee shall pay interest equivalent to the bank rate or more, as may be specified by the concerned state Commission, on the security referred to in sub-section (1) and refund such security on the request of the person who gave such security</w:t>
      </w:r>
      <w:r w:rsidRPr="00B53423">
        <w:t>”</w:t>
      </w:r>
    </w:p>
    <w:p w:rsidR="004C74C2" w:rsidRPr="00B53423" w:rsidRDefault="004C74C2" w:rsidP="0015232B">
      <w:pPr>
        <w:pStyle w:val="Heading4"/>
        <w:numPr>
          <w:ilvl w:val="0"/>
          <w:numId w:val="0"/>
        </w:numPr>
        <w:spacing w:before="0"/>
        <w:ind w:left="1440"/>
      </w:pPr>
    </w:p>
    <w:p w:rsidR="004C74C2" w:rsidRPr="00B53423" w:rsidRDefault="004C74C2" w:rsidP="0015232B">
      <w:pPr>
        <w:pStyle w:val="Heading3"/>
        <w:keepNext w:val="0"/>
        <w:ind w:hanging="1080"/>
      </w:pPr>
      <w:r w:rsidRPr="00B53423">
        <w:t>The Petitioner submitted that accordingly, the interest to consumers on the security deposits has been computed on the opening balance of the security deposits at the beginning of the year at the Bank Rate of 9% for FY 2013-14 and 8.75% for FY 2014-15, however, the same shall be Trued-up, based on Audited Accounts.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As the approach followed by the Petitioner is in accordance with the Regulations and is also consistent with the approach adopted by the Commission in the previous Tariff Orders therefore, the Commission approves the methodology employed by the Petitioner in this regard. However, it is observed that the Reserve Bank of India vide circular no. RBI/2013-14/469 dated 28</w:t>
      </w:r>
      <w:r w:rsidRPr="00B53423">
        <w:rPr>
          <w:vertAlign w:val="superscript"/>
        </w:rPr>
        <w:t>th</w:t>
      </w:r>
      <w:r w:rsidRPr="00B53423">
        <w:t xml:space="preserve"> January, 2014 has revised the Bank Rate from 8.75% to 9.00% w.e.f 28</w:t>
      </w:r>
      <w:r w:rsidRPr="00B53423">
        <w:rPr>
          <w:vertAlign w:val="superscript"/>
        </w:rPr>
        <w:t>th</w:t>
      </w:r>
      <w:r w:rsidRPr="00B53423">
        <w:t xml:space="preserve"> January, 2014. Hence, the Commission has recomputed the interest on consumer security deposit at the rate of 9.00%. However, the actual interest payable on consumer security deposits would be at the Bank Rates notified by the RBI from time to time as per the provision of the Electricity Supply Code. The same would be Trued-up based on Audited Accounts.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Accordingly, the Commission has approved interest on security deposits for FY 2014-15 at Rs. 8.96 Crore against Rs. 8.71 Crore claimed by the Petitioner is shown in the Table below:</w:t>
      </w:r>
    </w:p>
    <w:p w:rsidR="004C74C2" w:rsidRPr="00B53423" w:rsidRDefault="004C74C2" w:rsidP="0015232B">
      <w:pPr>
        <w:pStyle w:val="Heading4"/>
        <w:numPr>
          <w:ilvl w:val="0"/>
          <w:numId w:val="0"/>
        </w:numPr>
        <w:spacing w:before="0"/>
        <w:ind w:left="864"/>
      </w:pPr>
    </w:p>
    <w:p w:rsidR="004C74C2" w:rsidRPr="00B53423" w:rsidDel="00111C2D" w:rsidRDefault="004C74C2" w:rsidP="0015232B">
      <w:pPr>
        <w:pStyle w:val="Caption"/>
        <w:jc w:val="center"/>
        <w:rPr>
          <w:szCs w:val="23"/>
        </w:rPr>
      </w:pPr>
      <w:bookmarkStart w:id="699" w:name="_Toc338310716"/>
      <w:bookmarkStart w:id="700" w:name="_Toc338419546"/>
      <w:bookmarkStart w:id="701" w:name="_Toc357738744"/>
      <w:bookmarkStart w:id="702" w:name="_Toc399626431"/>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26</w:t>
      </w:r>
      <w:r w:rsidR="005D68E7" w:rsidRPr="00B53423">
        <w:fldChar w:fldCharType="end"/>
      </w:r>
      <w:r w:rsidRPr="00B53423">
        <w:t>: INTEREST ON SECURITY DEPOSITS FOR FY 2014-15 (Rs. Crore)</w:t>
      </w:r>
      <w:bookmarkEnd w:id="699"/>
      <w:bookmarkEnd w:id="700"/>
      <w:bookmarkEnd w:id="701"/>
      <w:bookmarkEnd w:id="702"/>
      <w:r w:rsidRPr="00B53423">
        <w:rPr>
          <w:sz w:val="23"/>
          <w:szCs w:val="23"/>
        </w:rPr>
        <w:t xml:space="preserve"> </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551"/>
        <w:gridCol w:w="1530"/>
        <w:gridCol w:w="1274"/>
        <w:gridCol w:w="1274"/>
      </w:tblGrid>
      <w:tr w:rsidR="004C74C2" w:rsidRPr="00B53423" w:rsidTr="009268E4">
        <w:trPr>
          <w:trHeight w:val="600"/>
        </w:trPr>
        <w:tc>
          <w:tcPr>
            <w:tcW w:w="4551" w:type="dxa"/>
            <w:shd w:val="clear" w:color="000000" w:fill="DBE5F1"/>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Particulars</w:t>
            </w:r>
          </w:p>
        </w:tc>
        <w:tc>
          <w:tcPr>
            <w:tcW w:w="1530" w:type="dxa"/>
            <w:shd w:val="clear" w:color="000000" w:fill="DBE5F1"/>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Derivation</w:t>
            </w:r>
          </w:p>
        </w:tc>
        <w:tc>
          <w:tcPr>
            <w:tcW w:w="1274" w:type="dxa"/>
            <w:shd w:val="clear" w:color="000000" w:fill="DBE5F1"/>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ARR Petition</w:t>
            </w:r>
          </w:p>
        </w:tc>
        <w:tc>
          <w:tcPr>
            <w:tcW w:w="1274" w:type="dxa"/>
            <w:shd w:val="clear" w:color="000000" w:fill="DBE5F1"/>
            <w:vAlign w:val="center"/>
            <w:hideMark/>
          </w:tcPr>
          <w:p w:rsidR="004C74C2" w:rsidRPr="00B53423" w:rsidRDefault="004C74C2" w:rsidP="0015232B">
            <w:pPr>
              <w:spacing w:before="0" w:line="240" w:lineRule="auto"/>
              <w:jc w:val="center"/>
              <w:rPr>
                <w:rFonts w:cs="Calibri"/>
                <w:b/>
                <w:bCs/>
                <w:color w:val="000000"/>
                <w:kern w:val="32"/>
                <w:lang w:val="en-IN" w:eastAsia="en-IN"/>
              </w:rPr>
            </w:pPr>
            <w:r w:rsidRPr="00B53423">
              <w:rPr>
                <w:rFonts w:cs="Calibri"/>
                <w:b/>
                <w:bCs/>
                <w:color w:val="000000"/>
                <w:lang w:val="en-IN" w:eastAsia="en-IN"/>
              </w:rPr>
              <w:t>Approved</w:t>
            </w:r>
          </w:p>
        </w:tc>
      </w:tr>
      <w:tr w:rsidR="004C74C2" w:rsidRPr="00B53423" w:rsidTr="009268E4">
        <w:trPr>
          <w:trHeight w:val="300"/>
        </w:trPr>
        <w:tc>
          <w:tcPr>
            <w:tcW w:w="4551" w:type="dxa"/>
            <w:shd w:val="clear" w:color="auto" w:fill="auto"/>
            <w:vAlign w:val="center"/>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Opening Balance of Consumer Security Deposits</w:t>
            </w:r>
          </w:p>
        </w:tc>
        <w:tc>
          <w:tcPr>
            <w:tcW w:w="1530" w:type="dxa"/>
            <w:shd w:val="clear" w:color="auto" w:fill="auto"/>
            <w:noWrap/>
            <w:vAlign w:val="center"/>
            <w:hideMark/>
          </w:tcPr>
          <w:p w:rsidR="004C74C2" w:rsidRPr="00B53423" w:rsidRDefault="004C74C2" w:rsidP="0015232B">
            <w:pPr>
              <w:spacing w:before="0" w:line="240" w:lineRule="auto"/>
              <w:jc w:val="center"/>
              <w:rPr>
                <w:rFonts w:cs="Calibri"/>
                <w:color w:val="000000"/>
                <w:lang w:val="en-IN" w:eastAsia="en-IN"/>
              </w:rPr>
            </w:pPr>
            <w:r w:rsidRPr="00B53423">
              <w:rPr>
                <w:rFonts w:cs="Calibri"/>
                <w:color w:val="000000"/>
                <w:lang w:val="en-IN" w:eastAsia="en-IN"/>
              </w:rPr>
              <w:t>A</w:t>
            </w:r>
          </w:p>
        </w:tc>
        <w:tc>
          <w:tcPr>
            <w:tcW w:w="1274" w:type="dxa"/>
            <w:vAlign w:val="center"/>
          </w:tcPr>
          <w:p w:rsidR="004C74C2" w:rsidRPr="00B53423" w:rsidRDefault="004C74C2" w:rsidP="0015232B">
            <w:pPr>
              <w:spacing w:before="0" w:line="240" w:lineRule="auto"/>
              <w:ind w:right="209"/>
              <w:jc w:val="right"/>
              <w:rPr>
                <w:rFonts w:asciiTheme="minorHAnsi" w:hAnsiTheme="minorHAnsi" w:cstheme="minorHAnsi"/>
                <w:color w:val="000000"/>
              </w:rPr>
            </w:pPr>
            <w:r w:rsidRPr="00B53423">
              <w:rPr>
                <w:rFonts w:asciiTheme="minorHAnsi" w:hAnsiTheme="minorHAnsi" w:cstheme="minorHAnsi"/>
                <w:color w:val="000000"/>
              </w:rPr>
              <w:t>98.00</w:t>
            </w:r>
          </w:p>
        </w:tc>
        <w:tc>
          <w:tcPr>
            <w:tcW w:w="1274" w:type="dxa"/>
            <w:shd w:val="clear" w:color="auto" w:fill="auto"/>
            <w:noWrap/>
            <w:vAlign w:val="center"/>
            <w:hideMark/>
          </w:tcPr>
          <w:p w:rsidR="004C74C2" w:rsidRPr="00B53423" w:rsidRDefault="004C74C2" w:rsidP="0015232B">
            <w:pPr>
              <w:spacing w:before="0" w:line="240" w:lineRule="auto"/>
              <w:ind w:right="133"/>
              <w:jc w:val="right"/>
              <w:rPr>
                <w:rFonts w:asciiTheme="minorHAnsi" w:hAnsiTheme="minorHAnsi" w:cstheme="minorHAnsi"/>
              </w:rPr>
            </w:pPr>
            <w:r w:rsidRPr="00B53423">
              <w:rPr>
                <w:rFonts w:asciiTheme="minorHAnsi" w:hAnsiTheme="minorHAnsi" w:cstheme="minorHAnsi"/>
              </w:rPr>
              <w:t xml:space="preserve">     98.00 </w:t>
            </w:r>
          </w:p>
        </w:tc>
      </w:tr>
      <w:tr w:rsidR="004C74C2" w:rsidRPr="00B53423" w:rsidTr="009268E4">
        <w:trPr>
          <w:trHeight w:val="300"/>
        </w:trPr>
        <w:tc>
          <w:tcPr>
            <w:tcW w:w="4551" w:type="dxa"/>
            <w:shd w:val="clear" w:color="auto" w:fill="auto"/>
            <w:vAlign w:val="center"/>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Projected Closing Balance of Consumer Security Deposits</w:t>
            </w:r>
          </w:p>
        </w:tc>
        <w:tc>
          <w:tcPr>
            <w:tcW w:w="1530" w:type="dxa"/>
            <w:shd w:val="clear" w:color="auto" w:fill="auto"/>
            <w:noWrap/>
            <w:vAlign w:val="center"/>
            <w:hideMark/>
          </w:tcPr>
          <w:p w:rsidR="004C74C2" w:rsidRPr="00B53423" w:rsidRDefault="004C74C2" w:rsidP="0015232B">
            <w:pPr>
              <w:spacing w:before="0" w:line="240" w:lineRule="auto"/>
              <w:jc w:val="center"/>
              <w:rPr>
                <w:rFonts w:cs="Calibri"/>
                <w:color w:val="000000"/>
                <w:lang w:val="en-IN" w:eastAsia="en-IN"/>
              </w:rPr>
            </w:pPr>
            <w:r w:rsidRPr="00B53423">
              <w:rPr>
                <w:rFonts w:cs="Calibri"/>
                <w:color w:val="000000"/>
                <w:lang w:val="en-IN" w:eastAsia="en-IN"/>
              </w:rPr>
              <w:t>B</w:t>
            </w:r>
          </w:p>
        </w:tc>
        <w:tc>
          <w:tcPr>
            <w:tcW w:w="1274" w:type="dxa"/>
            <w:vAlign w:val="center"/>
          </w:tcPr>
          <w:p w:rsidR="004C74C2" w:rsidRPr="00B53423" w:rsidRDefault="004C74C2" w:rsidP="0015232B">
            <w:pPr>
              <w:spacing w:before="0" w:line="240" w:lineRule="auto"/>
              <w:ind w:right="209"/>
              <w:jc w:val="right"/>
              <w:rPr>
                <w:rFonts w:asciiTheme="minorHAnsi" w:hAnsiTheme="minorHAnsi" w:cstheme="minorHAnsi"/>
                <w:bCs/>
                <w:color w:val="000000"/>
              </w:rPr>
            </w:pPr>
            <w:r w:rsidRPr="00B53423">
              <w:rPr>
                <w:rFonts w:asciiTheme="minorHAnsi" w:hAnsiTheme="minorHAnsi" w:cstheme="minorHAnsi"/>
                <w:bCs/>
                <w:color w:val="000000"/>
              </w:rPr>
              <w:t>101.14</w:t>
            </w:r>
          </w:p>
        </w:tc>
        <w:tc>
          <w:tcPr>
            <w:tcW w:w="1274" w:type="dxa"/>
            <w:shd w:val="clear" w:color="auto" w:fill="auto"/>
            <w:noWrap/>
            <w:vAlign w:val="center"/>
            <w:hideMark/>
          </w:tcPr>
          <w:p w:rsidR="004C74C2" w:rsidRPr="00B53423" w:rsidRDefault="004C74C2" w:rsidP="0015232B">
            <w:pPr>
              <w:spacing w:before="0" w:line="240" w:lineRule="auto"/>
              <w:ind w:right="133"/>
              <w:jc w:val="right"/>
              <w:rPr>
                <w:rFonts w:asciiTheme="minorHAnsi" w:hAnsiTheme="minorHAnsi" w:cstheme="minorHAnsi"/>
              </w:rPr>
            </w:pPr>
            <w:r w:rsidRPr="00B53423">
              <w:rPr>
                <w:rFonts w:asciiTheme="minorHAnsi" w:hAnsiTheme="minorHAnsi" w:cstheme="minorHAnsi"/>
              </w:rPr>
              <w:t xml:space="preserve">    101.14 </w:t>
            </w:r>
          </w:p>
        </w:tc>
      </w:tr>
      <w:tr w:rsidR="004C74C2" w:rsidRPr="00B53423" w:rsidTr="009268E4">
        <w:trPr>
          <w:trHeight w:val="300"/>
        </w:trPr>
        <w:tc>
          <w:tcPr>
            <w:tcW w:w="4551" w:type="dxa"/>
            <w:shd w:val="clear" w:color="auto" w:fill="auto"/>
            <w:noWrap/>
            <w:vAlign w:val="center"/>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Weighted Average Bank Rate (%)</w:t>
            </w:r>
          </w:p>
        </w:tc>
        <w:tc>
          <w:tcPr>
            <w:tcW w:w="1530" w:type="dxa"/>
            <w:shd w:val="clear" w:color="auto" w:fill="auto"/>
            <w:noWrap/>
            <w:vAlign w:val="center"/>
            <w:hideMark/>
          </w:tcPr>
          <w:p w:rsidR="004C74C2" w:rsidRPr="00B53423" w:rsidRDefault="004C74C2" w:rsidP="0015232B">
            <w:pPr>
              <w:spacing w:before="0" w:line="240" w:lineRule="auto"/>
              <w:jc w:val="center"/>
              <w:rPr>
                <w:rFonts w:cs="Calibri"/>
                <w:color w:val="000000"/>
                <w:lang w:val="en-IN" w:eastAsia="en-IN"/>
              </w:rPr>
            </w:pPr>
            <w:r w:rsidRPr="00B53423">
              <w:rPr>
                <w:rFonts w:cs="Calibri"/>
                <w:color w:val="000000"/>
                <w:lang w:val="en-IN" w:eastAsia="en-IN"/>
              </w:rPr>
              <w:t>C</w:t>
            </w:r>
          </w:p>
        </w:tc>
        <w:tc>
          <w:tcPr>
            <w:tcW w:w="1274" w:type="dxa"/>
            <w:vAlign w:val="center"/>
          </w:tcPr>
          <w:p w:rsidR="004C74C2" w:rsidRPr="00B53423" w:rsidRDefault="004C74C2" w:rsidP="0015232B">
            <w:pPr>
              <w:spacing w:before="0" w:line="240" w:lineRule="auto"/>
              <w:ind w:right="209"/>
              <w:jc w:val="right"/>
              <w:rPr>
                <w:rFonts w:asciiTheme="minorHAnsi" w:hAnsiTheme="minorHAnsi" w:cstheme="minorHAnsi"/>
                <w:color w:val="000000"/>
              </w:rPr>
            </w:pPr>
            <w:r w:rsidRPr="00B53423">
              <w:rPr>
                <w:rFonts w:asciiTheme="minorHAnsi" w:hAnsiTheme="minorHAnsi" w:cstheme="minorHAnsi"/>
                <w:color w:val="000000"/>
              </w:rPr>
              <w:t>8.75%</w:t>
            </w:r>
          </w:p>
        </w:tc>
        <w:tc>
          <w:tcPr>
            <w:tcW w:w="1274" w:type="dxa"/>
            <w:shd w:val="clear" w:color="auto" w:fill="auto"/>
            <w:noWrap/>
            <w:vAlign w:val="center"/>
            <w:hideMark/>
          </w:tcPr>
          <w:p w:rsidR="004C74C2" w:rsidRPr="00B53423" w:rsidRDefault="004C74C2" w:rsidP="0015232B">
            <w:pPr>
              <w:spacing w:before="0" w:line="240" w:lineRule="auto"/>
              <w:ind w:right="133"/>
              <w:jc w:val="right"/>
              <w:rPr>
                <w:rFonts w:asciiTheme="minorHAnsi" w:hAnsiTheme="minorHAnsi" w:cstheme="minorHAnsi"/>
                <w:color w:val="000000"/>
              </w:rPr>
            </w:pPr>
            <w:r w:rsidRPr="00B53423">
              <w:rPr>
                <w:rFonts w:asciiTheme="minorHAnsi" w:hAnsiTheme="minorHAnsi" w:cstheme="minorHAnsi"/>
                <w:color w:val="000000"/>
              </w:rPr>
              <w:t>9.00%</w:t>
            </w:r>
          </w:p>
        </w:tc>
      </w:tr>
      <w:tr w:rsidR="004C74C2" w:rsidRPr="00B53423" w:rsidTr="009268E4">
        <w:trPr>
          <w:trHeight w:val="300"/>
        </w:trPr>
        <w:tc>
          <w:tcPr>
            <w:tcW w:w="4551" w:type="dxa"/>
            <w:shd w:val="clear" w:color="auto" w:fill="auto"/>
            <w:noWrap/>
            <w:vAlign w:val="center"/>
            <w:hideMark/>
          </w:tcPr>
          <w:p w:rsidR="004C74C2" w:rsidRPr="00B53423" w:rsidRDefault="004C74C2" w:rsidP="0015232B">
            <w:pPr>
              <w:spacing w:before="0" w:line="240" w:lineRule="auto"/>
              <w:jc w:val="left"/>
              <w:rPr>
                <w:rFonts w:cs="Calibri"/>
                <w:b/>
                <w:bCs/>
                <w:color w:val="000000"/>
                <w:lang w:val="en-IN" w:eastAsia="en-IN"/>
              </w:rPr>
            </w:pPr>
            <w:r w:rsidRPr="00B53423">
              <w:rPr>
                <w:rFonts w:cs="Calibri"/>
                <w:b/>
                <w:bCs/>
                <w:color w:val="000000"/>
                <w:lang w:val="en-IN" w:eastAsia="en-IN"/>
              </w:rPr>
              <w:t>Interest on Security Deposits</w:t>
            </w:r>
          </w:p>
        </w:tc>
        <w:tc>
          <w:tcPr>
            <w:tcW w:w="1530" w:type="dxa"/>
            <w:shd w:val="clear" w:color="auto" w:fill="auto"/>
            <w:noWrap/>
            <w:vAlign w:val="center"/>
            <w:hideMark/>
          </w:tcPr>
          <w:p w:rsidR="004C74C2" w:rsidRPr="00B53423" w:rsidRDefault="00EE00F4" w:rsidP="0015232B">
            <w:pPr>
              <w:spacing w:before="0" w:line="240" w:lineRule="auto"/>
              <w:jc w:val="center"/>
              <w:rPr>
                <w:rFonts w:cs="Calibri"/>
                <w:b/>
                <w:bCs/>
                <w:color w:val="000000"/>
                <w:lang w:val="en-IN" w:eastAsia="en-IN"/>
              </w:rPr>
            </w:pPr>
            <w:r w:rsidRPr="00B53423">
              <w:rPr>
                <w:rFonts w:cs="Calibri"/>
                <w:b/>
                <w:bCs/>
                <w:color w:val="000000"/>
                <w:lang w:val="en-IN" w:eastAsia="en-IN"/>
              </w:rPr>
              <w:t>D</w:t>
            </w:r>
            <w:r w:rsidR="004C74C2" w:rsidRPr="00B53423">
              <w:rPr>
                <w:rFonts w:cs="Calibri"/>
                <w:b/>
                <w:bCs/>
                <w:color w:val="000000"/>
                <w:lang w:val="en-IN" w:eastAsia="en-IN"/>
              </w:rPr>
              <w:t xml:space="preserve"> = (A+B)/2*C</w:t>
            </w:r>
          </w:p>
        </w:tc>
        <w:tc>
          <w:tcPr>
            <w:tcW w:w="1274" w:type="dxa"/>
            <w:vAlign w:val="center"/>
          </w:tcPr>
          <w:p w:rsidR="004C74C2" w:rsidRPr="00B53423" w:rsidRDefault="004C74C2" w:rsidP="0015232B">
            <w:pPr>
              <w:spacing w:before="0" w:line="240" w:lineRule="auto"/>
              <w:ind w:right="209"/>
              <w:jc w:val="right"/>
              <w:rPr>
                <w:rFonts w:asciiTheme="minorHAnsi" w:hAnsiTheme="minorHAnsi" w:cstheme="minorHAnsi"/>
                <w:b/>
                <w:bCs/>
                <w:color w:val="000000"/>
              </w:rPr>
            </w:pPr>
            <w:r w:rsidRPr="00B53423">
              <w:rPr>
                <w:rFonts w:asciiTheme="minorHAnsi" w:hAnsiTheme="minorHAnsi" w:cstheme="minorHAnsi"/>
                <w:b/>
                <w:bCs/>
                <w:color w:val="000000"/>
              </w:rPr>
              <w:t>8.71</w:t>
            </w:r>
          </w:p>
        </w:tc>
        <w:tc>
          <w:tcPr>
            <w:tcW w:w="1274" w:type="dxa"/>
            <w:shd w:val="clear" w:color="auto" w:fill="auto"/>
            <w:noWrap/>
            <w:vAlign w:val="center"/>
            <w:hideMark/>
          </w:tcPr>
          <w:p w:rsidR="004C74C2" w:rsidRPr="00B53423" w:rsidRDefault="004C74C2" w:rsidP="0015232B">
            <w:pPr>
              <w:spacing w:before="0" w:line="240" w:lineRule="auto"/>
              <w:ind w:right="133"/>
              <w:jc w:val="right"/>
              <w:rPr>
                <w:rFonts w:asciiTheme="minorHAnsi" w:hAnsiTheme="minorHAnsi" w:cstheme="minorHAnsi"/>
                <w:b/>
                <w:bCs/>
                <w:color w:val="000000"/>
              </w:rPr>
            </w:pPr>
            <w:r w:rsidRPr="00B53423">
              <w:rPr>
                <w:rFonts w:asciiTheme="minorHAnsi" w:hAnsiTheme="minorHAnsi" w:cstheme="minorHAnsi"/>
                <w:b/>
                <w:bCs/>
                <w:color w:val="000000"/>
              </w:rPr>
              <w:t xml:space="preserve"> 8.96 </w:t>
            </w:r>
          </w:p>
        </w:tc>
      </w:tr>
    </w:tbl>
    <w:p w:rsidR="004C74C2" w:rsidRPr="00B53423" w:rsidRDefault="004C74C2" w:rsidP="0015232B">
      <w:pPr>
        <w:pStyle w:val="Caption"/>
        <w:spacing w:before="0" w:after="0"/>
        <w:jc w:val="center"/>
        <w:rPr>
          <w:sz w:val="23"/>
          <w:szCs w:val="23"/>
        </w:rPr>
      </w:pPr>
      <w:r w:rsidRPr="00B53423" w:rsidDel="00111C2D">
        <w:rPr>
          <w:szCs w:val="23"/>
        </w:rPr>
        <w:t xml:space="preserve"> </w:t>
      </w:r>
    </w:p>
    <w:p w:rsidR="004C74C2" w:rsidRPr="00B53423" w:rsidRDefault="004C74C2" w:rsidP="0015232B">
      <w:pPr>
        <w:pStyle w:val="Heading4"/>
        <w:numPr>
          <w:ilvl w:val="0"/>
          <w:numId w:val="0"/>
        </w:numPr>
        <w:spacing w:before="0"/>
      </w:pPr>
    </w:p>
    <w:p w:rsidR="004C74C2" w:rsidRPr="00B53423" w:rsidRDefault="004C74C2" w:rsidP="0015232B">
      <w:pPr>
        <w:pStyle w:val="Heading3"/>
        <w:keepNext w:val="0"/>
        <w:numPr>
          <w:ilvl w:val="0"/>
          <w:numId w:val="0"/>
        </w:numPr>
        <w:tabs>
          <w:tab w:val="left" w:pos="720"/>
        </w:tabs>
        <w:ind w:left="720"/>
        <w:rPr>
          <w:b/>
        </w:rPr>
      </w:pPr>
      <w:r w:rsidRPr="00B53423">
        <w:rPr>
          <w:b/>
        </w:rPr>
        <w:t>Finance Charges</w:t>
      </w:r>
    </w:p>
    <w:p w:rsidR="004C74C2" w:rsidRPr="00B53423" w:rsidRDefault="004C74C2" w:rsidP="0015232B">
      <w:pPr>
        <w:pStyle w:val="Heading3"/>
        <w:keepNext w:val="0"/>
        <w:numPr>
          <w:ilvl w:val="0"/>
          <w:numId w:val="0"/>
        </w:numPr>
        <w:ind w:left="720"/>
        <w:rPr>
          <w:b/>
        </w:rPr>
      </w:pPr>
    </w:p>
    <w:p w:rsidR="004C74C2" w:rsidRPr="00B53423" w:rsidRDefault="004C74C2" w:rsidP="0015232B">
      <w:pPr>
        <w:pStyle w:val="Heading3"/>
        <w:keepNext w:val="0"/>
        <w:ind w:hanging="1080"/>
      </w:pPr>
      <w:r w:rsidRPr="00B53423">
        <w:t xml:space="preserve">The Petitioner has projected marginal expenses towards finance and bank charges to the tune of Rs. 0.001 Crore in FY 2013-14 and 2014-15 respectively. Further, the Petitioner has requested the Commission that it may be allowed to claim discount to consumers on actuals during truing up based on Audited Accounts.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Accordingly, the Commission has considered Rs. 0.001 Crore towards bank charges. As regards discount to consumers it is to be noted that such rebates / discounts are given to consumers under different heads like power factor rebate, etc</w:t>
      </w:r>
      <w:r w:rsidR="00CE51D8" w:rsidRPr="00B53423">
        <w:t>.</w:t>
      </w:r>
      <w:r w:rsidRPr="00B53423">
        <w:t xml:space="preserve"> and are recovered from the consumers on actual basis. Hence, the Commission allows the Petitioner’s request to claim discount to consumers on actual basis during the Truing up of FY 2014-15 based on the Audited Accounts. </w:t>
      </w:r>
      <w:r w:rsidR="00E03138" w:rsidRPr="00B53423">
        <w:t>The Petitioner should however, ensure that such discount should have been adjusted in the actual revenue recovered during the year.</w:t>
      </w:r>
    </w:p>
    <w:p w:rsidR="004C74C2" w:rsidRPr="00B53423" w:rsidRDefault="004C74C2" w:rsidP="0015232B">
      <w:pPr>
        <w:pStyle w:val="Heading4"/>
        <w:numPr>
          <w:ilvl w:val="0"/>
          <w:numId w:val="0"/>
        </w:numPr>
        <w:spacing w:before="0"/>
        <w:ind w:left="864"/>
      </w:pPr>
    </w:p>
    <w:p w:rsidR="004C74C2" w:rsidRPr="00B53423" w:rsidRDefault="004C74C2" w:rsidP="0015232B">
      <w:pPr>
        <w:pStyle w:val="Heading3"/>
        <w:keepNext w:val="0"/>
        <w:numPr>
          <w:ilvl w:val="0"/>
          <w:numId w:val="0"/>
        </w:numPr>
        <w:ind w:left="720"/>
        <w:rPr>
          <w:b/>
        </w:rPr>
      </w:pPr>
    </w:p>
    <w:p w:rsidR="004C74C2" w:rsidRPr="00B53423" w:rsidRDefault="004C74C2" w:rsidP="0015232B">
      <w:pPr>
        <w:pStyle w:val="Heading3"/>
        <w:keepNext w:val="0"/>
        <w:numPr>
          <w:ilvl w:val="0"/>
          <w:numId w:val="0"/>
        </w:numPr>
        <w:tabs>
          <w:tab w:val="left" w:pos="720"/>
        </w:tabs>
        <w:ind w:left="720"/>
        <w:rPr>
          <w:b/>
        </w:rPr>
      </w:pPr>
      <w:r w:rsidRPr="00B53423">
        <w:rPr>
          <w:b/>
        </w:rPr>
        <w:t xml:space="preserve">Summary of Interest and Finance Charges </w:t>
      </w:r>
    </w:p>
    <w:p w:rsidR="004C74C2" w:rsidRPr="00B53423" w:rsidRDefault="004C74C2" w:rsidP="0015232B">
      <w:pPr>
        <w:pStyle w:val="Heading4"/>
        <w:numPr>
          <w:ilvl w:val="0"/>
          <w:numId w:val="0"/>
        </w:numPr>
        <w:spacing w:before="0"/>
        <w:ind w:left="864"/>
      </w:pPr>
    </w:p>
    <w:p w:rsidR="004C74C2" w:rsidRPr="00B53423" w:rsidRDefault="004C74C2" w:rsidP="0015232B">
      <w:pPr>
        <w:pStyle w:val="Heading3"/>
        <w:keepNext w:val="0"/>
        <w:ind w:hanging="1080"/>
      </w:pPr>
      <w:r w:rsidRPr="00B53423">
        <w:t>Thus, based on above, the approved interest and finance costs including interest on working capital for FY 2014-15 is summarised in the Table below:</w:t>
      </w:r>
    </w:p>
    <w:p w:rsidR="004C74C2" w:rsidRPr="00B53423" w:rsidRDefault="004C74C2" w:rsidP="0015232B">
      <w:pPr>
        <w:pStyle w:val="Heading4"/>
        <w:numPr>
          <w:ilvl w:val="0"/>
          <w:numId w:val="0"/>
        </w:numPr>
        <w:spacing w:before="0"/>
        <w:ind w:left="864"/>
      </w:pPr>
    </w:p>
    <w:p w:rsidR="004C74C2" w:rsidRPr="00B53423" w:rsidRDefault="004C74C2" w:rsidP="0015232B">
      <w:pPr>
        <w:pStyle w:val="Caption"/>
        <w:jc w:val="center"/>
      </w:pPr>
      <w:bookmarkStart w:id="703" w:name="_Ref325536366"/>
      <w:bookmarkStart w:id="704" w:name="_Toc338310717"/>
      <w:bookmarkStart w:id="705" w:name="_Toc338419547"/>
      <w:bookmarkStart w:id="706" w:name="_Toc357738745"/>
      <w:bookmarkStart w:id="707" w:name="_Toc399626432"/>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27</w:t>
      </w:r>
      <w:r w:rsidR="005D68E7" w:rsidRPr="00B53423">
        <w:fldChar w:fldCharType="end"/>
      </w:r>
      <w:bookmarkEnd w:id="703"/>
      <w:r w:rsidRPr="00B53423">
        <w:t>: INTEREST and FINANCE CHARGES FOR FY 2014-15 (Rs. Crore)</w:t>
      </w:r>
      <w:bookmarkEnd w:id="704"/>
      <w:bookmarkEnd w:id="705"/>
      <w:bookmarkEnd w:id="706"/>
      <w:bookmarkEnd w:id="707"/>
    </w:p>
    <w:tbl>
      <w:tblPr>
        <w:tblW w:w="0" w:type="auto"/>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111"/>
        <w:gridCol w:w="1454"/>
        <w:gridCol w:w="1266"/>
      </w:tblGrid>
      <w:tr w:rsidR="004C74C2" w:rsidRPr="00B53423" w:rsidTr="00EE00F4">
        <w:trPr>
          <w:trHeight w:val="600"/>
          <w:tblHeader/>
          <w:jc w:val="center"/>
        </w:trPr>
        <w:tc>
          <w:tcPr>
            <w:tcW w:w="5111" w:type="dxa"/>
            <w:shd w:val="clear" w:color="000000" w:fill="DBE5F1"/>
            <w:vAlign w:val="center"/>
            <w:hideMark/>
          </w:tcPr>
          <w:p w:rsidR="004C74C2" w:rsidRPr="00B53423" w:rsidRDefault="004C74C2" w:rsidP="0015232B">
            <w:pPr>
              <w:spacing w:before="0" w:line="240" w:lineRule="auto"/>
              <w:jc w:val="center"/>
              <w:rPr>
                <w:rFonts w:cs="Calibri"/>
                <w:b/>
                <w:bCs/>
                <w:lang w:val="en-IN" w:eastAsia="en-IN"/>
              </w:rPr>
            </w:pPr>
            <w:bookmarkStart w:id="708" w:name="_Toc356322607"/>
            <w:r w:rsidRPr="00B53423">
              <w:rPr>
                <w:rFonts w:cs="Calibri"/>
                <w:b/>
                <w:bCs/>
                <w:lang w:val="en-IN" w:eastAsia="en-IN"/>
              </w:rPr>
              <w:t>Particulars</w:t>
            </w:r>
          </w:p>
        </w:tc>
        <w:tc>
          <w:tcPr>
            <w:tcW w:w="1454" w:type="dxa"/>
            <w:shd w:val="clear" w:color="000000" w:fill="DBE5F1"/>
            <w:vAlign w:val="center"/>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ARR Petition</w:t>
            </w:r>
          </w:p>
        </w:tc>
        <w:tc>
          <w:tcPr>
            <w:tcW w:w="1266" w:type="dxa"/>
            <w:shd w:val="clear" w:color="000000" w:fill="DBE5F1"/>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Approved</w:t>
            </w:r>
          </w:p>
        </w:tc>
      </w:tr>
      <w:tr w:rsidR="004C74C2" w:rsidRPr="00B53423" w:rsidTr="00EE00F4">
        <w:trPr>
          <w:trHeight w:val="300"/>
          <w:jc w:val="center"/>
        </w:trPr>
        <w:tc>
          <w:tcPr>
            <w:tcW w:w="5111" w:type="dxa"/>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Interest on Long term Loans</w:t>
            </w:r>
          </w:p>
        </w:tc>
        <w:tc>
          <w:tcPr>
            <w:tcW w:w="1454" w:type="dxa"/>
            <w:vAlign w:val="center"/>
          </w:tcPr>
          <w:p w:rsidR="004C74C2" w:rsidRPr="00B53423" w:rsidRDefault="004C74C2" w:rsidP="0015232B">
            <w:pPr>
              <w:spacing w:before="0" w:line="240" w:lineRule="auto"/>
              <w:ind w:right="158"/>
              <w:jc w:val="right"/>
              <w:rPr>
                <w:rFonts w:asciiTheme="minorHAnsi" w:hAnsiTheme="minorHAnsi" w:cstheme="minorHAnsi"/>
                <w:color w:val="000000"/>
              </w:rPr>
            </w:pPr>
            <w:r w:rsidRPr="00B53423">
              <w:rPr>
                <w:rFonts w:asciiTheme="minorHAnsi" w:hAnsiTheme="minorHAnsi" w:cstheme="minorHAnsi"/>
                <w:color w:val="000000"/>
              </w:rPr>
              <w:t>0.5</w:t>
            </w:r>
          </w:p>
        </w:tc>
        <w:tc>
          <w:tcPr>
            <w:tcW w:w="1266" w:type="dxa"/>
            <w:shd w:val="clear" w:color="auto" w:fill="auto"/>
            <w:noWrap/>
            <w:vAlign w:val="center"/>
            <w:hideMark/>
          </w:tcPr>
          <w:p w:rsidR="004C74C2" w:rsidRPr="00B53423" w:rsidRDefault="004C74C2" w:rsidP="0015232B">
            <w:pPr>
              <w:spacing w:before="0" w:line="240" w:lineRule="auto"/>
              <w:ind w:right="150"/>
              <w:jc w:val="right"/>
              <w:rPr>
                <w:rFonts w:asciiTheme="minorHAnsi" w:hAnsiTheme="minorHAnsi" w:cstheme="minorHAnsi"/>
              </w:rPr>
            </w:pPr>
            <w:r w:rsidRPr="00B53423">
              <w:rPr>
                <w:rFonts w:asciiTheme="minorHAnsi" w:hAnsiTheme="minorHAnsi" w:cstheme="minorHAnsi"/>
              </w:rPr>
              <w:t xml:space="preserve">-   </w:t>
            </w:r>
          </w:p>
        </w:tc>
      </w:tr>
      <w:tr w:rsidR="00AE3D88" w:rsidRPr="00B53423" w:rsidTr="00EE00F4">
        <w:trPr>
          <w:trHeight w:val="300"/>
          <w:jc w:val="center"/>
        </w:trPr>
        <w:tc>
          <w:tcPr>
            <w:tcW w:w="5111" w:type="dxa"/>
            <w:shd w:val="clear" w:color="auto" w:fill="auto"/>
            <w:hideMark/>
          </w:tcPr>
          <w:p w:rsidR="00AE3D88" w:rsidRPr="00B53423" w:rsidRDefault="00AE3D88" w:rsidP="0015232B">
            <w:pPr>
              <w:spacing w:before="0" w:line="240" w:lineRule="auto"/>
              <w:jc w:val="left"/>
              <w:rPr>
                <w:rFonts w:cs="Calibri"/>
                <w:lang w:val="en-IN" w:eastAsia="en-IN"/>
              </w:rPr>
            </w:pPr>
            <w:r w:rsidRPr="00B53423">
              <w:rPr>
                <w:rFonts w:cs="Calibri"/>
                <w:lang w:val="en-IN" w:eastAsia="en-IN"/>
              </w:rPr>
              <w:t>Interest on Working Capital Loans</w:t>
            </w:r>
          </w:p>
        </w:tc>
        <w:tc>
          <w:tcPr>
            <w:tcW w:w="1454" w:type="dxa"/>
            <w:vAlign w:val="center"/>
          </w:tcPr>
          <w:p w:rsidR="00AE3D88" w:rsidRPr="00B53423" w:rsidRDefault="00AE3D88" w:rsidP="0015232B">
            <w:pPr>
              <w:spacing w:before="0" w:line="240" w:lineRule="auto"/>
              <w:ind w:right="158"/>
              <w:jc w:val="right"/>
              <w:rPr>
                <w:rFonts w:asciiTheme="minorHAnsi" w:hAnsiTheme="minorHAnsi" w:cstheme="minorHAnsi"/>
                <w:color w:val="000000"/>
              </w:rPr>
            </w:pPr>
            <w:r w:rsidRPr="00B53423">
              <w:rPr>
                <w:rFonts w:asciiTheme="minorHAnsi" w:hAnsiTheme="minorHAnsi" w:cstheme="minorHAnsi"/>
                <w:color w:val="000000"/>
              </w:rPr>
              <w:t>22.19</w:t>
            </w:r>
          </w:p>
        </w:tc>
        <w:tc>
          <w:tcPr>
            <w:tcW w:w="1266" w:type="dxa"/>
            <w:shd w:val="clear" w:color="auto" w:fill="auto"/>
            <w:noWrap/>
            <w:vAlign w:val="center"/>
            <w:hideMark/>
          </w:tcPr>
          <w:p w:rsidR="00AE3D88" w:rsidRPr="00B53423" w:rsidRDefault="00AE3D88" w:rsidP="0015232B">
            <w:pPr>
              <w:jc w:val="right"/>
              <w:rPr>
                <w:rFonts w:asciiTheme="minorHAnsi" w:hAnsiTheme="minorHAnsi" w:cstheme="minorHAnsi"/>
              </w:rPr>
            </w:pPr>
            <w:r w:rsidRPr="00B53423">
              <w:rPr>
                <w:rFonts w:asciiTheme="minorHAnsi" w:hAnsiTheme="minorHAnsi" w:cstheme="minorHAnsi"/>
              </w:rPr>
              <w:t xml:space="preserve">         2</w:t>
            </w:r>
            <w:r w:rsidR="00EE00F4" w:rsidRPr="00B53423">
              <w:rPr>
                <w:rFonts w:asciiTheme="minorHAnsi" w:hAnsiTheme="minorHAnsi" w:cstheme="minorHAnsi"/>
              </w:rPr>
              <w:t>1.36</w:t>
            </w:r>
            <w:r w:rsidRPr="00B53423">
              <w:rPr>
                <w:rFonts w:asciiTheme="minorHAnsi" w:hAnsiTheme="minorHAnsi" w:cstheme="minorHAnsi"/>
              </w:rPr>
              <w:t xml:space="preserve"> </w:t>
            </w:r>
          </w:p>
        </w:tc>
      </w:tr>
      <w:tr w:rsidR="00AE3D88" w:rsidRPr="00B53423" w:rsidTr="00EE00F4">
        <w:trPr>
          <w:trHeight w:val="300"/>
          <w:jc w:val="center"/>
        </w:trPr>
        <w:tc>
          <w:tcPr>
            <w:tcW w:w="5111" w:type="dxa"/>
            <w:shd w:val="clear" w:color="auto" w:fill="auto"/>
            <w:hideMark/>
          </w:tcPr>
          <w:p w:rsidR="00AE3D88" w:rsidRPr="00B53423" w:rsidRDefault="00AE3D88" w:rsidP="0015232B">
            <w:pPr>
              <w:spacing w:before="0" w:line="240" w:lineRule="auto"/>
              <w:jc w:val="left"/>
              <w:rPr>
                <w:rFonts w:cs="Calibri"/>
                <w:b/>
                <w:bCs/>
                <w:lang w:val="en-IN" w:eastAsia="en-IN"/>
              </w:rPr>
            </w:pPr>
            <w:r w:rsidRPr="00B53423">
              <w:rPr>
                <w:rFonts w:cs="Calibri"/>
                <w:b/>
                <w:bCs/>
                <w:lang w:val="en-IN" w:eastAsia="en-IN"/>
              </w:rPr>
              <w:t>Sub Total</w:t>
            </w:r>
          </w:p>
        </w:tc>
        <w:tc>
          <w:tcPr>
            <w:tcW w:w="1454" w:type="dxa"/>
            <w:vAlign w:val="center"/>
          </w:tcPr>
          <w:p w:rsidR="00AE3D88" w:rsidRPr="00B53423" w:rsidRDefault="00AE3D88" w:rsidP="0015232B">
            <w:pPr>
              <w:spacing w:before="0" w:line="240" w:lineRule="auto"/>
              <w:ind w:right="158"/>
              <w:jc w:val="right"/>
              <w:rPr>
                <w:rFonts w:asciiTheme="minorHAnsi" w:hAnsiTheme="minorHAnsi" w:cstheme="minorHAnsi"/>
                <w:b/>
                <w:bCs/>
                <w:color w:val="000000"/>
              </w:rPr>
            </w:pPr>
            <w:r w:rsidRPr="00B53423">
              <w:rPr>
                <w:rFonts w:asciiTheme="minorHAnsi" w:hAnsiTheme="minorHAnsi" w:cstheme="minorHAnsi"/>
                <w:b/>
                <w:bCs/>
                <w:color w:val="000000"/>
              </w:rPr>
              <w:t>22.68</w:t>
            </w:r>
          </w:p>
        </w:tc>
        <w:tc>
          <w:tcPr>
            <w:tcW w:w="1266" w:type="dxa"/>
            <w:shd w:val="clear" w:color="auto" w:fill="auto"/>
            <w:noWrap/>
            <w:vAlign w:val="center"/>
            <w:hideMark/>
          </w:tcPr>
          <w:p w:rsidR="00AE3D88" w:rsidRPr="00B53423" w:rsidRDefault="00EE00F4" w:rsidP="0015232B">
            <w:pPr>
              <w:jc w:val="right"/>
              <w:rPr>
                <w:rFonts w:asciiTheme="minorHAnsi" w:hAnsiTheme="minorHAnsi" w:cstheme="minorHAnsi"/>
                <w:b/>
              </w:rPr>
            </w:pPr>
            <w:r w:rsidRPr="00B53423">
              <w:rPr>
                <w:rFonts w:asciiTheme="minorHAnsi" w:hAnsiTheme="minorHAnsi" w:cstheme="minorHAnsi"/>
                <w:b/>
              </w:rPr>
              <w:t>21.36</w:t>
            </w:r>
            <w:r w:rsidR="00AE3D88" w:rsidRPr="00B53423">
              <w:rPr>
                <w:rFonts w:asciiTheme="minorHAnsi" w:hAnsiTheme="minorHAnsi" w:cstheme="minorHAnsi"/>
                <w:b/>
              </w:rPr>
              <w:t xml:space="preserve"> </w:t>
            </w:r>
          </w:p>
        </w:tc>
      </w:tr>
      <w:tr w:rsidR="004C74C2" w:rsidRPr="00B53423" w:rsidTr="00EE00F4">
        <w:trPr>
          <w:trHeight w:val="300"/>
          <w:jc w:val="center"/>
        </w:trPr>
        <w:tc>
          <w:tcPr>
            <w:tcW w:w="5111" w:type="dxa"/>
            <w:shd w:val="clear" w:color="auto" w:fill="auto"/>
            <w:hideMark/>
          </w:tcPr>
          <w:p w:rsidR="004C74C2" w:rsidRPr="00B53423" w:rsidRDefault="004C74C2" w:rsidP="0015232B">
            <w:pPr>
              <w:spacing w:before="0" w:line="240" w:lineRule="auto"/>
              <w:jc w:val="left"/>
              <w:rPr>
                <w:rFonts w:cs="Calibri"/>
                <w:b/>
                <w:bCs/>
                <w:lang w:val="en-IN" w:eastAsia="en-IN"/>
              </w:rPr>
            </w:pPr>
            <w:r w:rsidRPr="00B53423">
              <w:rPr>
                <w:rFonts w:cs="Calibri"/>
                <w:b/>
                <w:bCs/>
                <w:lang w:val="en-IN" w:eastAsia="en-IN"/>
              </w:rPr>
              <w:t> </w:t>
            </w:r>
          </w:p>
        </w:tc>
        <w:tc>
          <w:tcPr>
            <w:tcW w:w="1454" w:type="dxa"/>
            <w:vAlign w:val="center"/>
          </w:tcPr>
          <w:p w:rsidR="004C74C2" w:rsidRPr="00B53423" w:rsidRDefault="004C74C2" w:rsidP="0015232B">
            <w:pPr>
              <w:spacing w:before="0" w:line="240" w:lineRule="auto"/>
              <w:ind w:right="158"/>
              <w:jc w:val="right"/>
              <w:rPr>
                <w:rFonts w:asciiTheme="minorHAnsi" w:hAnsiTheme="minorHAnsi" w:cstheme="minorHAnsi"/>
                <w:b/>
                <w:bCs/>
              </w:rPr>
            </w:pPr>
            <w:r w:rsidRPr="00B53423">
              <w:rPr>
                <w:rFonts w:asciiTheme="minorHAnsi" w:hAnsiTheme="minorHAnsi" w:cstheme="minorHAnsi"/>
                <w:b/>
                <w:bCs/>
              </w:rPr>
              <w:t> </w:t>
            </w:r>
          </w:p>
        </w:tc>
        <w:tc>
          <w:tcPr>
            <w:tcW w:w="1266" w:type="dxa"/>
            <w:shd w:val="clear" w:color="auto" w:fill="auto"/>
            <w:noWrap/>
            <w:vAlign w:val="center"/>
            <w:hideMark/>
          </w:tcPr>
          <w:p w:rsidR="004C74C2" w:rsidRPr="00B53423" w:rsidRDefault="004C74C2" w:rsidP="0015232B">
            <w:pPr>
              <w:spacing w:before="0" w:line="240" w:lineRule="auto"/>
              <w:ind w:right="150"/>
              <w:jc w:val="right"/>
              <w:rPr>
                <w:rFonts w:asciiTheme="minorHAnsi" w:hAnsiTheme="minorHAnsi" w:cstheme="minorHAnsi"/>
              </w:rPr>
            </w:pPr>
            <w:r w:rsidRPr="00B53423">
              <w:rPr>
                <w:rFonts w:asciiTheme="minorHAnsi" w:hAnsiTheme="minorHAnsi" w:cstheme="minorHAnsi"/>
              </w:rPr>
              <w:t> </w:t>
            </w:r>
          </w:p>
        </w:tc>
      </w:tr>
      <w:tr w:rsidR="004C74C2" w:rsidRPr="00B53423" w:rsidTr="00EE00F4">
        <w:trPr>
          <w:trHeight w:val="300"/>
          <w:jc w:val="center"/>
        </w:trPr>
        <w:tc>
          <w:tcPr>
            <w:tcW w:w="5111" w:type="dxa"/>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Interest on Consumer Security Deposits</w:t>
            </w:r>
          </w:p>
        </w:tc>
        <w:tc>
          <w:tcPr>
            <w:tcW w:w="1454" w:type="dxa"/>
            <w:vAlign w:val="center"/>
          </w:tcPr>
          <w:p w:rsidR="004C74C2" w:rsidRPr="00B53423" w:rsidRDefault="004C74C2" w:rsidP="0015232B">
            <w:pPr>
              <w:spacing w:before="0" w:line="240" w:lineRule="auto"/>
              <w:ind w:right="158"/>
              <w:jc w:val="right"/>
              <w:rPr>
                <w:rFonts w:asciiTheme="minorHAnsi" w:hAnsiTheme="minorHAnsi" w:cstheme="minorHAnsi"/>
                <w:color w:val="000000"/>
              </w:rPr>
            </w:pPr>
            <w:r w:rsidRPr="00B53423">
              <w:rPr>
                <w:rFonts w:asciiTheme="minorHAnsi" w:hAnsiTheme="minorHAnsi" w:cstheme="minorHAnsi"/>
                <w:color w:val="000000"/>
              </w:rPr>
              <w:t>8.71</w:t>
            </w:r>
          </w:p>
        </w:tc>
        <w:tc>
          <w:tcPr>
            <w:tcW w:w="1266" w:type="dxa"/>
            <w:shd w:val="clear" w:color="auto" w:fill="auto"/>
            <w:noWrap/>
            <w:vAlign w:val="center"/>
            <w:hideMark/>
          </w:tcPr>
          <w:p w:rsidR="004C74C2" w:rsidRPr="00B53423" w:rsidRDefault="004C74C2" w:rsidP="0015232B">
            <w:pPr>
              <w:spacing w:before="0" w:line="240" w:lineRule="auto"/>
              <w:ind w:right="150"/>
              <w:jc w:val="right"/>
              <w:rPr>
                <w:rFonts w:asciiTheme="minorHAnsi" w:hAnsiTheme="minorHAnsi" w:cstheme="minorHAnsi"/>
              </w:rPr>
            </w:pPr>
            <w:r w:rsidRPr="00B53423">
              <w:rPr>
                <w:rFonts w:asciiTheme="minorHAnsi" w:hAnsiTheme="minorHAnsi" w:cstheme="minorHAnsi"/>
              </w:rPr>
              <w:t xml:space="preserve">8.96 </w:t>
            </w:r>
          </w:p>
        </w:tc>
      </w:tr>
      <w:tr w:rsidR="004C74C2" w:rsidRPr="00B53423" w:rsidTr="00EE00F4">
        <w:trPr>
          <w:trHeight w:val="300"/>
          <w:jc w:val="center"/>
        </w:trPr>
        <w:tc>
          <w:tcPr>
            <w:tcW w:w="5111" w:type="dxa"/>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Bank Charges</w:t>
            </w:r>
          </w:p>
        </w:tc>
        <w:tc>
          <w:tcPr>
            <w:tcW w:w="1454" w:type="dxa"/>
            <w:vAlign w:val="center"/>
          </w:tcPr>
          <w:p w:rsidR="004C74C2" w:rsidRPr="00B53423" w:rsidRDefault="004C74C2" w:rsidP="0015232B">
            <w:pPr>
              <w:spacing w:before="0" w:line="240" w:lineRule="auto"/>
              <w:ind w:right="158"/>
              <w:jc w:val="right"/>
              <w:rPr>
                <w:rFonts w:asciiTheme="minorHAnsi" w:hAnsiTheme="minorHAnsi" w:cstheme="minorHAnsi"/>
                <w:color w:val="000000"/>
              </w:rPr>
            </w:pPr>
            <w:r w:rsidRPr="00B53423">
              <w:rPr>
                <w:rFonts w:asciiTheme="minorHAnsi" w:hAnsiTheme="minorHAnsi" w:cstheme="minorHAnsi"/>
                <w:color w:val="000000"/>
              </w:rPr>
              <w:t>0.001</w:t>
            </w:r>
          </w:p>
        </w:tc>
        <w:tc>
          <w:tcPr>
            <w:tcW w:w="1266" w:type="dxa"/>
            <w:shd w:val="clear" w:color="auto" w:fill="auto"/>
            <w:noWrap/>
            <w:vAlign w:val="center"/>
            <w:hideMark/>
          </w:tcPr>
          <w:p w:rsidR="004C74C2" w:rsidRPr="00B53423" w:rsidRDefault="004C74C2" w:rsidP="0015232B">
            <w:pPr>
              <w:spacing w:before="0" w:line="240" w:lineRule="auto"/>
              <w:ind w:right="150"/>
              <w:jc w:val="right"/>
              <w:rPr>
                <w:rFonts w:asciiTheme="minorHAnsi" w:hAnsiTheme="minorHAnsi" w:cstheme="minorHAnsi"/>
              </w:rPr>
            </w:pPr>
            <w:r w:rsidRPr="00B53423">
              <w:rPr>
                <w:rFonts w:asciiTheme="minorHAnsi" w:hAnsiTheme="minorHAnsi" w:cstheme="minorHAnsi"/>
              </w:rPr>
              <w:t xml:space="preserve">0.001 </w:t>
            </w:r>
          </w:p>
        </w:tc>
      </w:tr>
      <w:tr w:rsidR="004C74C2" w:rsidRPr="00B53423" w:rsidTr="00EE00F4">
        <w:trPr>
          <w:trHeight w:val="300"/>
          <w:jc w:val="center"/>
        </w:trPr>
        <w:tc>
          <w:tcPr>
            <w:tcW w:w="5111" w:type="dxa"/>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Discount to Consumers</w:t>
            </w:r>
          </w:p>
        </w:tc>
        <w:tc>
          <w:tcPr>
            <w:tcW w:w="1454" w:type="dxa"/>
            <w:vAlign w:val="center"/>
          </w:tcPr>
          <w:p w:rsidR="004C74C2" w:rsidRPr="00B53423" w:rsidRDefault="004C74C2" w:rsidP="0015232B">
            <w:pPr>
              <w:spacing w:before="0" w:line="240" w:lineRule="auto"/>
              <w:ind w:right="158"/>
              <w:jc w:val="right"/>
              <w:rPr>
                <w:rFonts w:asciiTheme="minorHAnsi" w:hAnsiTheme="minorHAnsi" w:cstheme="minorHAnsi"/>
                <w:color w:val="000000"/>
              </w:rPr>
            </w:pPr>
            <w:r w:rsidRPr="00B53423">
              <w:rPr>
                <w:rFonts w:asciiTheme="minorHAnsi" w:hAnsiTheme="minorHAnsi" w:cstheme="minorHAnsi"/>
                <w:color w:val="000000"/>
              </w:rPr>
              <w:t>-</w:t>
            </w:r>
          </w:p>
        </w:tc>
        <w:tc>
          <w:tcPr>
            <w:tcW w:w="1266" w:type="dxa"/>
            <w:shd w:val="clear" w:color="auto" w:fill="auto"/>
            <w:noWrap/>
            <w:vAlign w:val="center"/>
            <w:hideMark/>
          </w:tcPr>
          <w:p w:rsidR="004C74C2" w:rsidRPr="00B53423" w:rsidRDefault="004C74C2" w:rsidP="0015232B">
            <w:pPr>
              <w:spacing w:before="0" w:line="240" w:lineRule="auto"/>
              <w:ind w:right="150"/>
              <w:jc w:val="right"/>
              <w:rPr>
                <w:rFonts w:asciiTheme="minorHAnsi" w:hAnsiTheme="minorHAnsi" w:cstheme="minorHAnsi"/>
              </w:rPr>
            </w:pPr>
            <w:r w:rsidRPr="00B53423">
              <w:rPr>
                <w:rFonts w:asciiTheme="minorHAnsi" w:hAnsiTheme="minorHAnsi" w:cstheme="minorHAnsi"/>
              </w:rPr>
              <w:t xml:space="preserve">-   </w:t>
            </w:r>
          </w:p>
        </w:tc>
      </w:tr>
      <w:tr w:rsidR="004C74C2" w:rsidRPr="00B53423" w:rsidTr="00EE00F4">
        <w:trPr>
          <w:trHeight w:val="300"/>
          <w:jc w:val="center"/>
        </w:trPr>
        <w:tc>
          <w:tcPr>
            <w:tcW w:w="5111" w:type="dxa"/>
            <w:shd w:val="clear" w:color="auto" w:fill="auto"/>
            <w:hideMark/>
          </w:tcPr>
          <w:p w:rsidR="004C74C2" w:rsidRPr="00B53423" w:rsidRDefault="004C74C2" w:rsidP="0015232B">
            <w:pPr>
              <w:spacing w:before="0" w:line="240" w:lineRule="auto"/>
              <w:jc w:val="left"/>
              <w:rPr>
                <w:rFonts w:cs="Calibri"/>
                <w:b/>
                <w:bCs/>
                <w:lang w:val="en-IN" w:eastAsia="en-IN"/>
              </w:rPr>
            </w:pPr>
            <w:r w:rsidRPr="00B53423">
              <w:rPr>
                <w:rFonts w:cs="Calibri"/>
                <w:b/>
                <w:bCs/>
                <w:lang w:val="en-IN" w:eastAsia="en-IN"/>
              </w:rPr>
              <w:t>Sub Total</w:t>
            </w:r>
          </w:p>
        </w:tc>
        <w:tc>
          <w:tcPr>
            <w:tcW w:w="1454" w:type="dxa"/>
            <w:vAlign w:val="center"/>
          </w:tcPr>
          <w:p w:rsidR="004C74C2" w:rsidRPr="00B53423" w:rsidRDefault="004C74C2" w:rsidP="0015232B">
            <w:pPr>
              <w:spacing w:before="0" w:line="240" w:lineRule="auto"/>
              <w:ind w:right="158"/>
              <w:jc w:val="right"/>
              <w:rPr>
                <w:rFonts w:asciiTheme="minorHAnsi" w:hAnsiTheme="minorHAnsi" w:cstheme="minorHAnsi"/>
                <w:b/>
                <w:bCs/>
                <w:color w:val="000000"/>
              </w:rPr>
            </w:pPr>
            <w:r w:rsidRPr="00B53423">
              <w:rPr>
                <w:rFonts w:asciiTheme="minorHAnsi" w:hAnsiTheme="minorHAnsi" w:cstheme="minorHAnsi"/>
                <w:b/>
                <w:bCs/>
                <w:color w:val="000000"/>
              </w:rPr>
              <w:t>8.71</w:t>
            </w:r>
          </w:p>
        </w:tc>
        <w:tc>
          <w:tcPr>
            <w:tcW w:w="1266" w:type="dxa"/>
            <w:shd w:val="clear" w:color="auto" w:fill="auto"/>
            <w:noWrap/>
            <w:vAlign w:val="center"/>
            <w:hideMark/>
          </w:tcPr>
          <w:p w:rsidR="004C74C2" w:rsidRPr="00B53423" w:rsidRDefault="004C74C2" w:rsidP="0015232B">
            <w:pPr>
              <w:spacing w:before="0" w:line="240" w:lineRule="auto"/>
              <w:ind w:right="150"/>
              <w:jc w:val="right"/>
              <w:rPr>
                <w:rFonts w:asciiTheme="minorHAnsi" w:hAnsiTheme="minorHAnsi" w:cstheme="minorHAnsi"/>
                <w:b/>
                <w:bCs/>
                <w:color w:val="000000"/>
              </w:rPr>
            </w:pPr>
            <w:r w:rsidRPr="00B53423">
              <w:rPr>
                <w:rFonts w:asciiTheme="minorHAnsi" w:hAnsiTheme="minorHAnsi" w:cstheme="minorHAnsi"/>
                <w:b/>
                <w:bCs/>
                <w:color w:val="000000"/>
              </w:rPr>
              <w:t xml:space="preserve">8.96 </w:t>
            </w:r>
          </w:p>
        </w:tc>
      </w:tr>
      <w:tr w:rsidR="004C74C2" w:rsidRPr="00B53423" w:rsidTr="00EE00F4">
        <w:trPr>
          <w:trHeight w:val="300"/>
          <w:jc w:val="center"/>
        </w:trPr>
        <w:tc>
          <w:tcPr>
            <w:tcW w:w="5111" w:type="dxa"/>
            <w:shd w:val="clear" w:color="auto" w:fill="auto"/>
            <w:hideMark/>
          </w:tcPr>
          <w:p w:rsidR="004C74C2" w:rsidRPr="00B53423" w:rsidRDefault="004C74C2" w:rsidP="0015232B">
            <w:pPr>
              <w:spacing w:before="0" w:line="240" w:lineRule="auto"/>
              <w:jc w:val="left"/>
              <w:rPr>
                <w:rFonts w:cs="Calibri"/>
                <w:b/>
                <w:bCs/>
                <w:lang w:val="en-IN" w:eastAsia="en-IN"/>
              </w:rPr>
            </w:pPr>
            <w:r w:rsidRPr="00B53423">
              <w:rPr>
                <w:rFonts w:cs="Calibri"/>
                <w:b/>
                <w:bCs/>
                <w:lang w:val="en-IN" w:eastAsia="en-IN"/>
              </w:rPr>
              <w:t>Gross Total Interest &amp; Finance Charges</w:t>
            </w:r>
          </w:p>
        </w:tc>
        <w:tc>
          <w:tcPr>
            <w:tcW w:w="1454" w:type="dxa"/>
            <w:vAlign w:val="center"/>
          </w:tcPr>
          <w:p w:rsidR="004C74C2" w:rsidRPr="00B53423" w:rsidRDefault="004C74C2" w:rsidP="0015232B">
            <w:pPr>
              <w:spacing w:before="0" w:line="240" w:lineRule="auto"/>
              <w:ind w:right="158"/>
              <w:jc w:val="right"/>
              <w:rPr>
                <w:rFonts w:asciiTheme="minorHAnsi" w:hAnsiTheme="minorHAnsi" w:cstheme="minorHAnsi"/>
                <w:color w:val="000000"/>
              </w:rPr>
            </w:pPr>
            <w:r w:rsidRPr="00B53423">
              <w:rPr>
                <w:rFonts w:asciiTheme="minorHAnsi" w:hAnsiTheme="minorHAnsi" w:cstheme="minorHAnsi"/>
                <w:color w:val="000000"/>
              </w:rPr>
              <w:t>31.4</w:t>
            </w:r>
          </w:p>
        </w:tc>
        <w:tc>
          <w:tcPr>
            <w:tcW w:w="1266" w:type="dxa"/>
            <w:shd w:val="clear" w:color="auto" w:fill="auto"/>
            <w:noWrap/>
            <w:vAlign w:val="center"/>
            <w:hideMark/>
          </w:tcPr>
          <w:p w:rsidR="004C74C2" w:rsidRPr="00B53423" w:rsidRDefault="00EE00F4" w:rsidP="0015232B">
            <w:pPr>
              <w:spacing w:before="0" w:line="240" w:lineRule="auto"/>
              <w:ind w:right="150"/>
              <w:jc w:val="right"/>
              <w:rPr>
                <w:rFonts w:asciiTheme="minorHAnsi" w:hAnsiTheme="minorHAnsi" w:cstheme="minorHAnsi"/>
                <w:b/>
                <w:bCs/>
                <w:color w:val="000000"/>
              </w:rPr>
            </w:pPr>
            <w:r w:rsidRPr="00B53423">
              <w:rPr>
                <w:rFonts w:asciiTheme="minorHAnsi" w:hAnsiTheme="minorHAnsi" w:cstheme="minorHAnsi"/>
                <w:b/>
                <w:bCs/>
                <w:color w:val="000000"/>
              </w:rPr>
              <w:t>30.32</w:t>
            </w:r>
          </w:p>
        </w:tc>
      </w:tr>
      <w:tr w:rsidR="004C74C2" w:rsidRPr="00B53423" w:rsidTr="00EE00F4">
        <w:trPr>
          <w:trHeight w:val="300"/>
          <w:jc w:val="center"/>
        </w:trPr>
        <w:tc>
          <w:tcPr>
            <w:tcW w:w="5111" w:type="dxa"/>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Less: Capitalization of interest on Long term Loans</w:t>
            </w:r>
          </w:p>
        </w:tc>
        <w:tc>
          <w:tcPr>
            <w:tcW w:w="1454" w:type="dxa"/>
            <w:vAlign w:val="center"/>
          </w:tcPr>
          <w:p w:rsidR="004C74C2" w:rsidRPr="00B53423" w:rsidRDefault="004C74C2" w:rsidP="0015232B">
            <w:pPr>
              <w:spacing w:before="0" w:line="240" w:lineRule="auto"/>
              <w:ind w:right="158"/>
              <w:jc w:val="right"/>
              <w:rPr>
                <w:rFonts w:asciiTheme="minorHAnsi" w:hAnsiTheme="minorHAnsi" w:cstheme="minorHAnsi"/>
                <w:color w:val="000000"/>
              </w:rPr>
            </w:pPr>
            <w:r w:rsidRPr="00B53423">
              <w:rPr>
                <w:rFonts w:asciiTheme="minorHAnsi" w:hAnsiTheme="minorHAnsi" w:cstheme="minorHAnsi"/>
                <w:color w:val="000000"/>
              </w:rPr>
              <w:t>0.11</w:t>
            </w:r>
          </w:p>
        </w:tc>
        <w:tc>
          <w:tcPr>
            <w:tcW w:w="1266" w:type="dxa"/>
            <w:shd w:val="clear" w:color="auto" w:fill="auto"/>
            <w:noWrap/>
            <w:vAlign w:val="center"/>
            <w:hideMark/>
          </w:tcPr>
          <w:p w:rsidR="004C74C2" w:rsidRPr="00B53423" w:rsidRDefault="004C74C2" w:rsidP="0015232B">
            <w:pPr>
              <w:spacing w:before="0" w:line="240" w:lineRule="auto"/>
              <w:ind w:right="150"/>
              <w:jc w:val="right"/>
              <w:rPr>
                <w:rFonts w:asciiTheme="minorHAnsi" w:hAnsiTheme="minorHAnsi" w:cstheme="minorHAnsi"/>
              </w:rPr>
            </w:pPr>
            <w:r w:rsidRPr="00B53423">
              <w:rPr>
                <w:rFonts w:asciiTheme="minorHAnsi" w:hAnsiTheme="minorHAnsi" w:cstheme="minorHAnsi"/>
              </w:rPr>
              <w:t xml:space="preserve">-   </w:t>
            </w:r>
          </w:p>
        </w:tc>
      </w:tr>
      <w:tr w:rsidR="004C74C2" w:rsidRPr="00B53423" w:rsidTr="00EE00F4">
        <w:trPr>
          <w:trHeight w:val="300"/>
          <w:jc w:val="center"/>
        </w:trPr>
        <w:tc>
          <w:tcPr>
            <w:tcW w:w="5111" w:type="dxa"/>
            <w:shd w:val="clear" w:color="auto" w:fill="auto"/>
            <w:hideMark/>
          </w:tcPr>
          <w:p w:rsidR="004C74C2" w:rsidRPr="00B53423" w:rsidRDefault="004C74C2" w:rsidP="0015232B">
            <w:pPr>
              <w:spacing w:before="0" w:line="240" w:lineRule="auto"/>
              <w:jc w:val="left"/>
              <w:rPr>
                <w:rFonts w:cs="Calibri"/>
                <w:lang w:val="en-IN" w:eastAsia="en-IN"/>
              </w:rPr>
            </w:pPr>
            <w:r w:rsidRPr="00B53423">
              <w:rPr>
                <w:rFonts w:cs="Calibri"/>
                <w:lang w:val="en-IN" w:eastAsia="en-IN"/>
              </w:rPr>
              <w:t>Interest Capitalization Rate (%)</w:t>
            </w:r>
          </w:p>
        </w:tc>
        <w:tc>
          <w:tcPr>
            <w:tcW w:w="1454" w:type="dxa"/>
            <w:vAlign w:val="center"/>
          </w:tcPr>
          <w:p w:rsidR="004C74C2" w:rsidRPr="00B53423" w:rsidRDefault="004C74C2" w:rsidP="0015232B">
            <w:pPr>
              <w:spacing w:before="0" w:line="240" w:lineRule="auto"/>
              <w:ind w:right="158"/>
              <w:jc w:val="right"/>
              <w:rPr>
                <w:rFonts w:asciiTheme="minorHAnsi" w:hAnsiTheme="minorHAnsi" w:cstheme="minorHAnsi"/>
                <w:color w:val="000000"/>
              </w:rPr>
            </w:pPr>
            <w:r w:rsidRPr="00B53423">
              <w:rPr>
                <w:rFonts w:asciiTheme="minorHAnsi" w:hAnsiTheme="minorHAnsi" w:cstheme="minorHAnsi"/>
                <w:color w:val="000000"/>
              </w:rPr>
              <w:t>23.00%</w:t>
            </w:r>
          </w:p>
        </w:tc>
        <w:tc>
          <w:tcPr>
            <w:tcW w:w="1266" w:type="dxa"/>
            <w:shd w:val="clear" w:color="auto" w:fill="auto"/>
            <w:noWrap/>
            <w:vAlign w:val="center"/>
            <w:hideMark/>
          </w:tcPr>
          <w:p w:rsidR="004C74C2" w:rsidRPr="00B53423" w:rsidRDefault="004C74C2" w:rsidP="0015232B">
            <w:pPr>
              <w:spacing w:before="0" w:line="240" w:lineRule="auto"/>
              <w:ind w:right="150"/>
              <w:jc w:val="right"/>
              <w:rPr>
                <w:rFonts w:asciiTheme="minorHAnsi" w:hAnsiTheme="minorHAnsi" w:cstheme="minorHAnsi"/>
              </w:rPr>
            </w:pPr>
            <w:r w:rsidRPr="00B53423">
              <w:rPr>
                <w:rFonts w:asciiTheme="minorHAnsi" w:hAnsiTheme="minorHAnsi" w:cstheme="minorHAnsi"/>
              </w:rPr>
              <w:t>23.00%</w:t>
            </w:r>
          </w:p>
        </w:tc>
      </w:tr>
      <w:tr w:rsidR="004C74C2" w:rsidRPr="00B53423" w:rsidTr="00EE00F4">
        <w:trPr>
          <w:trHeight w:val="300"/>
          <w:jc w:val="center"/>
        </w:trPr>
        <w:tc>
          <w:tcPr>
            <w:tcW w:w="5111" w:type="dxa"/>
            <w:shd w:val="clear" w:color="auto" w:fill="auto"/>
            <w:hideMark/>
          </w:tcPr>
          <w:p w:rsidR="004C74C2" w:rsidRPr="00B53423" w:rsidRDefault="004C74C2" w:rsidP="0015232B">
            <w:pPr>
              <w:spacing w:before="0" w:line="240" w:lineRule="auto"/>
              <w:jc w:val="left"/>
              <w:rPr>
                <w:rFonts w:cs="Calibri"/>
                <w:b/>
                <w:bCs/>
                <w:lang w:val="en-IN" w:eastAsia="en-IN"/>
              </w:rPr>
            </w:pPr>
            <w:r w:rsidRPr="00B53423">
              <w:rPr>
                <w:rFonts w:cs="Calibri"/>
                <w:b/>
                <w:bCs/>
                <w:lang w:val="en-IN" w:eastAsia="en-IN"/>
              </w:rPr>
              <w:t xml:space="preserve">Net Interest &amp; Finance Charges </w:t>
            </w:r>
          </w:p>
        </w:tc>
        <w:tc>
          <w:tcPr>
            <w:tcW w:w="1454" w:type="dxa"/>
            <w:vAlign w:val="center"/>
          </w:tcPr>
          <w:p w:rsidR="004C74C2" w:rsidRPr="00B53423" w:rsidRDefault="004C74C2" w:rsidP="0015232B">
            <w:pPr>
              <w:spacing w:before="0" w:line="240" w:lineRule="auto"/>
              <w:ind w:right="158"/>
              <w:jc w:val="right"/>
              <w:rPr>
                <w:rFonts w:asciiTheme="minorHAnsi" w:hAnsiTheme="minorHAnsi" w:cstheme="minorHAnsi"/>
                <w:b/>
                <w:bCs/>
                <w:color w:val="000000"/>
              </w:rPr>
            </w:pPr>
            <w:r w:rsidRPr="00B53423">
              <w:rPr>
                <w:rFonts w:asciiTheme="minorHAnsi" w:hAnsiTheme="minorHAnsi" w:cstheme="minorHAnsi"/>
                <w:b/>
                <w:bCs/>
                <w:color w:val="000000"/>
              </w:rPr>
              <w:t>31.28</w:t>
            </w:r>
          </w:p>
        </w:tc>
        <w:tc>
          <w:tcPr>
            <w:tcW w:w="1266" w:type="dxa"/>
            <w:shd w:val="clear" w:color="auto" w:fill="auto"/>
            <w:noWrap/>
            <w:vAlign w:val="center"/>
            <w:hideMark/>
          </w:tcPr>
          <w:p w:rsidR="004C74C2" w:rsidRPr="00B53423" w:rsidRDefault="00EE00F4" w:rsidP="0015232B">
            <w:pPr>
              <w:spacing w:before="0" w:line="240" w:lineRule="auto"/>
              <w:ind w:right="150"/>
              <w:jc w:val="right"/>
              <w:rPr>
                <w:rFonts w:asciiTheme="minorHAnsi" w:hAnsiTheme="minorHAnsi" w:cstheme="minorHAnsi"/>
                <w:b/>
                <w:bCs/>
                <w:color w:val="000000"/>
              </w:rPr>
            </w:pPr>
            <w:r w:rsidRPr="00B53423">
              <w:rPr>
                <w:rFonts w:asciiTheme="minorHAnsi" w:hAnsiTheme="minorHAnsi" w:cstheme="minorHAnsi"/>
                <w:b/>
                <w:bCs/>
                <w:color w:val="000000"/>
              </w:rPr>
              <w:t>30.32</w:t>
            </w:r>
            <w:r w:rsidR="004C74C2" w:rsidRPr="00B53423">
              <w:rPr>
                <w:rFonts w:asciiTheme="minorHAnsi" w:hAnsiTheme="minorHAnsi" w:cstheme="minorHAnsi"/>
                <w:b/>
                <w:bCs/>
                <w:color w:val="000000"/>
              </w:rPr>
              <w:t xml:space="preserve"> </w:t>
            </w:r>
          </w:p>
        </w:tc>
      </w:tr>
    </w:tbl>
    <w:p w:rsidR="004C74C2" w:rsidRPr="00B53423" w:rsidRDefault="004C74C2" w:rsidP="0015232B">
      <w:pPr>
        <w:pStyle w:val="Heading2"/>
        <w:keepNext w:val="0"/>
        <w:numPr>
          <w:ilvl w:val="0"/>
          <w:numId w:val="0"/>
        </w:numPr>
        <w:ind w:left="576"/>
      </w:pPr>
    </w:p>
    <w:p w:rsidR="004C74C2" w:rsidRPr="00B53423" w:rsidRDefault="005D1D3F" w:rsidP="0015232B">
      <w:pPr>
        <w:pStyle w:val="Heading2"/>
        <w:keepNext w:val="0"/>
        <w:ind w:left="720" w:hanging="1080"/>
      </w:pPr>
      <w:bookmarkStart w:id="709" w:name="_Toc357733334"/>
      <w:r w:rsidRPr="00B53423">
        <w:t xml:space="preserve"> </w:t>
      </w:r>
      <w:bookmarkStart w:id="710" w:name="_Toc399626232"/>
      <w:r w:rsidR="004C74C2" w:rsidRPr="00B53423">
        <w:t>PROVISION FOR BAD AND DOUBTFUL DEBTS</w:t>
      </w:r>
      <w:bookmarkEnd w:id="708"/>
      <w:bookmarkEnd w:id="709"/>
      <w:bookmarkEnd w:id="710"/>
    </w:p>
    <w:p w:rsidR="004C74C2" w:rsidRPr="00B53423" w:rsidRDefault="004C74C2" w:rsidP="0015232B">
      <w:pPr>
        <w:pStyle w:val="Heading2"/>
        <w:keepNext w:val="0"/>
        <w:numPr>
          <w:ilvl w:val="0"/>
          <w:numId w:val="0"/>
        </w:numPr>
        <w:ind w:left="720"/>
        <w:rPr>
          <w:b w:val="0"/>
        </w:rPr>
      </w:pPr>
    </w:p>
    <w:p w:rsidR="004C74C2" w:rsidRPr="00B53423" w:rsidRDefault="004C74C2" w:rsidP="0015232B">
      <w:pPr>
        <w:pStyle w:val="Heading3"/>
        <w:keepNext w:val="0"/>
        <w:numPr>
          <w:ilvl w:val="0"/>
          <w:numId w:val="0"/>
        </w:numPr>
        <w:ind w:left="720"/>
      </w:pPr>
      <w:bookmarkStart w:id="711" w:name="_Toc357349092"/>
      <w:bookmarkStart w:id="712" w:name="_Toc357356145"/>
      <w:r w:rsidRPr="00B53423">
        <w:t>The Petitioner submitted that the provisions have been made for bad and doubtful debts at 2% of revenue receivables in line with Regulation 4.4 of Distribution Tariff Regulations, 2006. The Petitioner submitted that in the last Tariff Order the Commission had disallowed the Petitioner’s claim for provision for bad and doubtful debts due to the absence of any clear-cut policy. The Petitioner added that provision for bad and doubtful debts are accepted accounting principle even in sector like banking where the provisioning of un-collectable dues are considered as a normal commercial practice.</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 xml:space="preserve">Despite the Commission’s views on this component of ARR, the Petitioner has requested the Commission to allow the annual provisioning towards bad and doubtful debts as it is an accepted industry norm and also recognized by other State Electricity Regulatory Commissions.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submitted that the amount, if any, written off towards bad debts is only adjusted against the accumulated provisions in the books, irrespective of the actual amount of bad debts during any particular year and hence, it is a legitimate ARR component. Accordingly, the Petitioner has made provisions for bad debts for FY 2014-15 in line with the provisions of the Distribution Tariff Regulations, 2006.</w:t>
      </w:r>
    </w:p>
    <w:p w:rsidR="004C74C2" w:rsidRPr="00B53423" w:rsidRDefault="004C74C2" w:rsidP="0015232B">
      <w:pPr>
        <w:pStyle w:val="ListParagraph"/>
        <w:ind w:left="180"/>
      </w:pPr>
    </w:p>
    <w:p w:rsidR="004C74C2" w:rsidRPr="00B53423" w:rsidRDefault="004C74C2" w:rsidP="0015232B">
      <w:pPr>
        <w:pStyle w:val="Heading3"/>
        <w:keepNext w:val="0"/>
        <w:ind w:hanging="1080"/>
        <w:rPr>
          <w:b/>
        </w:rPr>
      </w:pPr>
      <w:r w:rsidRPr="00B53423">
        <w:t>Regulation 4.4 of the Distribution Tariff Regulations, 2006 provide for expenses under bad and doubtful Debts to the extent of 2% of the revenue receivables as specified below:</w:t>
      </w:r>
    </w:p>
    <w:p w:rsidR="004C74C2" w:rsidRPr="00B53423" w:rsidRDefault="004C74C2" w:rsidP="0015232B">
      <w:pPr>
        <w:pStyle w:val="ListParagraph"/>
        <w:ind w:left="1170"/>
        <w:rPr>
          <w:i/>
        </w:rPr>
      </w:pPr>
      <w:r w:rsidRPr="00B53423">
        <w:rPr>
          <w:i/>
        </w:rPr>
        <w:t>“4.4 Bad and Doubtful Debts:</w:t>
      </w:r>
    </w:p>
    <w:p w:rsidR="004C74C2" w:rsidRPr="00B53423" w:rsidRDefault="004C74C2" w:rsidP="0015232B">
      <w:pPr>
        <w:pStyle w:val="ListParagraph"/>
        <w:ind w:left="1170"/>
        <w:rPr>
          <w:i/>
        </w:rPr>
      </w:pPr>
      <w:r w:rsidRPr="00B53423">
        <w:rPr>
          <w:i/>
        </w:rPr>
        <w:t xml:space="preserve">Bad and Doubtful Debts shall be allowed as a legitimate business expense with the ceiling limit of 2% of the revenue receivables </w:t>
      </w:r>
      <w:r w:rsidRPr="00B53423">
        <w:rPr>
          <w:b/>
          <w:i/>
          <w:u w:val="single"/>
        </w:rPr>
        <w:t>provided the distribution licensee actually identifies and writes off bad debts as per the transparent policy approved by the Commission</w:t>
      </w:r>
      <w:r w:rsidRPr="00B53423">
        <w:rPr>
          <w:i/>
        </w:rPr>
        <w:t>. In case there is any recovery of bad debts already written off, the recovered bad debt will be treated as other income.”(</w:t>
      </w:r>
      <w:proofErr w:type="gramStart"/>
      <w:r w:rsidRPr="00B53423">
        <w:rPr>
          <w:b/>
          <w:i/>
        </w:rPr>
        <w:t>emphasis</w:t>
      </w:r>
      <w:proofErr w:type="gramEnd"/>
      <w:r w:rsidRPr="00B53423">
        <w:rPr>
          <w:b/>
          <w:i/>
        </w:rPr>
        <w:t xml:space="preserve"> added)</w:t>
      </w:r>
    </w:p>
    <w:p w:rsidR="004C74C2" w:rsidRPr="00B53423" w:rsidRDefault="004C74C2" w:rsidP="0015232B">
      <w:pPr>
        <w:pStyle w:val="ListParagraph"/>
        <w:ind w:left="1170"/>
        <w:rPr>
          <w:i/>
        </w:rPr>
      </w:pPr>
    </w:p>
    <w:p w:rsidR="004C74C2" w:rsidRPr="00B53423" w:rsidRDefault="004C74C2" w:rsidP="0015232B">
      <w:pPr>
        <w:pStyle w:val="Heading3"/>
        <w:keepNext w:val="0"/>
        <w:ind w:hanging="1080"/>
        <w:rPr>
          <w:b/>
        </w:rPr>
      </w:pPr>
      <w:r w:rsidRPr="00B53423">
        <w:t xml:space="preserve"> However, the Petitioner has to actually identify and write-off the bad debts as per a transparent policy approved by the Commission.</w:t>
      </w:r>
      <w:bookmarkEnd w:id="711"/>
      <w:bookmarkEnd w:id="712"/>
    </w:p>
    <w:p w:rsidR="004C74C2" w:rsidRPr="00B53423" w:rsidRDefault="004C74C2" w:rsidP="0015232B">
      <w:pPr>
        <w:pStyle w:val="Heading2"/>
        <w:keepNext w:val="0"/>
        <w:numPr>
          <w:ilvl w:val="0"/>
          <w:numId w:val="0"/>
        </w:numPr>
        <w:ind w:left="720"/>
        <w:rPr>
          <w:sz w:val="23"/>
          <w:szCs w:val="23"/>
        </w:rPr>
      </w:pPr>
    </w:p>
    <w:p w:rsidR="004C74C2" w:rsidRPr="00B53423" w:rsidRDefault="004C74C2" w:rsidP="0015232B">
      <w:pPr>
        <w:pStyle w:val="Heading3"/>
        <w:keepNext w:val="0"/>
        <w:ind w:hanging="1080"/>
      </w:pPr>
      <w:bookmarkStart w:id="713" w:name="_Toc357349093"/>
      <w:bookmarkStart w:id="714" w:name="_Toc357356146"/>
      <w:r w:rsidRPr="00B53423">
        <w:t>The Commission in its Tariff Order dated 31</w:t>
      </w:r>
      <w:r w:rsidRPr="00B53423">
        <w:rPr>
          <w:vertAlign w:val="superscript"/>
        </w:rPr>
        <w:t>st</w:t>
      </w:r>
      <w:r w:rsidRPr="00B53423">
        <w:t xml:space="preserve"> May, 2013 has disallowed the provision for bad and doubtful debts on account of lack of proper and transparent policy for actual identification and write-off the bad debts. The relevant extract of the Commission’s aforesaid Order is reproduced below:</w:t>
      </w:r>
    </w:p>
    <w:p w:rsidR="004C74C2" w:rsidRPr="00B53423" w:rsidRDefault="004C74C2" w:rsidP="0015232B">
      <w:pPr>
        <w:pStyle w:val="ListParagraph"/>
        <w:ind w:left="180"/>
      </w:pPr>
    </w:p>
    <w:p w:rsidR="004C74C2" w:rsidRPr="00B53423" w:rsidRDefault="004C74C2" w:rsidP="0015232B">
      <w:pPr>
        <w:pStyle w:val="ListParagraph"/>
        <w:ind w:left="1170"/>
        <w:rPr>
          <w:b/>
          <w:i/>
        </w:rPr>
      </w:pPr>
      <w:r w:rsidRPr="00B53423">
        <w:rPr>
          <w:i/>
        </w:rPr>
        <w:t>“...The Commission in its previous Tariff Orders opined that it is not averse to allowing provision for bad and doubtful debts in the course of normal operations of the Distribution Licensee. However such provisioning needs to backed up with processes to identify consumers who are not paying and then making adequate attempts to collect from such consumers. In this regard, the Commission in its previous order directed the Distribution Licensee to submit ten such sample cases of LT &amp; HT consumers where orders have been issued for writing off bad debts clearly depicting the procedure adopted for writing off bad debts along with a policy framework for Commission’s approval within a month of issue of this Order. In this regard the Licensee has submitted that action is being taken regularly in cases by way of P.D. and writing off the fictitious arrears at the distribution division level. However no such sample was submitted to the Commission.</w:t>
      </w:r>
      <w:bookmarkEnd w:id="713"/>
      <w:bookmarkEnd w:id="714"/>
      <w:r w:rsidRPr="00B53423">
        <w:rPr>
          <w:i/>
        </w:rPr>
        <w:t xml:space="preserve"> </w:t>
      </w:r>
      <w:bookmarkStart w:id="715" w:name="_Toc357349094"/>
      <w:bookmarkStart w:id="716" w:name="_Toc357356147"/>
      <w:r w:rsidRPr="00B53423">
        <w:rPr>
          <w:i/>
        </w:rPr>
        <w:t>Thus, in view of the above, Commission opines that it is inappropriate to approve the Bad &amp; Doubtful debts without a proper policy in place.</w:t>
      </w:r>
      <w:bookmarkEnd w:id="715"/>
      <w:bookmarkEnd w:id="716"/>
      <w:r w:rsidRPr="00B53423">
        <w:rPr>
          <w:i/>
        </w:rPr>
        <w:t>..”</w:t>
      </w:r>
    </w:p>
    <w:p w:rsidR="004C74C2" w:rsidRPr="00B53423" w:rsidRDefault="004C74C2" w:rsidP="0015232B">
      <w:pPr>
        <w:pStyle w:val="ListParagraph"/>
        <w:ind w:left="180"/>
        <w:rPr>
          <w:b/>
        </w:rPr>
      </w:pPr>
    </w:p>
    <w:p w:rsidR="004C74C2" w:rsidRPr="00B53423" w:rsidRDefault="004C74C2" w:rsidP="0015232B">
      <w:pPr>
        <w:pStyle w:val="Heading3"/>
        <w:keepNext w:val="0"/>
        <w:ind w:hanging="1080"/>
      </w:pPr>
      <w:r w:rsidRPr="00B53423">
        <w:t>The Petitioner has repeatedly pointed out that provisioning towards bad and doubtful debts is an accepted industry norm. However, the Petitioner should also recognize that as per prudent practices, every business should also ensure that the amount of debtors do not increase to an alarming level. Further, every prudent management would ensure to recover the dues and prevent them from becoming bad. It has been observed that despite the Commission’s directions in the regard in the previous Tariff Orders there has been no improvement on the part of the Petitioner.</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very fact that the Petitioner has not been able to identify and write off any amount towards bad and doubtful debts till now clearly indicates lack of proper policy framework for identification, recognition, and management of provision for bad and doubtful debt. Therefore, in accordance with the Regulations, the Commission disallows the Petitioner’s claim towards provision for bad and doubtful debts for FY 2014-15.</w:t>
      </w:r>
    </w:p>
    <w:p w:rsidR="004C74C2" w:rsidRPr="00B53423" w:rsidRDefault="004C74C2" w:rsidP="0015232B">
      <w:pPr>
        <w:pStyle w:val="ListParagraph"/>
        <w:ind w:left="180"/>
      </w:pPr>
    </w:p>
    <w:p w:rsidR="004C74C2" w:rsidRPr="00B53423" w:rsidRDefault="004C74C2" w:rsidP="0015232B">
      <w:pPr>
        <w:pStyle w:val="Heading3"/>
        <w:keepNext w:val="0"/>
        <w:ind w:hanging="1080"/>
        <w:rPr>
          <w:b/>
        </w:rPr>
      </w:pPr>
      <w:r w:rsidRPr="00B53423">
        <w:rPr>
          <w:b/>
        </w:rPr>
        <w:t>Further, in view of the above, the Commission accords a final direction to the Petitioner to frame guidelines and procedures for identifying, physically verifying and writing off the bad debts and also to fix responsibility of its employees in this regard within 3 months from the date of issue of the Order and submit the same to the Commission for its approval.</w:t>
      </w:r>
    </w:p>
    <w:p w:rsidR="004C74C2" w:rsidRPr="00B53423" w:rsidRDefault="004C74C2" w:rsidP="0015232B">
      <w:pPr>
        <w:tabs>
          <w:tab w:val="left" w:pos="360"/>
        </w:tabs>
        <w:spacing w:before="0"/>
      </w:pPr>
    </w:p>
    <w:p w:rsidR="004C74C2" w:rsidRPr="00B53423" w:rsidRDefault="004C74C2" w:rsidP="0015232B">
      <w:pPr>
        <w:pStyle w:val="Heading2"/>
        <w:keepNext w:val="0"/>
        <w:ind w:left="720" w:hanging="1080"/>
      </w:pPr>
      <w:bookmarkStart w:id="717" w:name="_Toc356322608"/>
      <w:bookmarkStart w:id="718" w:name="_Toc357733335"/>
      <w:bookmarkStart w:id="719" w:name="_Toc399626233"/>
      <w:r w:rsidRPr="00B53423">
        <w:t>OTHER INCOME</w:t>
      </w:r>
      <w:bookmarkEnd w:id="717"/>
      <w:bookmarkEnd w:id="718"/>
      <w:bookmarkEnd w:id="719"/>
    </w:p>
    <w:p w:rsidR="004C74C2" w:rsidRPr="00B53423" w:rsidRDefault="004C74C2" w:rsidP="0015232B">
      <w:pPr>
        <w:pStyle w:val="Heading3"/>
        <w:keepNext w:val="0"/>
        <w:numPr>
          <w:ilvl w:val="0"/>
          <w:numId w:val="0"/>
        </w:numPr>
        <w:ind w:left="720" w:hanging="720"/>
        <w:rPr>
          <w:b/>
        </w:rPr>
      </w:pPr>
    </w:p>
    <w:p w:rsidR="004C74C2" w:rsidRPr="00B53423" w:rsidRDefault="004C74C2" w:rsidP="0015232B">
      <w:pPr>
        <w:pStyle w:val="Heading3"/>
        <w:keepNext w:val="0"/>
        <w:tabs>
          <w:tab w:val="left" w:pos="720"/>
        </w:tabs>
        <w:ind w:hanging="1080"/>
      </w:pPr>
      <w:bookmarkStart w:id="720" w:name="_Toc357349096"/>
      <w:bookmarkStart w:id="721" w:name="_Toc357356149"/>
      <w:r w:rsidRPr="00B53423">
        <w:t>The Petitioner submitted that other income includes non tariff income such as interest on loans and advances to employees, income from fixed rate investment deposits</w:t>
      </w:r>
      <w:proofErr w:type="gramStart"/>
      <w:r w:rsidRPr="00B53423">
        <w:t>,  and</w:t>
      </w:r>
      <w:proofErr w:type="gramEnd"/>
      <w:r w:rsidRPr="00B53423">
        <w:t xml:space="preserve"> other miscellaneous income from retail sources. The Petitioner has projected the other income for FY 2014-15 to grow at the rate of inflation index from the actuals of FY 2012-13.</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As per Regulation 5.1 (2) of the Distribution Tariff Regulations, 2006 the indicative heads to be considered in Non-Tariff are as follows:</w:t>
      </w:r>
    </w:p>
    <w:p w:rsidR="004C74C2" w:rsidRPr="00B53423" w:rsidRDefault="004C74C2" w:rsidP="0015232B">
      <w:pPr>
        <w:pStyle w:val="Heading3"/>
        <w:keepNext w:val="0"/>
        <w:numPr>
          <w:ilvl w:val="0"/>
          <w:numId w:val="0"/>
        </w:numPr>
        <w:ind w:left="720"/>
        <w:rPr>
          <w:b/>
        </w:rPr>
      </w:pPr>
    </w:p>
    <w:p w:rsidR="004C74C2" w:rsidRPr="00B53423" w:rsidRDefault="004C74C2" w:rsidP="0015232B">
      <w:pPr>
        <w:pStyle w:val="Heading3"/>
        <w:keepNext w:val="0"/>
        <w:numPr>
          <w:ilvl w:val="0"/>
          <w:numId w:val="0"/>
        </w:numPr>
        <w:ind w:left="1440"/>
        <w:rPr>
          <w:b/>
          <w:i/>
        </w:rPr>
      </w:pPr>
      <w:r w:rsidRPr="00B53423">
        <w:rPr>
          <w:b/>
          <w:i/>
        </w:rPr>
        <w:t>“5.1 Forecast of Revenues:</w:t>
      </w:r>
    </w:p>
    <w:p w:rsidR="004C74C2" w:rsidRPr="00B53423" w:rsidRDefault="004C74C2" w:rsidP="0015232B">
      <w:pPr>
        <w:pStyle w:val="Heading3"/>
        <w:keepNext w:val="0"/>
        <w:numPr>
          <w:ilvl w:val="0"/>
          <w:numId w:val="0"/>
        </w:numPr>
        <w:ind w:left="1440"/>
        <w:rPr>
          <w:b/>
          <w:i/>
        </w:rPr>
      </w:pPr>
    </w:p>
    <w:p w:rsidR="004C74C2" w:rsidRPr="00B53423" w:rsidRDefault="004C74C2" w:rsidP="0015232B">
      <w:pPr>
        <w:pStyle w:val="Heading3"/>
        <w:keepNext w:val="0"/>
        <w:numPr>
          <w:ilvl w:val="0"/>
          <w:numId w:val="0"/>
        </w:numPr>
        <w:ind w:left="1440"/>
        <w:rPr>
          <w:i/>
        </w:rPr>
      </w:pPr>
      <w:r w:rsidRPr="00B53423">
        <w:rPr>
          <w:i/>
        </w:rPr>
        <w:t>...2. The non-tariff income shall comprise of:</w:t>
      </w:r>
    </w:p>
    <w:p w:rsidR="004C74C2" w:rsidRPr="00B53423" w:rsidRDefault="004C74C2" w:rsidP="0015232B">
      <w:pPr>
        <w:pStyle w:val="Heading3"/>
        <w:keepNext w:val="0"/>
        <w:numPr>
          <w:ilvl w:val="0"/>
          <w:numId w:val="0"/>
        </w:numPr>
        <w:ind w:left="1440"/>
        <w:rPr>
          <w:i/>
        </w:rPr>
      </w:pPr>
      <w:r w:rsidRPr="00B53423">
        <w:rPr>
          <w:i/>
        </w:rPr>
        <w:t>(a) Delayed Payment Surcharge,</w:t>
      </w:r>
    </w:p>
    <w:p w:rsidR="004C74C2" w:rsidRPr="00B53423" w:rsidRDefault="004C74C2" w:rsidP="0015232B">
      <w:pPr>
        <w:pStyle w:val="Heading3"/>
        <w:keepNext w:val="0"/>
        <w:numPr>
          <w:ilvl w:val="0"/>
          <w:numId w:val="0"/>
        </w:numPr>
        <w:ind w:left="1440"/>
        <w:rPr>
          <w:i/>
        </w:rPr>
      </w:pPr>
      <w:r w:rsidRPr="00B53423">
        <w:rPr>
          <w:i/>
        </w:rPr>
        <w:t>(b) Meter Rent,</w:t>
      </w:r>
    </w:p>
    <w:p w:rsidR="004C74C2" w:rsidRPr="00B53423" w:rsidRDefault="004C74C2" w:rsidP="0015232B">
      <w:pPr>
        <w:pStyle w:val="Heading3"/>
        <w:keepNext w:val="0"/>
        <w:numPr>
          <w:ilvl w:val="0"/>
          <w:numId w:val="0"/>
        </w:numPr>
        <w:ind w:left="1440"/>
        <w:rPr>
          <w:i/>
        </w:rPr>
      </w:pPr>
      <w:r w:rsidRPr="00B53423">
        <w:rPr>
          <w:i/>
        </w:rPr>
        <w:t>(c) Income from investments,</w:t>
      </w:r>
    </w:p>
    <w:p w:rsidR="004C74C2" w:rsidRPr="00B53423" w:rsidRDefault="004C74C2" w:rsidP="0015232B">
      <w:pPr>
        <w:pStyle w:val="Heading3"/>
        <w:keepNext w:val="0"/>
        <w:numPr>
          <w:ilvl w:val="0"/>
          <w:numId w:val="0"/>
        </w:numPr>
        <w:ind w:left="1440"/>
        <w:rPr>
          <w:i/>
        </w:rPr>
      </w:pPr>
      <w:r w:rsidRPr="00B53423">
        <w:rPr>
          <w:i/>
        </w:rPr>
        <w:t>(d) Miscellaneous receipts from consumers,</w:t>
      </w:r>
    </w:p>
    <w:p w:rsidR="004C74C2" w:rsidRPr="00B53423" w:rsidRDefault="004C74C2" w:rsidP="0015232B">
      <w:pPr>
        <w:pStyle w:val="Heading3"/>
        <w:keepNext w:val="0"/>
        <w:numPr>
          <w:ilvl w:val="0"/>
          <w:numId w:val="0"/>
        </w:numPr>
        <w:ind w:left="1440"/>
        <w:rPr>
          <w:i/>
        </w:rPr>
      </w:pPr>
      <w:r w:rsidRPr="00B53423">
        <w:rPr>
          <w:i/>
        </w:rPr>
        <w:t>(e) Trading income</w:t>
      </w:r>
    </w:p>
    <w:p w:rsidR="004C74C2" w:rsidRPr="00B53423" w:rsidRDefault="004C74C2" w:rsidP="0015232B">
      <w:pPr>
        <w:pStyle w:val="Heading3"/>
        <w:keepNext w:val="0"/>
        <w:numPr>
          <w:ilvl w:val="0"/>
          <w:numId w:val="0"/>
        </w:numPr>
        <w:ind w:left="1440"/>
        <w:rPr>
          <w:i/>
        </w:rPr>
      </w:pPr>
      <w:r w:rsidRPr="00B53423">
        <w:rPr>
          <w:i/>
        </w:rPr>
        <w:t>(f) Share of income from the other businesses of the distribution licensee</w:t>
      </w:r>
    </w:p>
    <w:p w:rsidR="004C74C2" w:rsidRPr="00B53423" w:rsidRDefault="004C74C2" w:rsidP="0015232B">
      <w:pPr>
        <w:pStyle w:val="Heading3"/>
        <w:keepNext w:val="0"/>
        <w:numPr>
          <w:ilvl w:val="0"/>
          <w:numId w:val="0"/>
        </w:numPr>
        <w:ind w:left="1440"/>
        <w:rPr>
          <w:i/>
        </w:rPr>
      </w:pPr>
      <w:r w:rsidRPr="00B53423">
        <w:rPr>
          <w:i/>
        </w:rPr>
        <w:t>(g) Any other income....”</w:t>
      </w:r>
    </w:p>
    <w:p w:rsidR="004C74C2" w:rsidRPr="00B53423" w:rsidRDefault="004C74C2" w:rsidP="0015232B">
      <w:pPr>
        <w:pStyle w:val="ListParagraph"/>
        <w:ind w:left="1440"/>
        <w:rPr>
          <w:i/>
        </w:rPr>
      </w:pPr>
    </w:p>
    <w:p w:rsidR="004C74C2" w:rsidRPr="00B53423" w:rsidRDefault="004C74C2" w:rsidP="0015232B">
      <w:pPr>
        <w:pStyle w:val="Heading3"/>
        <w:keepNext w:val="0"/>
        <w:ind w:hanging="1080"/>
      </w:pPr>
      <w:r w:rsidRPr="00B53423">
        <w:t>Accordingly, the Commission has approved Non-Tariff Income to the tune of Rs. 6.50 Crore for FY 2014-15 which is same as that claimed by the Petitioner as shown in the Table below:</w:t>
      </w:r>
      <w:bookmarkEnd w:id="720"/>
      <w:bookmarkEnd w:id="721"/>
    </w:p>
    <w:p w:rsidR="004C74C2" w:rsidRPr="00B53423" w:rsidRDefault="004C74C2" w:rsidP="0015232B">
      <w:pPr>
        <w:pStyle w:val="Heading3"/>
        <w:keepNext w:val="0"/>
        <w:numPr>
          <w:ilvl w:val="0"/>
          <w:numId w:val="0"/>
        </w:numPr>
        <w:ind w:left="720"/>
      </w:pPr>
    </w:p>
    <w:p w:rsidR="004C74C2" w:rsidRPr="00B53423" w:rsidRDefault="004C74C2" w:rsidP="0015232B">
      <w:pPr>
        <w:jc w:val="center"/>
        <w:rPr>
          <w:b/>
        </w:rPr>
      </w:pPr>
      <w:bookmarkStart w:id="722" w:name="_Toc338310718"/>
      <w:bookmarkStart w:id="723" w:name="_Toc338419548"/>
      <w:bookmarkStart w:id="724" w:name="_Toc357738746"/>
      <w:bookmarkStart w:id="725" w:name="_Toc399626433"/>
      <w:r w:rsidRPr="00B53423">
        <w:rPr>
          <w:b/>
        </w:rPr>
        <w:t xml:space="preserve">Table </w:t>
      </w:r>
      <w:r w:rsidR="005D68E7" w:rsidRPr="00B53423">
        <w:rPr>
          <w:b/>
        </w:rPr>
        <w:fldChar w:fldCharType="begin"/>
      </w:r>
      <w:r w:rsidRPr="00B53423">
        <w:rPr>
          <w:b/>
        </w:rPr>
        <w:instrText xml:space="preserve"> STYLEREF 1 \s </w:instrText>
      </w:r>
      <w:r w:rsidR="005D68E7" w:rsidRPr="00B53423">
        <w:rPr>
          <w:b/>
        </w:rPr>
        <w:fldChar w:fldCharType="separate"/>
      </w:r>
      <w:r w:rsidR="00847C1B">
        <w:rPr>
          <w:b/>
          <w:noProof/>
        </w:rPr>
        <w:t>9</w:t>
      </w:r>
      <w:r w:rsidR="005D68E7" w:rsidRPr="00B53423">
        <w:rPr>
          <w:b/>
        </w:rPr>
        <w:fldChar w:fldCharType="end"/>
      </w:r>
      <w:r w:rsidRPr="00B53423">
        <w:rPr>
          <w:b/>
        </w:rPr>
        <w:noBreakHyphen/>
      </w:r>
      <w:r w:rsidR="005D68E7" w:rsidRPr="00B53423">
        <w:rPr>
          <w:b/>
        </w:rPr>
        <w:fldChar w:fldCharType="begin"/>
      </w:r>
      <w:r w:rsidRPr="00B53423">
        <w:rPr>
          <w:b/>
        </w:rPr>
        <w:instrText xml:space="preserve"> SEQ Table \* ARABIC \s 1 </w:instrText>
      </w:r>
      <w:r w:rsidR="005D68E7" w:rsidRPr="00B53423">
        <w:rPr>
          <w:b/>
        </w:rPr>
        <w:fldChar w:fldCharType="separate"/>
      </w:r>
      <w:r w:rsidR="00847C1B">
        <w:rPr>
          <w:b/>
          <w:noProof/>
        </w:rPr>
        <w:t>28</w:t>
      </w:r>
      <w:r w:rsidR="005D68E7" w:rsidRPr="00B53423">
        <w:rPr>
          <w:b/>
        </w:rPr>
        <w:fldChar w:fldCharType="end"/>
      </w:r>
      <w:r w:rsidRPr="00B53423">
        <w:rPr>
          <w:b/>
        </w:rPr>
        <w:t>: OTHER INCOME FOR FY 2014-15 (Rs. Crore)</w:t>
      </w:r>
      <w:bookmarkEnd w:id="722"/>
      <w:bookmarkEnd w:id="723"/>
      <w:bookmarkEnd w:id="724"/>
      <w:bookmarkEnd w:id="725"/>
    </w:p>
    <w:tbl>
      <w:tblPr>
        <w:tblW w:w="0" w:type="auto"/>
        <w:jc w:val="center"/>
        <w:tblInd w:w="-131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438"/>
        <w:gridCol w:w="1944"/>
        <w:gridCol w:w="1944"/>
      </w:tblGrid>
      <w:tr w:rsidR="004C74C2" w:rsidRPr="00B53423" w:rsidTr="009268E4">
        <w:trPr>
          <w:trHeight w:val="20"/>
          <w:tblHeader/>
          <w:jc w:val="center"/>
        </w:trPr>
        <w:tc>
          <w:tcPr>
            <w:tcW w:w="4438" w:type="dxa"/>
            <w:shd w:val="clear" w:color="000000" w:fill="DBE5F1"/>
            <w:vAlign w:val="center"/>
            <w:hideMark/>
          </w:tcPr>
          <w:p w:rsidR="004C74C2" w:rsidRPr="00B53423" w:rsidRDefault="004C74C2" w:rsidP="0015232B">
            <w:pPr>
              <w:spacing w:before="0" w:line="240" w:lineRule="auto"/>
              <w:jc w:val="center"/>
              <w:rPr>
                <w:rFonts w:cs="Calibri"/>
                <w:b/>
                <w:bCs/>
                <w:lang w:val="en-IN" w:eastAsia="en-IN"/>
              </w:rPr>
            </w:pPr>
            <w:r w:rsidRPr="00B53423">
              <w:rPr>
                <w:rFonts w:cs="Calibri"/>
                <w:b/>
                <w:bCs/>
                <w:lang w:val="en-IN" w:eastAsia="en-IN"/>
              </w:rPr>
              <w:t>Particulars</w:t>
            </w:r>
          </w:p>
        </w:tc>
        <w:tc>
          <w:tcPr>
            <w:tcW w:w="1944" w:type="dxa"/>
            <w:shd w:val="clear" w:color="000000" w:fill="DBE5F1"/>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ARR Petition</w:t>
            </w:r>
          </w:p>
        </w:tc>
        <w:tc>
          <w:tcPr>
            <w:tcW w:w="1944" w:type="dxa"/>
            <w:shd w:val="clear" w:color="000000" w:fill="DBE5F1"/>
            <w:vAlign w:val="center"/>
            <w:hideMark/>
          </w:tcPr>
          <w:p w:rsidR="004C74C2" w:rsidRPr="00B53423" w:rsidRDefault="004C74C2" w:rsidP="0015232B">
            <w:pPr>
              <w:spacing w:before="0" w:line="240" w:lineRule="auto"/>
              <w:jc w:val="center"/>
              <w:rPr>
                <w:rFonts w:cs="Calibri"/>
                <w:b/>
                <w:bCs/>
                <w:color w:val="000000"/>
                <w:lang w:val="en-IN" w:eastAsia="en-IN"/>
              </w:rPr>
            </w:pPr>
            <w:r w:rsidRPr="00B53423">
              <w:rPr>
                <w:rFonts w:cs="Calibri"/>
                <w:b/>
                <w:bCs/>
                <w:color w:val="000000"/>
                <w:lang w:val="en-IN" w:eastAsia="en-IN"/>
              </w:rPr>
              <w:t>Approved</w:t>
            </w:r>
          </w:p>
        </w:tc>
      </w:tr>
      <w:tr w:rsidR="004C74C2" w:rsidRPr="00B53423" w:rsidTr="009268E4">
        <w:trPr>
          <w:trHeight w:val="20"/>
          <w:jc w:val="center"/>
        </w:trPr>
        <w:tc>
          <w:tcPr>
            <w:tcW w:w="4438" w:type="dxa"/>
            <w:shd w:val="clear" w:color="auto" w:fill="auto"/>
            <w:noWrap/>
            <w:vAlign w:val="center"/>
            <w:hideMark/>
          </w:tcPr>
          <w:p w:rsidR="004C74C2" w:rsidRPr="00B53423" w:rsidRDefault="004C74C2" w:rsidP="0015232B">
            <w:pPr>
              <w:spacing w:before="0" w:line="240" w:lineRule="auto"/>
              <w:jc w:val="left"/>
              <w:rPr>
                <w:rFonts w:cs="Calibri"/>
              </w:rPr>
            </w:pPr>
            <w:r w:rsidRPr="00B53423">
              <w:rPr>
                <w:rFonts w:cs="Calibri"/>
              </w:rPr>
              <w:t>Interest on fixed deposits</w:t>
            </w:r>
          </w:p>
        </w:tc>
        <w:tc>
          <w:tcPr>
            <w:tcW w:w="1944" w:type="dxa"/>
            <w:vAlign w:val="center"/>
          </w:tcPr>
          <w:p w:rsidR="004C74C2" w:rsidRPr="00B53423" w:rsidRDefault="004C74C2" w:rsidP="0015232B">
            <w:pPr>
              <w:spacing w:before="0" w:line="240" w:lineRule="auto"/>
              <w:ind w:right="631"/>
              <w:jc w:val="right"/>
              <w:rPr>
                <w:rFonts w:cs="Calibri"/>
                <w:color w:val="000000"/>
              </w:rPr>
            </w:pPr>
            <w:r w:rsidRPr="00B53423">
              <w:rPr>
                <w:rFonts w:cs="Calibri"/>
                <w:color w:val="000000"/>
              </w:rPr>
              <w:t>1.64</w:t>
            </w:r>
          </w:p>
        </w:tc>
        <w:tc>
          <w:tcPr>
            <w:tcW w:w="1944" w:type="dxa"/>
            <w:shd w:val="clear" w:color="auto" w:fill="auto"/>
            <w:noWrap/>
            <w:vAlign w:val="center"/>
            <w:hideMark/>
          </w:tcPr>
          <w:p w:rsidR="004C74C2" w:rsidRPr="00B53423" w:rsidRDefault="004C74C2" w:rsidP="0015232B">
            <w:pPr>
              <w:spacing w:before="0" w:line="240" w:lineRule="auto"/>
              <w:ind w:right="631"/>
              <w:jc w:val="right"/>
              <w:rPr>
                <w:rFonts w:cs="Calibri"/>
                <w:color w:val="000000"/>
              </w:rPr>
            </w:pPr>
            <w:r w:rsidRPr="00B53423">
              <w:rPr>
                <w:rFonts w:cs="Calibri"/>
                <w:color w:val="000000"/>
              </w:rPr>
              <w:t>1.64</w:t>
            </w:r>
          </w:p>
        </w:tc>
      </w:tr>
      <w:tr w:rsidR="004C74C2" w:rsidRPr="00B53423" w:rsidTr="009268E4">
        <w:trPr>
          <w:trHeight w:val="20"/>
          <w:jc w:val="center"/>
        </w:trPr>
        <w:tc>
          <w:tcPr>
            <w:tcW w:w="4438" w:type="dxa"/>
            <w:shd w:val="clear" w:color="auto" w:fill="auto"/>
            <w:noWrap/>
            <w:vAlign w:val="center"/>
            <w:hideMark/>
          </w:tcPr>
          <w:p w:rsidR="004C74C2" w:rsidRPr="00B53423" w:rsidRDefault="004C74C2" w:rsidP="0015232B">
            <w:pPr>
              <w:spacing w:before="0" w:line="240" w:lineRule="auto"/>
              <w:jc w:val="left"/>
              <w:rPr>
                <w:rFonts w:cs="Calibri"/>
              </w:rPr>
            </w:pPr>
            <w:r w:rsidRPr="00B53423">
              <w:rPr>
                <w:rFonts w:cs="Calibri"/>
              </w:rPr>
              <w:t>Rental from Staff</w:t>
            </w:r>
          </w:p>
        </w:tc>
        <w:tc>
          <w:tcPr>
            <w:tcW w:w="1944" w:type="dxa"/>
            <w:vAlign w:val="center"/>
          </w:tcPr>
          <w:p w:rsidR="004C74C2" w:rsidRPr="00B53423" w:rsidRDefault="004C74C2" w:rsidP="0015232B">
            <w:pPr>
              <w:spacing w:before="0" w:line="240" w:lineRule="auto"/>
              <w:ind w:right="631"/>
              <w:jc w:val="right"/>
              <w:rPr>
                <w:rFonts w:cs="Calibri"/>
                <w:color w:val="000000"/>
              </w:rPr>
            </w:pPr>
            <w:r w:rsidRPr="00B53423">
              <w:rPr>
                <w:rFonts w:cs="Calibri"/>
                <w:color w:val="000000"/>
              </w:rPr>
              <w:t>0.10</w:t>
            </w:r>
          </w:p>
        </w:tc>
        <w:tc>
          <w:tcPr>
            <w:tcW w:w="1944" w:type="dxa"/>
            <w:shd w:val="clear" w:color="auto" w:fill="auto"/>
            <w:noWrap/>
            <w:vAlign w:val="center"/>
            <w:hideMark/>
          </w:tcPr>
          <w:p w:rsidR="004C74C2" w:rsidRPr="00B53423" w:rsidRDefault="004C74C2" w:rsidP="0015232B">
            <w:pPr>
              <w:spacing w:before="0" w:line="240" w:lineRule="auto"/>
              <w:ind w:right="631"/>
              <w:jc w:val="right"/>
              <w:rPr>
                <w:rFonts w:cs="Calibri"/>
                <w:color w:val="000000"/>
              </w:rPr>
            </w:pPr>
            <w:r w:rsidRPr="00B53423">
              <w:rPr>
                <w:rFonts w:cs="Calibri"/>
                <w:color w:val="000000"/>
              </w:rPr>
              <w:t>0.10</w:t>
            </w:r>
          </w:p>
        </w:tc>
      </w:tr>
      <w:tr w:rsidR="004C74C2" w:rsidRPr="00B53423" w:rsidTr="009268E4">
        <w:trPr>
          <w:trHeight w:val="20"/>
          <w:jc w:val="center"/>
        </w:trPr>
        <w:tc>
          <w:tcPr>
            <w:tcW w:w="4438" w:type="dxa"/>
            <w:shd w:val="clear" w:color="auto" w:fill="auto"/>
            <w:noWrap/>
            <w:vAlign w:val="center"/>
            <w:hideMark/>
          </w:tcPr>
          <w:p w:rsidR="004C74C2" w:rsidRPr="00B53423" w:rsidRDefault="004C74C2" w:rsidP="0015232B">
            <w:pPr>
              <w:spacing w:before="0" w:line="240" w:lineRule="auto"/>
              <w:jc w:val="left"/>
              <w:rPr>
                <w:rFonts w:cs="Calibri"/>
              </w:rPr>
            </w:pPr>
            <w:r w:rsidRPr="00B53423">
              <w:rPr>
                <w:rFonts w:cs="Calibri"/>
              </w:rPr>
              <w:t>Miscellaneous receipts</w:t>
            </w:r>
          </w:p>
        </w:tc>
        <w:tc>
          <w:tcPr>
            <w:tcW w:w="1944" w:type="dxa"/>
            <w:vAlign w:val="center"/>
          </w:tcPr>
          <w:p w:rsidR="004C74C2" w:rsidRPr="00B53423" w:rsidRDefault="004C74C2" w:rsidP="0015232B">
            <w:pPr>
              <w:spacing w:before="0" w:line="240" w:lineRule="auto"/>
              <w:ind w:right="631"/>
              <w:jc w:val="right"/>
              <w:rPr>
                <w:rFonts w:cs="Calibri"/>
                <w:color w:val="000000"/>
              </w:rPr>
            </w:pPr>
            <w:r w:rsidRPr="00B53423">
              <w:rPr>
                <w:rFonts w:cs="Calibri"/>
                <w:color w:val="000000"/>
              </w:rPr>
              <w:t>0.04</w:t>
            </w:r>
          </w:p>
        </w:tc>
        <w:tc>
          <w:tcPr>
            <w:tcW w:w="1944" w:type="dxa"/>
            <w:shd w:val="clear" w:color="auto" w:fill="auto"/>
            <w:noWrap/>
            <w:vAlign w:val="center"/>
            <w:hideMark/>
          </w:tcPr>
          <w:p w:rsidR="004C74C2" w:rsidRPr="00B53423" w:rsidRDefault="004C74C2" w:rsidP="0015232B">
            <w:pPr>
              <w:spacing w:before="0" w:line="240" w:lineRule="auto"/>
              <w:ind w:right="631"/>
              <w:jc w:val="right"/>
              <w:rPr>
                <w:rFonts w:cs="Calibri"/>
                <w:color w:val="000000"/>
              </w:rPr>
            </w:pPr>
            <w:r w:rsidRPr="00B53423">
              <w:rPr>
                <w:rFonts w:cs="Calibri"/>
                <w:color w:val="000000"/>
              </w:rPr>
              <w:t>0.04</w:t>
            </w:r>
          </w:p>
        </w:tc>
      </w:tr>
      <w:tr w:rsidR="004C74C2" w:rsidRPr="00B53423" w:rsidTr="009268E4">
        <w:trPr>
          <w:trHeight w:val="20"/>
          <w:jc w:val="center"/>
        </w:trPr>
        <w:tc>
          <w:tcPr>
            <w:tcW w:w="4438" w:type="dxa"/>
            <w:shd w:val="clear" w:color="auto" w:fill="auto"/>
            <w:noWrap/>
            <w:vAlign w:val="center"/>
            <w:hideMark/>
          </w:tcPr>
          <w:p w:rsidR="004C74C2" w:rsidRPr="00B53423" w:rsidRDefault="004C74C2" w:rsidP="0015232B">
            <w:pPr>
              <w:spacing w:before="0" w:line="240" w:lineRule="auto"/>
              <w:jc w:val="left"/>
              <w:rPr>
                <w:rFonts w:cs="Calibri"/>
              </w:rPr>
            </w:pPr>
            <w:r w:rsidRPr="00B53423">
              <w:rPr>
                <w:rFonts w:cs="Calibri"/>
              </w:rPr>
              <w:t>Recovery from theft of energy</w:t>
            </w:r>
          </w:p>
        </w:tc>
        <w:tc>
          <w:tcPr>
            <w:tcW w:w="1944" w:type="dxa"/>
            <w:vAlign w:val="center"/>
          </w:tcPr>
          <w:p w:rsidR="004C74C2" w:rsidRPr="00B53423" w:rsidRDefault="004C74C2" w:rsidP="0015232B">
            <w:pPr>
              <w:spacing w:before="0" w:line="240" w:lineRule="auto"/>
              <w:ind w:right="631"/>
              <w:jc w:val="right"/>
              <w:rPr>
                <w:rFonts w:cs="Calibri"/>
                <w:color w:val="000000"/>
              </w:rPr>
            </w:pPr>
            <w:r w:rsidRPr="00B53423">
              <w:rPr>
                <w:rFonts w:cs="Calibri"/>
                <w:color w:val="000000"/>
              </w:rPr>
              <w:t>-</w:t>
            </w:r>
          </w:p>
        </w:tc>
        <w:tc>
          <w:tcPr>
            <w:tcW w:w="1944" w:type="dxa"/>
            <w:shd w:val="clear" w:color="auto" w:fill="auto"/>
            <w:noWrap/>
            <w:vAlign w:val="center"/>
            <w:hideMark/>
          </w:tcPr>
          <w:p w:rsidR="004C74C2" w:rsidRPr="00B53423" w:rsidRDefault="004C74C2" w:rsidP="0015232B">
            <w:pPr>
              <w:spacing w:before="0" w:line="240" w:lineRule="auto"/>
              <w:ind w:right="631"/>
              <w:jc w:val="right"/>
              <w:rPr>
                <w:rFonts w:cs="Calibri"/>
                <w:color w:val="000000"/>
              </w:rPr>
            </w:pPr>
            <w:r w:rsidRPr="00B53423">
              <w:rPr>
                <w:rFonts w:cs="Calibri"/>
                <w:color w:val="000000"/>
              </w:rPr>
              <w:t>-</w:t>
            </w:r>
          </w:p>
        </w:tc>
      </w:tr>
      <w:tr w:rsidR="004C74C2" w:rsidRPr="00B53423" w:rsidTr="009268E4">
        <w:trPr>
          <w:trHeight w:val="20"/>
          <w:jc w:val="center"/>
        </w:trPr>
        <w:tc>
          <w:tcPr>
            <w:tcW w:w="4438" w:type="dxa"/>
            <w:shd w:val="clear" w:color="auto" w:fill="auto"/>
            <w:noWrap/>
            <w:vAlign w:val="center"/>
            <w:hideMark/>
          </w:tcPr>
          <w:p w:rsidR="004C74C2" w:rsidRPr="00B53423" w:rsidRDefault="004C74C2" w:rsidP="0015232B">
            <w:pPr>
              <w:spacing w:before="0" w:line="240" w:lineRule="auto"/>
              <w:jc w:val="left"/>
              <w:rPr>
                <w:rFonts w:cs="Calibri"/>
              </w:rPr>
            </w:pPr>
            <w:r w:rsidRPr="00B53423">
              <w:rPr>
                <w:rFonts w:cs="Calibri"/>
              </w:rPr>
              <w:t>Misc. charges from consumers</w:t>
            </w:r>
          </w:p>
        </w:tc>
        <w:tc>
          <w:tcPr>
            <w:tcW w:w="1944" w:type="dxa"/>
            <w:vAlign w:val="center"/>
          </w:tcPr>
          <w:p w:rsidR="004C74C2" w:rsidRPr="00B53423" w:rsidRDefault="004C74C2" w:rsidP="0015232B">
            <w:pPr>
              <w:spacing w:before="0" w:line="240" w:lineRule="auto"/>
              <w:ind w:right="631"/>
              <w:jc w:val="right"/>
              <w:rPr>
                <w:rFonts w:cs="Calibri"/>
                <w:color w:val="000000"/>
              </w:rPr>
            </w:pPr>
            <w:r w:rsidRPr="00B53423">
              <w:rPr>
                <w:rFonts w:cs="Calibri"/>
                <w:color w:val="000000"/>
              </w:rPr>
              <w:t>1.80</w:t>
            </w:r>
          </w:p>
        </w:tc>
        <w:tc>
          <w:tcPr>
            <w:tcW w:w="1944" w:type="dxa"/>
            <w:shd w:val="clear" w:color="auto" w:fill="auto"/>
            <w:noWrap/>
            <w:vAlign w:val="center"/>
            <w:hideMark/>
          </w:tcPr>
          <w:p w:rsidR="004C74C2" w:rsidRPr="00B53423" w:rsidRDefault="004C74C2" w:rsidP="0015232B">
            <w:pPr>
              <w:spacing w:before="0" w:line="240" w:lineRule="auto"/>
              <w:ind w:right="631"/>
              <w:jc w:val="right"/>
              <w:rPr>
                <w:rFonts w:cs="Calibri"/>
                <w:color w:val="000000"/>
              </w:rPr>
            </w:pPr>
            <w:r w:rsidRPr="00B53423">
              <w:rPr>
                <w:rFonts w:cs="Calibri"/>
                <w:color w:val="000000"/>
              </w:rPr>
              <w:t>1.80</w:t>
            </w:r>
          </w:p>
        </w:tc>
      </w:tr>
      <w:tr w:rsidR="004C74C2" w:rsidRPr="00B53423" w:rsidTr="009268E4">
        <w:trPr>
          <w:trHeight w:val="20"/>
          <w:jc w:val="center"/>
        </w:trPr>
        <w:tc>
          <w:tcPr>
            <w:tcW w:w="4438" w:type="dxa"/>
            <w:shd w:val="clear" w:color="auto" w:fill="auto"/>
            <w:noWrap/>
            <w:vAlign w:val="center"/>
            <w:hideMark/>
          </w:tcPr>
          <w:p w:rsidR="004C74C2" w:rsidRPr="00B53423" w:rsidRDefault="004C74C2" w:rsidP="0015232B">
            <w:pPr>
              <w:spacing w:before="0" w:line="240" w:lineRule="auto"/>
              <w:jc w:val="left"/>
              <w:rPr>
                <w:rFonts w:cs="Calibri"/>
              </w:rPr>
            </w:pPr>
            <w:r w:rsidRPr="00B53423">
              <w:rPr>
                <w:rFonts w:cs="Calibri"/>
              </w:rPr>
              <w:t>Delayed payment charges from consumers</w:t>
            </w:r>
          </w:p>
        </w:tc>
        <w:tc>
          <w:tcPr>
            <w:tcW w:w="1944" w:type="dxa"/>
            <w:vAlign w:val="center"/>
          </w:tcPr>
          <w:p w:rsidR="004C74C2" w:rsidRPr="00B53423" w:rsidRDefault="004C74C2" w:rsidP="0015232B">
            <w:pPr>
              <w:spacing w:before="0" w:line="240" w:lineRule="auto"/>
              <w:ind w:right="631"/>
              <w:jc w:val="right"/>
              <w:rPr>
                <w:rFonts w:cs="Calibri"/>
                <w:color w:val="000000"/>
              </w:rPr>
            </w:pPr>
            <w:r w:rsidRPr="00B53423">
              <w:rPr>
                <w:rFonts w:cs="Calibri"/>
                <w:color w:val="000000"/>
              </w:rPr>
              <w:t>2.91</w:t>
            </w:r>
          </w:p>
        </w:tc>
        <w:tc>
          <w:tcPr>
            <w:tcW w:w="1944" w:type="dxa"/>
            <w:shd w:val="clear" w:color="auto" w:fill="auto"/>
            <w:noWrap/>
            <w:vAlign w:val="center"/>
            <w:hideMark/>
          </w:tcPr>
          <w:p w:rsidR="004C74C2" w:rsidRPr="00B53423" w:rsidRDefault="004C74C2" w:rsidP="0015232B">
            <w:pPr>
              <w:spacing w:before="0" w:line="240" w:lineRule="auto"/>
              <w:ind w:right="631"/>
              <w:jc w:val="right"/>
              <w:rPr>
                <w:rFonts w:cs="Calibri"/>
                <w:color w:val="000000"/>
              </w:rPr>
            </w:pPr>
            <w:r w:rsidRPr="00B53423">
              <w:rPr>
                <w:rFonts w:cs="Calibri"/>
                <w:color w:val="000000"/>
              </w:rPr>
              <w:t>2.91</w:t>
            </w:r>
          </w:p>
        </w:tc>
      </w:tr>
      <w:tr w:rsidR="004C74C2" w:rsidRPr="00B53423" w:rsidTr="009268E4">
        <w:trPr>
          <w:trHeight w:val="20"/>
          <w:jc w:val="center"/>
        </w:trPr>
        <w:tc>
          <w:tcPr>
            <w:tcW w:w="4438" w:type="dxa"/>
            <w:shd w:val="clear" w:color="auto" w:fill="auto"/>
            <w:noWrap/>
            <w:vAlign w:val="center"/>
            <w:hideMark/>
          </w:tcPr>
          <w:p w:rsidR="004C74C2" w:rsidRPr="00B53423" w:rsidRDefault="004C74C2" w:rsidP="0015232B">
            <w:pPr>
              <w:spacing w:before="0" w:line="240" w:lineRule="auto"/>
              <w:jc w:val="left"/>
              <w:rPr>
                <w:rFonts w:cs="Calibri"/>
                <w:b/>
                <w:bCs/>
                <w:color w:val="000000"/>
                <w:lang w:val="en-IN" w:eastAsia="en-IN"/>
              </w:rPr>
            </w:pPr>
            <w:r w:rsidRPr="00B53423">
              <w:rPr>
                <w:rFonts w:cs="Calibri"/>
                <w:b/>
                <w:bCs/>
                <w:color w:val="000000"/>
                <w:lang w:val="en-IN" w:eastAsia="en-IN"/>
              </w:rPr>
              <w:t>Total</w:t>
            </w:r>
          </w:p>
        </w:tc>
        <w:tc>
          <w:tcPr>
            <w:tcW w:w="1944" w:type="dxa"/>
            <w:vAlign w:val="center"/>
          </w:tcPr>
          <w:p w:rsidR="004C74C2" w:rsidRPr="00B53423" w:rsidRDefault="004C74C2" w:rsidP="0015232B">
            <w:pPr>
              <w:spacing w:before="0" w:line="240" w:lineRule="auto"/>
              <w:ind w:right="631"/>
              <w:jc w:val="right"/>
              <w:rPr>
                <w:rFonts w:cs="Calibri"/>
                <w:b/>
                <w:color w:val="000000"/>
              </w:rPr>
            </w:pPr>
            <w:r w:rsidRPr="00B53423">
              <w:rPr>
                <w:rFonts w:cs="Calibri"/>
                <w:b/>
                <w:color w:val="000000"/>
              </w:rPr>
              <w:t>6.50</w:t>
            </w:r>
          </w:p>
        </w:tc>
        <w:tc>
          <w:tcPr>
            <w:tcW w:w="1944" w:type="dxa"/>
            <w:shd w:val="clear" w:color="auto" w:fill="auto"/>
            <w:noWrap/>
            <w:vAlign w:val="center"/>
            <w:hideMark/>
          </w:tcPr>
          <w:p w:rsidR="004C74C2" w:rsidRPr="00B53423" w:rsidRDefault="004C74C2" w:rsidP="0015232B">
            <w:pPr>
              <w:spacing w:before="0" w:line="240" w:lineRule="auto"/>
              <w:ind w:right="631"/>
              <w:jc w:val="right"/>
              <w:rPr>
                <w:rFonts w:cs="Calibri"/>
                <w:b/>
                <w:color w:val="000000"/>
              </w:rPr>
            </w:pPr>
            <w:r w:rsidRPr="00B53423">
              <w:rPr>
                <w:rFonts w:cs="Calibri"/>
                <w:b/>
                <w:color w:val="000000"/>
              </w:rPr>
              <w:t>6.50</w:t>
            </w:r>
          </w:p>
        </w:tc>
      </w:tr>
    </w:tbl>
    <w:p w:rsidR="004C74C2" w:rsidRPr="00B53423" w:rsidRDefault="004C74C2" w:rsidP="0015232B">
      <w:pPr>
        <w:spacing w:before="0"/>
        <w:jc w:val="center"/>
        <w:rPr>
          <w:b/>
        </w:rPr>
      </w:pPr>
    </w:p>
    <w:p w:rsidR="004C74C2" w:rsidRPr="00B53423" w:rsidRDefault="004C74C2" w:rsidP="0015232B">
      <w:pPr>
        <w:pStyle w:val="Heading3"/>
        <w:keepNext w:val="0"/>
        <w:ind w:hanging="1080"/>
      </w:pPr>
      <w:r w:rsidRPr="00B53423">
        <w:t>Further, any variation on this account would be taken up at the time of True-up of FY 2014-15 based on the Audited Accounts.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2"/>
        <w:keepNext w:val="0"/>
        <w:ind w:left="720" w:hanging="1080"/>
      </w:pPr>
      <w:bookmarkStart w:id="726" w:name="_Toc357702796"/>
      <w:bookmarkStart w:id="727" w:name="_Toc357703177"/>
      <w:bookmarkStart w:id="728" w:name="_Toc357703367"/>
      <w:bookmarkStart w:id="729" w:name="_Toc357707236"/>
      <w:bookmarkStart w:id="730" w:name="_Toc357702797"/>
      <w:bookmarkStart w:id="731" w:name="_Toc357703178"/>
      <w:bookmarkStart w:id="732" w:name="_Toc357703368"/>
      <w:bookmarkStart w:id="733" w:name="_Toc357707237"/>
      <w:bookmarkStart w:id="734" w:name="_Toc357702798"/>
      <w:bookmarkStart w:id="735" w:name="_Toc357703179"/>
      <w:bookmarkStart w:id="736" w:name="_Toc357703369"/>
      <w:bookmarkStart w:id="737" w:name="_Toc357707238"/>
      <w:bookmarkStart w:id="738" w:name="_Toc357702799"/>
      <w:bookmarkStart w:id="739" w:name="_Toc357703180"/>
      <w:bookmarkStart w:id="740" w:name="_Toc357703370"/>
      <w:bookmarkStart w:id="741" w:name="_Toc357707239"/>
      <w:bookmarkStart w:id="742" w:name="_Toc357702800"/>
      <w:bookmarkStart w:id="743" w:name="_Toc357703181"/>
      <w:bookmarkStart w:id="744" w:name="_Toc357703371"/>
      <w:bookmarkStart w:id="745" w:name="_Toc357707240"/>
      <w:bookmarkStart w:id="746" w:name="_Toc357702801"/>
      <w:bookmarkStart w:id="747" w:name="_Toc357703182"/>
      <w:bookmarkStart w:id="748" w:name="_Toc357703372"/>
      <w:bookmarkStart w:id="749" w:name="_Toc357707241"/>
      <w:bookmarkStart w:id="750" w:name="_Toc357702802"/>
      <w:bookmarkStart w:id="751" w:name="_Toc357703183"/>
      <w:bookmarkStart w:id="752" w:name="_Toc357703373"/>
      <w:bookmarkStart w:id="753" w:name="_Toc357707242"/>
      <w:bookmarkStart w:id="754" w:name="_Toc357702803"/>
      <w:bookmarkStart w:id="755" w:name="_Toc357703184"/>
      <w:bookmarkStart w:id="756" w:name="_Toc357703374"/>
      <w:bookmarkStart w:id="757" w:name="_Toc357707243"/>
      <w:bookmarkStart w:id="758" w:name="_Toc357702804"/>
      <w:bookmarkStart w:id="759" w:name="_Toc357703185"/>
      <w:bookmarkStart w:id="760" w:name="_Toc357703375"/>
      <w:bookmarkStart w:id="761" w:name="_Toc357707244"/>
      <w:bookmarkStart w:id="762" w:name="_Toc357702805"/>
      <w:bookmarkStart w:id="763" w:name="_Toc357703186"/>
      <w:bookmarkStart w:id="764" w:name="_Toc357703376"/>
      <w:bookmarkStart w:id="765" w:name="_Toc357707245"/>
      <w:bookmarkStart w:id="766" w:name="_Toc357702806"/>
      <w:bookmarkStart w:id="767" w:name="_Toc357703187"/>
      <w:bookmarkStart w:id="768" w:name="_Toc357703377"/>
      <w:bookmarkStart w:id="769" w:name="_Toc357707246"/>
      <w:bookmarkStart w:id="770" w:name="_Toc357702807"/>
      <w:bookmarkStart w:id="771" w:name="_Toc357703188"/>
      <w:bookmarkStart w:id="772" w:name="_Toc357703378"/>
      <w:bookmarkStart w:id="773" w:name="_Toc357707247"/>
      <w:bookmarkStart w:id="774" w:name="_Toc357702808"/>
      <w:bookmarkStart w:id="775" w:name="_Toc357703189"/>
      <w:bookmarkStart w:id="776" w:name="_Toc357703379"/>
      <w:bookmarkStart w:id="777" w:name="_Toc357707248"/>
      <w:bookmarkStart w:id="778" w:name="_Toc357702809"/>
      <w:bookmarkStart w:id="779" w:name="_Toc357703190"/>
      <w:bookmarkStart w:id="780" w:name="_Toc357703380"/>
      <w:bookmarkStart w:id="781" w:name="_Toc357707249"/>
      <w:bookmarkStart w:id="782" w:name="_Toc357702810"/>
      <w:bookmarkStart w:id="783" w:name="_Toc357703191"/>
      <w:bookmarkStart w:id="784" w:name="_Toc357703381"/>
      <w:bookmarkStart w:id="785" w:name="_Toc357707250"/>
      <w:bookmarkStart w:id="786" w:name="_Toc357702811"/>
      <w:bookmarkStart w:id="787" w:name="_Toc357703192"/>
      <w:bookmarkStart w:id="788" w:name="_Toc357703382"/>
      <w:bookmarkStart w:id="789" w:name="_Toc357707251"/>
      <w:bookmarkStart w:id="790" w:name="_Toc357702812"/>
      <w:bookmarkStart w:id="791" w:name="_Toc357703193"/>
      <w:bookmarkStart w:id="792" w:name="_Toc357703383"/>
      <w:bookmarkStart w:id="793" w:name="_Toc357707252"/>
      <w:bookmarkStart w:id="794" w:name="_Toc357702813"/>
      <w:bookmarkStart w:id="795" w:name="_Toc357703194"/>
      <w:bookmarkStart w:id="796" w:name="_Toc357703384"/>
      <w:bookmarkStart w:id="797" w:name="_Toc357707253"/>
      <w:bookmarkStart w:id="798" w:name="_Toc357702814"/>
      <w:bookmarkStart w:id="799" w:name="_Toc357703195"/>
      <w:bookmarkStart w:id="800" w:name="_Toc357703385"/>
      <w:bookmarkStart w:id="801" w:name="_Toc357707254"/>
      <w:bookmarkStart w:id="802" w:name="_Toc357702815"/>
      <w:bookmarkStart w:id="803" w:name="_Toc357703196"/>
      <w:bookmarkStart w:id="804" w:name="_Toc357703386"/>
      <w:bookmarkStart w:id="805" w:name="_Toc357707255"/>
      <w:bookmarkStart w:id="806" w:name="_Toc357702816"/>
      <w:bookmarkStart w:id="807" w:name="_Toc357703197"/>
      <w:bookmarkStart w:id="808" w:name="_Toc357703387"/>
      <w:bookmarkStart w:id="809" w:name="_Toc357703543"/>
      <w:bookmarkStart w:id="810" w:name="_Toc357703615"/>
      <w:bookmarkStart w:id="811" w:name="_Toc357707256"/>
      <w:bookmarkStart w:id="812" w:name="_Toc357707412"/>
      <w:bookmarkStart w:id="813" w:name="_Toc357707482"/>
      <w:bookmarkStart w:id="814" w:name="_Toc357707550"/>
      <w:bookmarkStart w:id="815" w:name="_Toc357707618"/>
      <w:bookmarkStart w:id="816" w:name="_Toc357707845"/>
      <w:bookmarkStart w:id="817" w:name="_Toc357707913"/>
      <w:bookmarkStart w:id="818" w:name="_Toc357702832"/>
      <w:bookmarkStart w:id="819" w:name="_Toc357703213"/>
      <w:bookmarkStart w:id="820" w:name="_Toc357703403"/>
      <w:bookmarkStart w:id="821" w:name="_Toc357707272"/>
      <w:bookmarkStart w:id="822" w:name="_Toc357702833"/>
      <w:bookmarkStart w:id="823" w:name="_Toc357703214"/>
      <w:bookmarkStart w:id="824" w:name="_Toc357703404"/>
      <w:bookmarkStart w:id="825" w:name="_Toc357707273"/>
      <w:bookmarkStart w:id="826" w:name="_Toc357702834"/>
      <w:bookmarkStart w:id="827" w:name="_Toc357703215"/>
      <w:bookmarkStart w:id="828" w:name="_Toc357703405"/>
      <w:bookmarkStart w:id="829" w:name="_Toc357707274"/>
      <w:bookmarkStart w:id="830" w:name="_Toc357702835"/>
      <w:bookmarkStart w:id="831" w:name="_Toc357703216"/>
      <w:bookmarkStart w:id="832" w:name="_Toc357703406"/>
      <w:bookmarkStart w:id="833" w:name="_Toc357707275"/>
      <w:bookmarkStart w:id="834" w:name="_Toc357702836"/>
      <w:bookmarkStart w:id="835" w:name="_Toc357703217"/>
      <w:bookmarkStart w:id="836" w:name="_Toc357703407"/>
      <w:bookmarkStart w:id="837" w:name="_Toc357707276"/>
      <w:bookmarkStart w:id="838" w:name="_Toc357702837"/>
      <w:bookmarkStart w:id="839" w:name="_Toc357703218"/>
      <w:bookmarkStart w:id="840" w:name="_Toc357703408"/>
      <w:bookmarkStart w:id="841" w:name="_Toc357707277"/>
      <w:bookmarkStart w:id="842" w:name="_Toc357702838"/>
      <w:bookmarkStart w:id="843" w:name="_Toc357703219"/>
      <w:bookmarkStart w:id="844" w:name="_Toc357703409"/>
      <w:bookmarkStart w:id="845" w:name="_Toc357707278"/>
      <w:bookmarkStart w:id="846" w:name="_Toc357702839"/>
      <w:bookmarkStart w:id="847" w:name="_Toc357703220"/>
      <w:bookmarkStart w:id="848" w:name="_Toc357703410"/>
      <w:bookmarkStart w:id="849" w:name="_Toc357707279"/>
      <w:bookmarkStart w:id="850" w:name="_Toc357702847"/>
      <w:bookmarkStart w:id="851" w:name="_Toc357703228"/>
      <w:bookmarkStart w:id="852" w:name="_Toc357703418"/>
      <w:bookmarkStart w:id="853" w:name="_Toc357707287"/>
      <w:bookmarkStart w:id="854" w:name="_Toc357702889"/>
      <w:bookmarkStart w:id="855" w:name="_Toc357703270"/>
      <w:bookmarkStart w:id="856" w:name="_Toc357703460"/>
      <w:bookmarkStart w:id="857" w:name="_Toc357707329"/>
      <w:bookmarkStart w:id="858" w:name="_Toc357702890"/>
      <w:bookmarkStart w:id="859" w:name="_Toc357703271"/>
      <w:bookmarkStart w:id="860" w:name="_Toc357703461"/>
      <w:bookmarkStart w:id="861" w:name="_Toc357707330"/>
      <w:bookmarkStart w:id="862" w:name="_Toc356322609"/>
      <w:bookmarkStart w:id="863" w:name="_Toc357733336"/>
      <w:bookmarkStart w:id="864" w:name="_Toc399626234"/>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r w:rsidRPr="00B53423">
        <w:t>RETURN ON EQUITY</w:t>
      </w:r>
      <w:bookmarkEnd w:id="862"/>
      <w:bookmarkEnd w:id="863"/>
      <w:bookmarkEnd w:id="864"/>
    </w:p>
    <w:p w:rsidR="004C74C2" w:rsidRPr="00B53423" w:rsidRDefault="004C74C2" w:rsidP="0015232B">
      <w:pPr>
        <w:pStyle w:val="Heading2"/>
        <w:keepNext w:val="0"/>
        <w:numPr>
          <w:ilvl w:val="0"/>
          <w:numId w:val="0"/>
        </w:numPr>
        <w:ind w:left="720"/>
        <w:rPr>
          <w:b w:val="0"/>
        </w:rPr>
      </w:pPr>
    </w:p>
    <w:p w:rsidR="004C74C2" w:rsidRPr="00B53423" w:rsidRDefault="004C74C2" w:rsidP="0015232B">
      <w:pPr>
        <w:pStyle w:val="Heading3"/>
        <w:keepNext w:val="0"/>
        <w:ind w:hanging="1080"/>
        <w:rPr>
          <w:b/>
        </w:rPr>
      </w:pPr>
      <w:r w:rsidRPr="00B53423">
        <w:t>The Petitioner has not claimed any return on equity for the year under review. The Petitioner has stated that they do not want to burden the consumers by proposing return on equity as it will further increase the gap. Hence, agreeing with the Petitioner’s submission in this regards, the Commission has not approved any amounts towards return on equity for FY 2014-15.</w:t>
      </w:r>
    </w:p>
    <w:p w:rsidR="004C74C2" w:rsidRPr="00B53423" w:rsidRDefault="004C74C2" w:rsidP="0015232B">
      <w:pPr>
        <w:tabs>
          <w:tab w:val="left" w:pos="5707"/>
        </w:tabs>
      </w:pPr>
      <w:r w:rsidRPr="00B53423">
        <w:tab/>
      </w:r>
    </w:p>
    <w:p w:rsidR="004C74C2" w:rsidRPr="00B53423" w:rsidRDefault="004C74C2" w:rsidP="0015232B">
      <w:pPr>
        <w:pStyle w:val="Heading2"/>
        <w:keepNext w:val="0"/>
        <w:ind w:left="720" w:hanging="1080"/>
      </w:pPr>
      <w:bookmarkStart w:id="865" w:name="_Toc356322610"/>
      <w:bookmarkStart w:id="866" w:name="_Toc357733337"/>
      <w:bookmarkStart w:id="867" w:name="_Toc399626235"/>
      <w:r w:rsidRPr="00B53423">
        <w:t>CONTRIBUTION TO CONTINGENCY RESERVE</w:t>
      </w:r>
      <w:bookmarkEnd w:id="865"/>
      <w:bookmarkEnd w:id="866"/>
      <w:bookmarkEnd w:id="867"/>
    </w:p>
    <w:p w:rsidR="004C74C2" w:rsidRPr="00B53423" w:rsidRDefault="004C74C2" w:rsidP="0015232B">
      <w:pPr>
        <w:tabs>
          <w:tab w:val="left" w:pos="360"/>
        </w:tabs>
        <w:spacing w:before="0"/>
      </w:pPr>
    </w:p>
    <w:p w:rsidR="004C74C2" w:rsidRPr="00B53423" w:rsidRDefault="004C74C2" w:rsidP="0015232B">
      <w:pPr>
        <w:pStyle w:val="Heading3"/>
        <w:keepNext w:val="0"/>
        <w:ind w:hanging="1080"/>
        <w:rPr>
          <w:b/>
        </w:rPr>
      </w:pPr>
      <w:bookmarkStart w:id="868" w:name="_Toc357349101"/>
      <w:bookmarkStart w:id="869" w:name="_Toc357356160"/>
      <w:r w:rsidRPr="00B53423">
        <w:t>The Petitioner submitted that the Distribution Tariff Regulations provides for the contribution to the contingency reserves up to 0.50% of opening GFA to be included in the ARR of Licensees and the contingency reserve so created shall be utilized to meet cost of replacement of equipment damaged due to force majeure situations. The Licensee shall invest in Contingency Reserve as allowed by the Commission in Government securities. However, the use of such reserve is only with the prior permission of the Commission.</w:t>
      </w:r>
      <w:bookmarkEnd w:id="868"/>
      <w:bookmarkEnd w:id="869"/>
    </w:p>
    <w:p w:rsidR="004C74C2" w:rsidRPr="00B53423" w:rsidRDefault="004C74C2" w:rsidP="0015232B">
      <w:pPr>
        <w:tabs>
          <w:tab w:val="left" w:pos="360"/>
        </w:tabs>
      </w:pPr>
    </w:p>
    <w:p w:rsidR="004C74C2" w:rsidRPr="00B53423" w:rsidRDefault="004C74C2" w:rsidP="0015232B">
      <w:pPr>
        <w:pStyle w:val="Heading3"/>
        <w:keepNext w:val="0"/>
        <w:ind w:hanging="1080"/>
        <w:rPr>
          <w:b/>
        </w:rPr>
      </w:pPr>
      <w:bookmarkStart w:id="870" w:name="_Toc357349102"/>
      <w:bookmarkStart w:id="871" w:name="_Toc357356161"/>
      <w:r w:rsidRPr="00B53423">
        <w:t>The Petitioner submitted that since there is a substantial revenue gap between ARR and revenue forecast, any amounts allowed on this account will only go to enhance the already large gap and create extra burden on the consumers. The Petitioner has not claimed any contribution to contingency reserve for the year under review. In view of the same, the Commission has also not approved any amounts under the said component in the present Order.</w:t>
      </w:r>
      <w:bookmarkEnd w:id="870"/>
      <w:bookmarkEnd w:id="871"/>
    </w:p>
    <w:p w:rsidR="004C74C2" w:rsidRPr="00B53423" w:rsidRDefault="004C74C2" w:rsidP="0015232B">
      <w:pPr>
        <w:tabs>
          <w:tab w:val="left" w:pos="360"/>
        </w:tabs>
        <w:spacing w:before="0"/>
        <w:rPr>
          <w:sz w:val="23"/>
          <w:szCs w:val="23"/>
        </w:rPr>
      </w:pPr>
    </w:p>
    <w:p w:rsidR="004C74C2" w:rsidRPr="00B53423" w:rsidRDefault="004C74C2" w:rsidP="0015232B">
      <w:pPr>
        <w:spacing w:before="0" w:line="240" w:lineRule="auto"/>
        <w:jc w:val="left"/>
        <w:rPr>
          <w:rFonts w:asciiTheme="minorHAnsi" w:hAnsiTheme="minorHAnsi" w:cstheme="minorHAnsi"/>
          <w:b/>
          <w:bCs/>
          <w:color w:val="000000"/>
        </w:rPr>
      </w:pPr>
      <w:bookmarkStart w:id="872" w:name="_Toc356322611"/>
    </w:p>
    <w:p w:rsidR="004C74C2" w:rsidRPr="00B53423" w:rsidRDefault="004C74C2" w:rsidP="0015232B">
      <w:pPr>
        <w:pStyle w:val="Heading2"/>
        <w:keepNext w:val="0"/>
        <w:ind w:left="720" w:hanging="1080"/>
      </w:pPr>
      <w:bookmarkStart w:id="873" w:name="_Toc357702893"/>
      <w:bookmarkStart w:id="874" w:name="_Toc357703274"/>
      <w:bookmarkStart w:id="875" w:name="_Toc357703464"/>
      <w:bookmarkStart w:id="876" w:name="_Toc357707333"/>
      <w:bookmarkStart w:id="877" w:name="_Toc357702894"/>
      <w:bookmarkStart w:id="878" w:name="_Toc357703275"/>
      <w:bookmarkStart w:id="879" w:name="_Toc357703465"/>
      <w:bookmarkStart w:id="880" w:name="_Toc357707334"/>
      <w:bookmarkStart w:id="881" w:name="_Toc373269571"/>
      <w:bookmarkStart w:id="882" w:name="_Toc399626236"/>
      <w:bookmarkStart w:id="883" w:name="_Toc357733338"/>
      <w:bookmarkEnd w:id="873"/>
      <w:bookmarkEnd w:id="874"/>
      <w:bookmarkEnd w:id="875"/>
      <w:bookmarkEnd w:id="876"/>
      <w:bookmarkEnd w:id="877"/>
      <w:bookmarkEnd w:id="878"/>
      <w:bookmarkEnd w:id="879"/>
      <w:bookmarkEnd w:id="880"/>
      <w:r w:rsidRPr="00B53423">
        <w:t>APPORTIONMENT OF O&amp;M EXPENSES AND INTEREST &amp; FINANCE CHARGES OF UPPCL</w:t>
      </w:r>
      <w:bookmarkEnd w:id="881"/>
      <w:bookmarkEnd w:id="882"/>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submitted that in FY 2012-13 Tariff Order dated 19</w:t>
      </w:r>
      <w:r w:rsidRPr="00B53423">
        <w:rPr>
          <w:vertAlign w:val="superscript"/>
        </w:rPr>
        <w:t>th</w:t>
      </w:r>
      <w:r w:rsidRPr="00B53423">
        <w:t xml:space="preserve"> October, 2012, the Commission had directed the distribution companies to consider the apportionment of the O&amp;M expenses of UPPCL and submit the share of each Distribution Licensees and accordingly, the O&amp;M expenses of UPPCL for FY 2012-13 as per provisional accounts have been considered as base expenses and the same have been escalated for 2014-15 based on the escalation indices. </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submitted that considering the above, the same have also been apportioned to all the Distribution Licensee including KESCO in the power purchase ratio for each relevant year. The Petitioner submitted that the share of apportionment of O&amp;M charges of UPPCL is Rs. 7.76 Crore for FY 2014-15 and accordingly the same have been considered as part of ARR to be recovered from retail consumers.</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pPr>
      <w:r w:rsidRPr="00B53423">
        <w:t>The Petitioner submitted that UPPCL resorts to short term borrowings on behalf of distribution companies to meet the power purchase liabilities of Distribution Licensees and incurs interest expenses on behalf of such working capital loans. Also it incurs expenditure towards LC and OD charges incidental to power purchase expenses. The Petitioner requested the Commission to consider these expenses and allow UPPCL to claim such expenses from KESCO and other distribution companies through an internal adjustment without any impact on the ARR of KESCO.</w:t>
      </w:r>
    </w:p>
    <w:p w:rsidR="004C74C2" w:rsidRPr="00B53423" w:rsidRDefault="004C74C2" w:rsidP="0015232B">
      <w:pPr>
        <w:pStyle w:val="ListParagraph"/>
        <w:ind w:left="180"/>
      </w:pPr>
    </w:p>
    <w:p w:rsidR="004C74C2" w:rsidRPr="00B53423" w:rsidRDefault="004C74C2" w:rsidP="0015232B">
      <w:pPr>
        <w:pStyle w:val="Heading3"/>
        <w:keepNext w:val="0"/>
        <w:ind w:hanging="1080"/>
        <w:rPr>
          <w:b/>
        </w:rPr>
      </w:pPr>
      <w:r w:rsidRPr="00B53423">
        <w:t xml:space="preserve">The Commission while computing the Bulk Supply Tariff, in </w:t>
      </w:r>
      <w:r w:rsidR="00CE51D8" w:rsidRPr="00B53423">
        <w:t xml:space="preserve">Tariff </w:t>
      </w:r>
      <w:r w:rsidR="003A6B3B" w:rsidRPr="00B53423">
        <w:t>Order of DVVNL</w:t>
      </w:r>
      <w:r w:rsidR="00CE51D8" w:rsidRPr="00B53423">
        <w:t xml:space="preserve"> for FY 2014-15</w:t>
      </w:r>
      <w:r w:rsidR="002B3D6B" w:rsidRPr="00B53423">
        <w:t xml:space="preserve"> while doing the Truing-up for FY 2008-09 to FY 2011-12</w:t>
      </w:r>
      <w:r w:rsidRPr="00B53423">
        <w:t xml:space="preserve"> has allowed such expenses based on based on the Audited Accounts of UPPCL. Further, as discussed in the Truing-up section, since, the above expenses have been incurred by UPPCL, mostly for procuring the power for the Licensees, the above expenses have been allowed while doing the Truing-up of FY 2008-09 to FY 2011-12. However, it may be noted that procurement of power is the responsibility of the Distribution Licensees and the Commission allows considerable amount of O&amp;M Expenses to the Licensees for this purpose. The Commission has allowed such expenses for the past years, however for future years i.e. from FY 2014-15 onwards, the Commission disallows the claim of additional expenses towards allocation of O&amp;M expenses for UPPCL</w:t>
      </w:r>
      <w:r w:rsidRPr="00B53423">
        <w:rPr>
          <w:b/>
        </w:rPr>
        <w:t xml:space="preserve"> and directs the Petitioner to manage such additional Expenses for procuring the power from the O&amp;M Expenses allowed to it for relevant year.</w:t>
      </w:r>
    </w:p>
    <w:p w:rsidR="004C74C2" w:rsidRPr="00B53423" w:rsidRDefault="004C74C2" w:rsidP="0015232B">
      <w:pPr>
        <w:pStyle w:val="ListParagraph"/>
        <w:ind w:left="180"/>
      </w:pPr>
    </w:p>
    <w:p w:rsidR="004C74C2" w:rsidRPr="00B53423" w:rsidRDefault="004C74C2" w:rsidP="0015232B">
      <w:pPr>
        <w:pStyle w:val="Heading2"/>
        <w:keepNext w:val="0"/>
        <w:ind w:left="720" w:hanging="1080"/>
      </w:pPr>
      <w:bookmarkStart w:id="884" w:name="_Toc399626237"/>
      <w:r w:rsidRPr="00B53423">
        <w:t>REVENUE FROM SALE OF ELECTRICITY</w:t>
      </w:r>
      <w:bookmarkEnd w:id="872"/>
      <w:bookmarkEnd w:id="883"/>
      <w:bookmarkEnd w:id="884"/>
    </w:p>
    <w:p w:rsidR="004C74C2" w:rsidRPr="00B53423" w:rsidRDefault="004C74C2" w:rsidP="0015232B">
      <w:pPr>
        <w:pStyle w:val="Heading2"/>
        <w:keepNext w:val="0"/>
        <w:numPr>
          <w:ilvl w:val="0"/>
          <w:numId w:val="0"/>
        </w:numPr>
        <w:ind w:left="720"/>
        <w:rPr>
          <w:b w:val="0"/>
        </w:rPr>
      </w:pPr>
      <w:bookmarkStart w:id="885" w:name="_Toc357349105"/>
    </w:p>
    <w:p w:rsidR="004C74C2" w:rsidRPr="00B53423" w:rsidRDefault="004C74C2" w:rsidP="0015232B">
      <w:pPr>
        <w:pStyle w:val="Heading3"/>
        <w:keepNext w:val="0"/>
        <w:ind w:hanging="1080"/>
      </w:pPr>
      <w:bookmarkStart w:id="886" w:name="_Toc357356164"/>
      <w:r w:rsidRPr="00B53423">
        <w:t>For FY 2014-15, the Petitioner has estimated the overall revenue from tariffs of Rs. 1610.89 Crore, based on approved Tariff as per Tariff Order dated 31</w:t>
      </w:r>
      <w:r w:rsidRPr="00B53423">
        <w:rPr>
          <w:vertAlign w:val="superscript"/>
        </w:rPr>
        <w:t>st</w:t>
      </w:r>
      <w:r w:rsidRPr="00B53423">
        <w:t xml:space="preserve"> May, 2013.</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ind w:hanging="1080"/>
        <w:rPr>
          <w:b/>
        </w:rPr>
      </w:pPr>
      <w:r w:rsidRPr="00B53423">
        <w:t>The Commission has computed the revenue at existing Tariffs by applying the Tariff rates as per Tariff Order dated 31</w:t>
      </w:r>
      <w:r w:rsidRPr="00B53423">
        <w:rPr>
          <w:vertAlign w:val="superscript"/>
        </w:rPr>
        <w:t>st</w:t>
      </w:r>
      <w:r w:rsidRPr="00B53423">
        <w:t xml:space="preserve"> May, 2013 to the approved consumption for FY 2014-15. As the sales mix projected by the Commission is in variation with the Petitioner, the total Revenue at existing Tariff is working out to lower than as estimated by the Petitioner. Further, the Commission has also approved Tariffs and computed resultant revenue by applying the approved Tariff rates to the approved consumption parameters for FY 2014-15. The following Table summarizes the revenue approved by Commission for FY 2014-15 at both existing as well as </w:t>
      </w:r>
      <w:r w:rsidR="00EE00F4" w:rsidRPr="00B53423">
        <w:t xml:space="preserve">revised </w:t>
      </w:r>
      <w:r w:rsidRPr="00B53423">
        <w:t>Tariffs.</w:t>
      </w:r>
      <w:bookmarkEnd w:id="885"/>
      <w:bookmarkEnd w:id="886"/>
    </w:p>
    <w:p w:rsidR="004C74C2" w:rsidRPr="00B53423" w:rsidRDefault="004C74C2" w:rsidP="0015232B">
      <w:pPr>
        <w:pStyle w:val="Heading3"/>
        <w:keepNext w:val="0"/>
        <w:numPr>
          <w:ilvl w:val="0"/>
          <w:numId w:val="0"/>
        </w:numPr>
        <w:ind w:left="720"/>
      </w:pPr>
    </w:p>
    <w:p w:rsidR="004C74C2" w:rsidRPr="00B53423" w:rsidRDefault="004C74C2" w:rsidP="0015232B">
      <w:pPr>
        <w:pStyle w:val="Caption"/>
        <w:spacing w:before="240"/>
        <w:jc w:val="center"/>
      </w:pPr>
      <w:bookmarkStart w:id="887" w:name="_Toc357738748"/>
      <w:bookmarkStart w:id="888" w:name="_Toc399626434"/>
      <w:bookmarkStart w:id="889" w:name="_Ref338222545"/>
      <w:bookmarkStart w:id="890" w:name="_Ref338230159"/>
      <w:bookmarkStart w:id="891" w:name="_Toc338310721"/>
      <w:bookmarkStart w:id="892" w:name="_Toc338419551"/>
      <w:r w:rsidRPr="00B53423">
        <w:t xml:space="preserve">Table </w:t>
      </w:r>
      <w:r w:rsidR="005D68E7" w:rsidRPr="00B53423">
        <w:fldChar w:fldCharType="begin"/>
      </w:r>
      <w:r w:rsidRPr="00B53423">
        <w:instrText xml:space="preserve"> STYLEREF 1 \s </w:instrText>
      </w:r>
      <w:r w:rsidR="005D68E7" w:rsidRPr="00B53423">
        <w:fldChar w:fldCharType="separate"/>
      </w:r>
      <w:r w:rsidR="00847C1B">
        <w:rPr>
          <w:noProof/>
        </w:rPr>
        <w:t>9</w:t>
      </w:r>
      <w:r w:rsidR="005D68E7" w:rsidRPr="00B53423">
        <w:fldChar w:fldCharType="end"/>
      </w:r>
      <w:r w:rsidRPr="00B53423">
        <w:noBreakHyphen/>
      </w:r>
      <w:r w:rsidR="005D68E7" w:rsidRPr="00B53423">
        <w:fldChar w:fldCharType="begin"/>
      </w:r>
      <w:r w:rsidRPr="00B53423">
        <w:instrText xml:space="preserve"> SEQ Table \* ARABIC \s 1 </w:instrText>
      </w:r>
      <w:r w:rsidR="005D68E7" w:rsidRPr="00B53423">
        <w:fldChar w:fldCharType="separate"/>
      </w:r>
      <w:r w:rsidR="00847C1B">
        <w:rPr>
          <w:noProof/>
        </w:rPr>
        <w:t>29</w:t>
      </w:r>
      <w:r w:rsidR="005D68E7" w:rsidRPr="00B53423">
        <w:fldChar w:fldCharType="end"/>
      </w:r>
      <w:r w:rsidRPr="00B53423">
        <w:t>:</w:t>
      </w:r>
      <w:r w:rsidRPr="00B53423">
        <w:rPr>
          <w:b w:val="0"/>
        </w:rPr>
        <w:t xml:space="preserve"> </w:t>
      </w:r>
      <w:r w:rsidRPr="00B53423">
        <w:rPr>
          <w:rFonts w:asciiTheme="minorHAnsi" w:hAnsiTheme="minorHAnsi" w:cstheme="minorHAnsi"/>
          <w:szCs w:val="24"/>
        </w:rPr>
        <w:t>EXISTING &amp; APPROVED TARIFF REVENUES: FY 2014-15</w:t>
      </w:r>
      <w:r w:rsidRPr="00B53423">
        <w:t xml:space="preserve"> (Rs. Crore)</w:t>
      </w:r>
      <w:bookmarkEnd w:id="887"/>
      <w:bookmarkEnd w:id="888"/>
      <w:r w:rsidRPr="00B53423">
        <w:rPr>
          <w:bCs w:val="0"/>
        </w:rPr>
        <w:t xml:space="preserve"> </w:t>
      </w: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829"/>
        <w:gridCol w:w="1170"/>
        <w:gridCol w:w="1260"/>
        <w:gridCol w:w="1260"/>
        <w:gridCol w:w="1319"/>
      </w:tblGrid>
      <w:tr w:rsidR="004C74C2" w:rsidRPr="00B53423" w:rsidTr="00274054">
        <w:trPr>
          <w:trHeight w:val="245"/>
          <w:tblHeader/>
          <w:jc w:val="center"/>
        </w:trPr>
        <w:tc>
          <w:tcPr>
            <w:tcW w:w="3829" w:type="dxa"/>
            <w:vMerge w:val="restart"/>
            <w:shd w:val="clear" w:color="auto" w:fill="DBE5F1" w:themeFill="accent1" w:themeFillTint="33"/>
            <w:noWrap/>
            <w:vAlign w:val="center"/>
            <w:hideMark/>
          </w:tcPr>
          <w:bookmarkEnd w:id="889"/>
          <w:bookmarkEnd w:id="890"/>
          <w:bookmarkEnd w:id="891"/>
          <w:bookmarkEnd w:id="892"/>
          <w:p w:rsidR="004C74C2" w:rsidRPr="00B53423" w:rsidRDefault="004C74C2" w:rsidP="0015232B">
            <w:pPr>
              <w:spacing w:before="0" w:line="240" w:lineRule="auto"/>
              <w:contextualSpacing/>
              <w:jc w:val="center"/>
              <w:rPr>
                <w:rFonts w:cs="Calibri"/>
                <w:b/>
                <w:bCs/>
                <w:color w:val="000000"/>
                <w:kern w:val="32"/>
                <w:lang w:val="en-IN" w:eastAsia="en-IN"/>
              </w:rPr>
            </w:pPr>
            <w:r w:rsidRPr="00B53423">
              <w:rPr>
                <w:rFonts w:cs="Calibri"/>
                <w:b/>
                <w:bCs/>
                <w:color w:val="000000"/>
                <w:lang w:val="en-IN" w:eastAsia="en-IN"/>
              </w:rPr>
              <w:t>Consumer Categories</w:t>
            </w:r>
          </w:p>
        </w:tc>
        <w:tc>
          <w:tcPr>
            <w:tcW w:w="2430" w:type="dxa"/>
            <w:gridSpan w:val="2"/>
            <w:shd w:val="clear" w:color="auto" w:fill="DBE5F1" w:themeFill="accent1" w:themeFillTint="33"/>
          </w:tcPr>
          <w:p w:rsidR="004C74C2" w:rsidRPr="00B53423" w:rsidRDefault="004C74C2" w:rsidP="0015232B">
            <w:pPr>
              <w:spacing w:before="0" w:line="240" w:lineRule="auto"/>
              <w:contextualSpacing/>
              <w:jc w:val="center"/>
              <w:rPr>
                <w:rFonts w:cs="Calibri"/>
                <w:b/>
                <w:bCs/>
                <w:color w:val="000000"/>
                <w:lang w:val="en-IN" w:eastAsia="en-IN"/>
              </w:rPr>
            </w:pPr>
            <w:r w:rsidRPr="00B53423">
              <w:rPr>
                <w:rFonts w:cs="Calibri"/>
                <w:b/>
                <w:bCs/>
                <w:color w:val="000000"/>
                <w:lang w:val="en-IN" w:eastAsia="en-IN"/>
              </w:rPr>
              <w:t>Existing</w:t>
            </w:r>
          </w:p>
        </w:tc>
        <w:tc>
          <w:tcPr>
            <w:tcW w:w="2579" w:type="dxa"/>
            <w:gridSpan w:val="2"/>
            <w:shd w:val="clear" w:color="auto" w:fill="DBE5F1" w:themeFill="accent1" w:themeFillTint="33"/>
            <w:vAlign w:val="center"/>
            <w:hideMark/>
          </w:tcPr>
          <w:p w:rsidR="004C74C2" w:rsidRPr="00B53423" w:rsidRDefault="003357A5" w:rsidP="0015232B">
            <w:pPr>
              <w:spacing w:before="0" w:line="240" w:lineRule="auto"/>
              <w:contextualSpacing/>
              <w:jc w:val="center"/>
              <w:rPr>
                <w:rFonts w:cs="Calibri"/>
                <w:b/>
                <w:bCs/>
                <w:color w:val="000000"/>
                <w:lang w:val="en-IN" w:eastAsia="en-IN"/>
              </w:rPr>
            </w:pPr>
            <w:r w:rsidRPr="00B53423">
              <w:rPr>
                <w:rFonts w:cs="Calibri"/>
                <w:b/>
                <w:bCs/>
                <w:color w:val="000000"/>
                <w:lang w:val="en-IN" w:eastAsia="en-IN"/>
              </w:rPr>
              <w:t>Revised</w:t>
            </w:r>
          </w:p>
        </w:tc>
      </w:tr>
      <w:tr w:rsidR="004C74C2" w:rsidRPr="00B53423" w:rsidTr="00274054">
        <w:trPr>
          <w:trHeight w:val="245"/>
          <w:tblHeader/>
          <w:jc w:val="center"/>
        </w:trPr>
        <w:tc>
          <w:tcPr>
            <w:tcW w:w="3829" w:type="dxa"/>
            <w:vMerge/>
            <w:shd w:val="clear" w:color="auto" w:fill="DBE5F1" w:themeFill="accent1" w:themeFillTint="33"/>
            <w:noWrap/>
            <w:vAlign w:val="center"/>
            <w:hideMark/>
          </w:tcPr>
          <w:p w:rsidR="004C74C2" w:rsidRPr="00B53423" w:rsidRDefault="004C74C2" w:rsidP="0015232B">
            <w:pPr>
              <w:spacing w:before="0" w:line="240" w:lineRule="auto"/>
              <w:contextualSpacing/>
              <w:jc w:val="center"/>
              <w:rPr>
                <w:rFonts w:cs="Calibri"/>
                <w:b/>
                <w:bCs/>
                <w:color w:val="000000"/>
                <w:lang w:val="en-IN" w:eastAsia="en-IN"/>
              </w:rPr>
            </w:pPr>
          </w:p>
        </w:tc>
        <w:tc>
          <w:tcPr>
            <w:tcW w:w="1170" w:type="dxa"/>
            <w:shd w:val="clear" w:color="auto" w:fill="DBE5F1" w:themeFill="accent1" w:themeFillTint="33"/>
          </w:tcPr>
          <w:p w:rsidR="004C74C2" w:rsidRPr="00B53423" w:rsidRDefault="004C74C2" w:rsidP="0015232B">
            <w:pPr>
              <w:spacing w:before="0" w:line="240" w:lineRule="auto"/>
              <w:contextualSpacing/>
              <w:jc w:val="center"/>
              <w:rPr>
                <w:rFonts w:cs="Calibri"/>
                <w:b/>
                <w:bCs/>
                <w:color w:val="000000"/>
                <w:lang w:val="en-IN" w:eastAsia="en-IN"/>
              </w:rPr>
            </w:pPr>
            <w:r w:rsidRPr="00B53423">
              <w:rPr>
                <w:rFonts w:cs="Calibri"/>
                <w:b/>
                <w:bCs/>
                <w:color w:val="000000"/>
                <w:lang w:val="en-IN" w:eastAsia="en-IN"/>
              </w:rPr>
              <w:t>ARR Petition</w:t>
            </w:r>
          </w:p>
        </w:tc>
        <w:tc>
          <w:tcPr>
            <w:tcW w:w="1260" w:type="dxa"/>
            <w:shd w:val="clear" w:color="auto" w:fill="DBE5F1" w:themeFill="accent1" w:themeFillTint="33"/>
            <w:vAlign w:val="center"/>
            <w:hideMark/>
          </w:tcPr>
          <w:p w:rsidR="004C74C2" w:rsidRPr="00B53423" w:rsidRDefault="004C74C2" w:rsidP="0015232B">
            <w:pPr>
              <w:spacing w:before="0" w:line="240" w:lineRule="auto"/>
              <w:contextualSpacing/>
              <w:jc w:val="center"/>
              <w:rPr>
                <w:rFonts w:cs="Calibri"/>
                <w:b/>
                <w:bCs/>
                <w:color w:val="000000"/>
                <w:lang w:val="en-IN" w:eastAsia="en-IN"/>
              </w:rPr>
            </w:pPr>
            <w:r w:rsidRPr="00B53423">
              <w:rPr>
                <w:rFonts w:cs="Calibri"/>
                <w:b/>
                <w:bCs/>
                <w:color w:val="000000"/>
                <w:lang w:val="en-IN" w:eastAsia="en-IN"/>
              </w:rPr>
              <w:t>Approved</w:t>
            </w:r>
          </w:p>
        </w:tc>
        <w:tc>
          <w:tcPr>
            <w:tcW w:w="1260" w:type="dxa"/>
            <w:shd w:val="clear" w:color="auto" w:fill="DBE5F1" w:themeFill="accent1" w:themeFillTint="33"/>
            <w:hideMark/>
          </w:tcPr>
          <w:p w:rsidR="004C74C2" w:rsidRPr="00B53423" w:rsidRDefault="004C74C2" w:rsidP="0015232B">
            <w:pPr>
              <w:spacing w:before="0" w:line="240" w:lineRule="auto"/>
              <w:contextualSpacing/>
              <w:jc w:val="center"/>
              <w:rPr>
                <w:rFonts w:cs="Calibri"/>
                <w:b/>
                <w:bCs/>
                <w:color w:val="000000"/>
                <w:lang w:val="en-IN" w:eastAsia="en-IN"/>
              </w:rPr>
            </w:pPr>
            <w:r w:rsidRPr="00B53423">
              <w:rPr>
                <w:rFonts w:cs="Calibri"/>
                <w:b/>
                <w:bCs/>
                <w:color w:val="000000"/>
                <w:lang w:val="en-IN" w:eastAsia="en-IN"/>
              </w:rPr>
              <w:t>ARR Petition</w:t>
            </w:r>
          </w:p>
        </w:tc>
        <w:tc>
          <w:tcPr>
            <w:tcW w:w="1319" w:type="dxa"/>
            <w:shd w:val="clear" w:color="auto" w:fill="DBE5F1" w:themeFill="accent1" w:themeFillTint="33"/>
            <w:vAlign w:val="center"/>
          </w:tcPr>
          <w:p w:rsidR="004C74C2" w:rsidRPr="00B53423" w:rsidRDefault="004C74C2" w:rsidP="0015232B">
            <w:pPr>
              <w:spacing w:before="0" w:line="240" w:lineRule="auto"/>
              <w:contextualSpacing/>
              <w:jc w:val="center"/>
              <w:rPr>
                <w:rFonts w:cs="Calibri"/>
                <w:b/>
                <w:bCs/>
                <w:color w:val="000000"/>
                <w:lang w:val="en-IN" w:eastAsia="en-IN"/>
              </w:rPr>
            </w:pPr>
            <w:r w:rsidRPr="00B53423">
              <w:rPr>
                <w:rFonts w:cs="Calibri"/>
                <w:b/>
                <w:bCs/>
                <w:color w:val="000000"/>
                <w:lang w:val="en-IN" w:eastAsia="en-IN"/>
              </w:rPr>
              <w:t>Approved</w:t>
            </w:r>
          </w:p>
        </w:tc>
      </w:tr>
      <w:tr w:rsidR="004C74C2" w:rsidRPr="00B53423" w:rsidTr="00274054">
        <w:trPr>
          <w:trHeight w:val="300"/>
          <w:jc w:val="center"/>
        </w:trPr>
        <w:tc>
          <w:tcPr>
            <w:tcW w:w="3829"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LMV-1: Domestic</w:t>
            </w:r>
          </w:p>
        </w:tc>
        <w:tc>
          <w:tcPr>
            <w:tcW w:w="1170" w:type="dxa"/>
            <w:vAlign w:val="bottom"/>
          </w:tcPr>
          <w:p w:rsidR="004C74C2" w:rsidRPr="00B53423" w:rsidRDefault="00C41CAB"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634.46</w:t>
            </w:r>
          </w:p>
        </w:tc>
        <w:tc>
          <w:tcPr>
            <w:tcW w:w="1260" w:type="dxa"/>
            <w:shd w:val="clear" w:color="auto" w:fill="auto"/>
            <w:noWrap/>
            <w:vAlign w:val="bottom"/>
            <w:hideMark/>
          </w:tcPr>
          <w:p w:rsidR="004C74C2" w:rsidRPr="00B53423" w:rsidRDefault="00C41CAB" w:rsidP="0015232B">
            <w:pPr>
              <w:spacing w:before="0" w:line="240" w:lineRule="auto"/>
              <w:jc w:val="right"/>
              <w:rPr>
                <w:rFonts w:asciiTheme="minorHAnsi" w:hAnsiTheme="minorHAnsi" w:cstheme="minorHAnsi"/>
              </w:rPr>
            </w:pPr>
            <w:r w:rsidRPr="00B53423">
              <w:rPr>
                <w:rFonts w:asciiTheme="minorHAnsi" w:hAnsiTheme="minorHAnsi" w:cstheme="minorHAnsi"/>
                <w:color w:val="000000"/>
              </w:rPr>
              <w:t>575.80</w:t>
            </w:r>
          </w:p>
        </w:tc>
        <w:tc>
          <w:tcPr>
            <w:tcW w:w="1260" w:type="dxa"/>
            <w:shd w:val="clear" w:color="auto" w:fill="auto"/>
            <w:noWrap/>
            <w:vAlign w:val="bottom"/>
            <w:hideMark/>
          </w:tcPr>
          <w:p w:rsidR="004C74C2" w:rsidRPr="00B53423" w:rsidRDefault="00C41CAB" w:rsidP="0015232B">
            <w:pPr>
              <w:spacing w:before="0" w:line="240" w:lineRule="auto"/>
              <w:jc w:val="right"/>
              <w:rPr>
                <w:rFonts w:asciiTheme="minorHAnsi" w:hAnsiTheme="minorHAnsi" w:cstheme="minorHAnsi"/>
              </w:rPr>
            </w:pPr>
            <w:r w:rsidRPr="00B53423">
              <w:rPr>
                <w:rFonts w:asciiTheme="minorHAnsi" w:hAnsiTheme="minorHAnsi" w:cstheme="minorHAnsi"/>
                <w:color w:val="000000"/>
              </w:rPr>
              <w:t>745.81</w:t>
            </w:r>
          </w:p>
        </w:tc>
        <w:tc>
          <w:tcPr>
            <w:tcW w:w="1319" w:type="dxa"/>
          </w:tcPr>
          <w:p w:rsidR="004C74C2" w:rsidRPr="00B53423" w:rsidRDefault="00C41CAB" w:rsidP="0015232B">
            <w:pPr>
              <w:spacing w:before="0" w:line="240" w:lineRule="auto"/>
              <w:jc w:val="right"/>
              <w:rPr>
                <w:rFonts w:asciiTheme="minorHAnsi" w:hAnsiTheme="minorHAnsi" w:cstheme="minorHAnsi"/>
                <w:color w:val="000000"/>
                <w:lang w:val="en-IN" w:eastAsia="en-IN"/>
              </w:rPr>
            </w:pPr>
            <w:r w:rsidRPr="00B53423">
              <w:rPr>
                <w:rFonts w:asciiTheme="minorHAnsi" w:hAnsiTheme="minorHAnsi" w:cstheme="minorHAnsi"/>
                <w:color w:val="000000"/>
              </w:rPr>
              <w:t>5</w:t>
            </w:r>
            <w:r w:rsidR="00EE00F4" w:rsidRPr="00B53423">
              <w:rPr>
                <w:rFonts w:asciiTheme="minorHAnsi" w:hAnsiTheme="minorHAnsi" w:cstheme="minorHAnsi"/>
                <w:color w:val="000000"/>
              </w:rPr>
              <w:t>88.45</w:t>
            </w:r>
          </w:p>
        </w:tc>
      </w:tr>
      <w:tr w:rsidR="004C74C2" w:rsidRPr="00B53423" w:rsidTr="00274054">
        <w:trPr>
          <w:trHeight w:val="300"/>
          <w:jc w:val="center"/>
        </w:trPr>
        <w:tc>
          <w:tcPr>
            <w:tcW w:w="3829"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LMV-2:Non-Domestic</w:t>
            </w:r>
          </w:p>
        </w:tc>
        <w:tc>
          <w:tcPr>
            <w:tcW w:w="1170" w:type="dxa"/>
            <w:vAlign w:val="bottom"/>
          </w:tcPr>
          <w:p w:rsidR="004C74C2" w:rsidRPr="00B53423" w:rsidRDefault="00C41CAB"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251.08</w:t>
            </w:r>
          </w:p>
        </w:tc>
        <w:tc>
          <w:tcPr>
            <w:tcW w:w="1260" w:type="dxa"/>
            <w:shd w:val="clear" w:color="auto" w:fill="auto"/>
            <w:noWrap/>
            <w:vAlign w:val="bottom"/>
            <w:hideMark/>
          </w:tcPr>
          <w:p w:rsidR="004C74C2" w:rsidRPr="00B53423" w:rsidRDefault="00C41CAB" w:rsidP="0015232B">
            <w:pPr>
              <w:spacing w:before="0" w:line="240" w:lineRule="auto"/>
              <w:jc w:val="right"/>
              <w:rPr>
                <w:rFonts w:asciiTheme="minorHAnsi" w:hAnsiTheme="minorHAnsi" w:cstheme="minorHAnsi"/>
              </w:rPr>
            </w:pPr>
            <w:r w:rsidRPr="00B53423">
              <w:rPr>
                <w:rFonts w:asciiTheme="minorHAnsi" w:hAnsiTheme="minorHAnsi" w:cstheme="minorHAnsi"/>
                <w:color w:val="000000"/>
              </w:rPr>
              <w:t>253.55</w:t>
            </w:r>
          </w:p>
        </w:tc>
        <w:tc>
          <w:tcPr>
            <w:tcW w:w="1260" w:type="dxa"/>
            <w:shd w:val="clear" w:color="auto" w:fill="auto"/>
            <w:noWrap/>
            <w:vAlign w:val="bottom"/>
            <w:hideMark/>
          </w:tcPr>
          <w:p w:rsidR="004C74C2" w:rsidRPr="00B53423" w:rsidRDefault="00C41CAB" w:rsidP="0015232B">
            <w:pPr>
              <w:spacing w:before="0" w:line="240" w:lineRule="auto"/>
              <w:jc w:val="right"/>
              <w:rPr>
                <w:rFonts w:asciiTheme="minorHAnsi" w:hAnsiTheme="minorHAnsi" w:cstheme="minorHAnsi"/>
              </w:rPr>
            </w:pPr>
            <w:r w:rsidRPr="00B53423">
              <w:rPr>
                <w:rFonts w:asciiTheme="minorHAnsi" w:hAnsiTheme="minorHAnsi" w:cstheme="minorHAnsi"/>
                <w:color w:val="000000"/>
              </w:rPr>
              <w:t>265.68</w:t>
            </w:r>
          </w:p>
        </w:tc>
        <w:tc>
          <w:tcPr>
            <w:tcW w:w="1319" w:type="dxa"/>
          </w:tcPr>
          <w:p w:rsidR="004C74C2" w:rsidRPr="00B53423" w:rsidRDefault="00C41CAB" w:rsidP="0015232B">
            <w:pPr>
              <w:spacing w:before="0" w:line="240" w:lineRule="auto"/>
              <w:jc w:val="right"/>
              <w:rPr>
                <w:rFonts w:asciiTheme="minorHAnsi" w:hAnsiTheme="minorHAnsi" w:cstheme="minorHAnsi"/>
                <w:color w:val="000000"/>
                <w:lang w:val="en-IN" w:eastAsia="en-IN"/>
              </w:rPr>
            </w:pPr>
            <w:r w:rsidRPr="00B53423">
              <w:rPr>
                <w:rFonts w:asciiTheme="minorHAnsi" w:hAnsiTheme="minorHAnsi" w:cstheme="minorHAnsi"/>
                <w:color w:val="000000"/>
              </w:rPr>
              <w:t>25</w:t>
            </w:r>
            <w:r w:rsidR="00EE00F4" w:rsidRPr="00B53423">
              <w:rPr>
                <w:rFonts w:asciiTheme="minorHAnsi" w:hAnsiTheme="minorHAnsi" w:cstheme="minorHAnsi"/>
                <w:color w:val="000000"/>
              </w:rPr>
              <w:t>7.95</w:t>
            </w:r>
          </w:p>
        </w:tc>
      </w:tr>
      <w:tr w:rsidR="00EE00F4" w:rsidRPr="00B53423" w:rsidTr="00274054">
        <w:trPr>
          <w:trHeight w:val="300"/>
          <w:jc w:val="center"/>
        </w:trPr>
        <w:tc>
          <w:tcPr>
            <w:tcW w:w="3829" w:type="dxa"/>
            <w:shd w:val="clear" w:color="auto" w:fill="auto"/>
            <w:noWrap/>
            <w:hideMark/>
          </w:tcPr>
          <w:p w:rsidR="00EE00F4" w:rsidRPr="00B53423" w:rsidRDefault="00EE00F4" w:rsidP="0015232B">
            <w:pPr>
              <w:spacing w:before="0" w:line="240" w:lineRule="auto"/>
              <w:jc w:val="left"/>
              <w:rPr>
                <w:rFonts w:cs="Calibri"/>
                <w:color w:val="000000"/>
                <w:lang w:val="en-IN" w:eastAsia="en-IN"/>
              </w:rPr>
            </w:pPr>
            <w:r w:rsidRPr="00B53423">
              <w:rPr>
                <w:rFonts w:cs="Calibri"/>
                <w:color w:val="000000"/>
                <w:lang w:val="en-IN" w:eastAsia="en-IN"/>
              </w:rPr>
              <w:t xml:space="preserve">LMV-3: Public Lamps </w:t>
            </w:r>
          </w:p>
        </w:tc>
        <w:tc>
          <w:tcPr>
            <w:tcW w:w="1170" w:type="dxa"/>
            <w:vAlign w:val="center"/>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41.30</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41.30</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41.30</w:t>
            </w:r>
          </w:p>
        </w:tc>
        <w:tc>
          <w:tcPr>
            <w:tcW w:w="1319" w:type="dxa"/>
            <w:vAlign w:val="center"/>
          </w:tcPr>
          <w:p w:rsidR="00EE00F4" w:rsidRPr="00B53423" w:rsidRDefault="00BC60A3" w:rsidP="0015232B">
            <w:pPr>
              <w:spacing w:before="0" w:line="240" w:lineRule="auto"/>
              <w:jc w:val="right"/>
              <w:rPr>
                <w:rFonts w:asciiTheme="minorHAnsi" w:hAnsiTheme="minorHAnsi" w:cstheme="minorHAnsi"/>
                <w:color w:val="000000"/>
              </w:rPr>
            </w:pPr>
            <w:r w:rsidRPr="00B53423">
              <w:rPr>
                <w:rFonts w:cs="Calibri"/>
                <w:color w:val="000000"/>
              </w:rPr>
              <w:t>41.30</w:t>
            </w:r>
          </w:p>
        </w:tc>
      </w:tr>
      <w:tr w:rsidR="00EE00F4" w:rsidRPr="00B53423" w:rsidTr="00274054">
        <w:trPr>
          <w:trHeight w:val="300"/>
          <w:jc w:val="center"/>
        </w:trPr>
        <w:tc>
          <w:tcPr>
            <w:tcW w:w="3829" w:type="dxa"/>
            <w:shd w:val="clear" w:color="auto" w:fill="auto"/>
            <w:noWrap/>
            <w:hideMark/>
          </w:tcPr>
          <w:p w:rsidR="00EE00F4" w:rsidRPr="00B53423" w:rsidRDefault="00EE00F4" w:rsidP="0015232B">
            <w:pPr>
              <w:spacing w:before="0" w:line="240" w:lineRule="auto"/>
              <w:jc w:val="left"/>
              <w:rPr>
                <w:rFonts w:cs="Calibri"/>
                <w:color w:val="000000"/>
                <w:lang w:val="en-IN" w:eastAsia="en-IN"/>
              </w:rPr>
            </w:pPr>
            <w:r w:rsidRPr="00B53423">
              <w:rPr>
                <w:rFonts w:cs="Calibri"/>
                <w:color w:val="000000"/>
                <w:lang w:val="en-IN" w:eastAsia="en-IN"/>
              </w:rPr>
              <w:t>LMV-4: Institutions</w:t>
            </w:r>
          </w:p>
        </w:tc>
        <w:tc>
          <w:tcPr>
            <w:tcW w:w="1170" w:type="dxa"/>
            <w:vAlign w:val="center"/>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41.08</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30.01</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41.99</w:t>
            </w:r>
          </w:p>
        </w:tc>
        <w:tc>
          <w:tcPr>
            <w:tcW w:w="1319" w:type="dxa"/>
            <w:vAlign w:val="center"/>
          </w:tcPr>
          <w:p w:rsidR="00EE00F4" w:rsidRPr="00B53423" w:rsidRDefault="00BC60A3" w:rsidP="0015232B">
            <w:pPr>
              <w:spacing w:before="0" w:line="240" w:lineRule="auto"/>
              <w:jc w:val="right"/>
              <w:rPr>
                <w:rFonts w:asciiTheme="minorHAnsi" w:hAnsiTheme="minorHAnsi" w:cstheme="minorHAnsi"/>
                <w:color w:val="000000"/>
              </w:rPr>
            </w:pPr>
            <w:r w:rsidRPr="00B53423">
              <w:rPr>
                <w:rFonts w:cs="Calibri"/>
                <w:color w:val="000000"/>
              </w:rPr>
              <w:t>30.33</w:t>
            </w:r>
          </w:p>
        </w:tc>
      </w:tr>
      <w:tr w:rsidR="00EE00F4" w:rsidRPr="00B53423" w:rsidTr="00274054">
        <w:trPr>
          <w:trHeight w:val="300"/>
          <w:jc w:val="center"/>
        </w:trPr>
        <w:tc>
          <w:tcPr>
            <w:tcW w:w="3829" w:type="dxa"/>
            <w:shd w:val="clear" w:color="auto" w:fill="auto"/>
            <w:noWrap/>
            <w:hideMark/>
          </w:tcPr>
          <w:p w:rsidR="00EE00F4" w:rsidRPr="00B53423" w:rsidRDefault="00EE00F4" w:rsidP="0015232B">
            <w:pPr>
              <w:spacing w:before="0" w:line="240" w:lineRule="auto"/>
              <w:jc w:val="left"/>
              <w:rPr>
                <w:rFonts w:cs="Calibri"/>
                <w:color w:val="000000"/>
                <w:lang w:val="en-IN" w:eastAsia="en-IN"/>
              </w:rPr>
            </w:pPr>
            <w:r w:rsidRPr="00B53423">
              <w:rPr>
                <w:rFonts w:cs="Calibri"/>
                <w:color w:val="000000"/>
                <w:lang w:val="en-IN" w:eastAsia="en-IN"/>
              </w:rPr>
              <w:t>LMV-5: Private Tube Wells</w:t>
            </w:r>
          </w:p>
        </w:tc>
        <w:tc>
          <w:tcPr>
            <w:tcW w:w="1170" w:type="dxa"/>
            <w:vAlign w:val="center"/>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0.04</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0.04</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0.05</w:t>
            </w:r>
          </w:p>
        </w:tc>
        <w:tc>
          <w:tcPr>
            <w:tcW w:w="1319" w:type="dxa"/>
            <w:vAlign w:val="center"/>
          </w:tcPr>
          <w:p w:rsidR="00EE00F4" w:rsidRPr="00B53423" w:rsidRDefault="00BC60A3" w:rsidP="0015232B">
            <w:pPr>
              <w:spacing w:before="0" w:line="240" w:lineRule="auto"/>
              <w:jc w:val="right"/>
              <w:rPr>
                <w:rFonts w:asciiTheme="minorHAnsi" w:hAnsiTheme="minorHAnsi" w:cstheme="minorHAnsi"/>
                <w:color w:val="000000"/>
              </w:rPr>
            </w:pPr>
            <w:r w:rsidRPr="00B53423">
              <w:rPr>
                <w:rFonts w:cs="Calibri"/>
                <w:color w:val="000000"/>
              </w:rPr>
              <w:t>0.04</w:t>
            </w:r>
          </w:p>
        </w:tc>
      </w:tr>
      <w:tr w:rsidR="00EE00F4" w:rsidRPr="00B53423" w:rsidTr="00274054">
        <w:trPr>
          <w:trHeight w:val="300"/>
          <w:jc w:val="center"/>
        </w:trPr>
        <w:tc>
          <w:tcPr>
            <w:tcW w:w="3829" w:type="dxa"/>
            <w:shd w:val="clear" w:color="auto" w:fill="auto"/>
            <w:noWrap/>
            <w:hideMark/>
          </w:tcPr>
          <w:p w:rsidR="00EE00F4" w:rsidRPr="00B53423" w:rsidRDefault="00EE00F4" w:rsidP="0015232B">
            <w:pPr>
              <w:spacing w:before="0" w:line="240" w:lineRule="auto"/>
              <w:jc w:val="left"/>
              <w:rPr>
                <w:rFonts w:cs="Calibri"/>
                <w:color w:val="000000"/>
                <w:lang w:val="en-IN" w:eastAsia="en-IN"/>
              </w:rPr>
            </w:pPr>
            <w:r w:rsidRPr="00B53423">
              <w:rPr>
                <w:rFonts w:cs="Calibri"/>
                <w:color w:val="000000"/>
                <w:lang w:val="en-IN" w:eastAsia="en-IN"/>
              </w:rPr>
              <w:t>LMV 6: Small and Medium Power</w:t>
            </w:r>
          </w:p>
        </w:tc>
        <w:tc>
          <w:tcPr>
            <w:tcW w:w="1170" w:type="dxa"/>
            <w:vAlign w:val="center"/>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224.76</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201.40</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249.09</w:t>
            </w:r>
          </w:p>
        </w:tc>
        <w:tc>
          <w:tcPr>
            <w:tcW w:w="1319" w:type="dxa"/>
            <w:vAlign w:val="center"/>
          </w:tcPr>
          <w:p w:rsidR="00EE00F4" w:rsidRPr="00B53423" w:rsidRDefault="00BC60A3" w:rsidP="0015232B">
            <w:pPr>
              <w:spacing w:before="0" w:line="240" w:lineRule="auto"/>
              <w:jc w:val="right"/>
              <w:rPr>
                <w:rFonts w:asciiTheme="minorHAnsi" w:hAnsiTheme="minorHAnsi" w:cstheme="minorHAnsi"/>
                <w:color w:val="000000"/>
              </w:rPr>
            </w:pPr>
            <w:r w:rsidRPr="00B53423">
              <w:rPr>
                <w:rFonts w:cs="Calibri"/>
                <w:color w:val="000000"/>
              </w:rPr>
              <w:t>212.31</w:t>
            </w:r>
          </w:p>
        </w:tc>
      </w:tr>
      <w:tr w:rsidR="00EE00F4" w:rsidRPr="00B53423" w:rsidTr="00274054">
        <w:trPr>
          <w:trHeight w:val="300"/>
          <w:jc w:val="center"/>
        </w:trPr>
        <w:tc>
          <w:tcPr>
            <w:tcW w:w="3829" w:type="dxa"/>
            <w:shd w:val="clear" w:color="auto" w:fill="auto"/>
            <w:noWrap/>
            <w:hideMark/>
          </w:tcPr>
          <w:p w:rsidR="00EE00F4" w:rsidRPr="00B53423" w:rsidRDefault="00EE00F4" w:rsidP="0015232B">
            <w:pPr>
              <w:spacing w:before="0" w:line="240" w:lineRule="auto"/>
              <w:jc w:val="left"/>
              <w:rPr>
                <w:rFonts w:cs="Calibri"/>
                <w:color w:val="000000"/>
                <w:lang w:val="en-IN" w:eastAsia="en-IN"/>
              </w:rPr>
            </w:pPr>
            <w:r w:rsidRPr="00B53423">
              <w:rPr>
                <w:rFonts w:cs="Calibri"/>
                <w:color w:val="000000"/>
                <w:lang w:val="en-IN" w:eastAsia="en-IN"/>
              </w:rPr>
              <w:t xml:space="preserve">LMV-7: Public Water Works </w:t>
            </w:r>
          </w:p>
        </w:tc>
        <w:tc>
          <w:tcPr>
            <w:tcW w:w="1170" w:type="dxa"/>
            <w:vAlign w:val="center"/>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37.28</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34.01</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40.00</w:t>
            </w:r>
          </w:p>
        </w:tc>
        <w:tc>
          <w:tcPr>
            <w:tcW w:w="1319" w:type="dxa"/>
            <w:vAlign w:val="center"/>
          </w:tcPr>
          <w:p w:rsidR="00EE00F4" w:rsidRPr="00B53423" w:rsidRDefault="00BC60A3" w:rsidP="0015232B">
            <w:pPr>
              <w:spacing w:before="0" w:line="240" w:lineRule="auto"/>
              <w:jc w:val="right"/>
              <w:rPr>
                <w:rFonts w:asciiTheme="minorHAnsi" w:hAnsiTheme="minorHAnsi" w:cstheme="minorHAnsi"/>
                <w:color w:val="000000"/>
              </w:rPr>
            </w:pPr>
            <w:r w:rsidRPr="00B53423">
              <w:rPr>
                <w:rFonts w:cs="Calibri"/>
                <w:color w:val="000000"/>
              </w:rPr>
              <w:t>35.16</w:t>
            </w:r>
          </w:p>
        </w:tc>
      </w:tr>
      <w:tr w:rsidR="00EE00F4" w:rsidRPr="00B53423" w:rsidTr="00274054">
        <w:trPr>
          <w:trHeight w:val="300"/>
          <w:jc w:val="center"/>
        </w:trPr>
        <w:tc>
          <w:tcPr>
            <w:tcW w:w="3829" w:type="dxa"/>
            <w:shd w:val="clear" w:color="auto" w:fill="auto"/>
            <w:noWrap/>
            <w:hideMark/>
          </w:tcPr>
          <w:p w:rsidR="00EE00F4" w:rsidRPr="00B53423" w:rsidRDefault="00EE00F4" w:rsidP="0015232B">
            <w:pPr>
              <w:spacing w:before="0" w:line="240" w:lineRule="auto"/>
              <w:jc w:val="left"/>
              <w:rPr>
                <w:rFonts w:cs="Calibri"/>
                <w:color w:val="000000"/>
                <w:lang w:val="en-IN" w:eastAsia="en-IN"/>
              </w:rPr>
            </w:pPr>
            <w:r w:rsidRPr="00B53423">
              <w:rPr>
                <w:rFonts w:cs="Calibri"/>
                <w:color w:val="000000"/>
                <w:lang w:val="en-IN" w:eastAsia="en-IN"/>
              </w:rPr>
              <w:t>LMV-8: State Tube Wells</w:t>
            </w:r>
          </w:p>
        </w:tc>
        <w:tc>
          <w:tcPr>
            <w:tcW w:w="1170" w:type="dxa"/>
            <w:vAlign w:val="center"/>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0.00</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0.00</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0.00</w:t>
            </w:r>
          </w:p>
        </w:tc>
        <w:tc>
          <w:tcPr>
            <w:tcW w:w="1319" w:type="dxa"/>
            <w:vAlign w:val="center"/>
          </w:tcPr>
          <w:p w:rsidR="00EE00F4" w:rsidRPr="00B53423" w:rsidRDefault="00BC60A3" w:rsidP="0015232B">
            <w:pPr>
              <w:spacing w:before="0" w:line="240" w:lineRule="auto"/>
              <w:jc w:val="right"/>
              <w:rPr>
                <w:rFonts w:asciiTheme="minorHAnsi" w:hAnsiTheme="minorHAnsi" w:cstheme="minorHAnsi"/>
                <w:color w:val="000000"/>
              </w:rPr>
            </w:pPr>
            <w:r w:rsidRPr="00B53423">
              <w:rPr>
                <w:rFonts w:cs="Calibri"/>
                <w:color w:val="000000"/>
              </w:rPr>
              <w:t>0.00</w:t>
            </w:r>
          </w:p>
        </w:tc>
      </w:tr>
      <w:tr w:rsidR="00EE00F4" w:rsidRPr="00B53423" w:rsidTr="00274054">
        <w:trPr>
          <w:trHeight w:val="300"/>
          <w:jc w:val="center"/>
        </w:trPr>
        <w:tc>
          <w:tcPr>
            <w:tcW w:w="3829" w:type="dxa"/>
            <w:shd w:val="clear" w:color="auto" w:fill="auto"/>
            <w:noWrap/>
            <w:hideMark/>
          </w:tcPr>
          <w:p w:rsidR="00EE00F4" w:rsidRPr="00B53423" w:rsidRDefault="00EE00F4" w:rsidP="0015232B">
            <w:pPr>
              <w:spacing w:before="0" w:line="240" w:lineRule="auto"/>
              <w:jc w:val="left"/>
              <w:rPr>
                <w:rFonts w:cs="Calibri"/>
                <w:color w:val="000000"/>
                <w:lang w:val="en-IN" w:eastAsia="en-IN"/>
              </w:rPr>
            </w:pPr>
            <w:r w:rsidRPr="00B53423">
              <w:rPr>
                <w:rFonts w:cs="Calibri"/>
                <w:color w:val="000000"/>
                <w:lang w:val="en-IN" w:eastAsia="en-IN"/>
              </w:rPr>
              <w:t xml:space="preserve">LMV-9: Temporary Supply </w:t>
            </w:r>
          </w:p>
        </w:tc>
        <w:tc>
          <w:tcPr>
            <w:tcW w:w="1170" w:type="dxa"/>
            <w:vAlign w:val="center"/>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0.98</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0.66</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1.02</w:t>
            </w:r>
          </w:p>
        </w:tc>
        <w:tc>
          <w:tcPr>
            <w:tcW w:w="1319" w:type="dxa"/>
            <w:vAlign w:val="center"/>
          </w:tcPr>
          <w:p w:rsidR="00EE00F4" w:rsidRPr="00B53423" w:rsidRDefault="00BC60A3" w:rsidP="0015232B">
            <w:pPr>
              <w:spacing w:before="0" w:line="240" w:lineRule="auto"/>
              <w:jc w:val="right"/>
              <w:rPr>
                <w:rFonts w:asciiTheme="minorHAnsi" w:hAnsiTheme="minorHAnsi" w:cstheme="minorHAnsi"/>
                <w:color w:val="000000"/>
              </w:rPr>
            </w:pPr>
            <w:r w:rsidRPr="00B53423">
              <w:rPr>
                <w:rFonts w:cs="Calibri"/>
                <w:color w:val="000000"/>
              </w:rPr>
              <w:t>0.69</w:t>
            </w:r>
          </w:p>
        </w:tc>
      </w:tr>
      <w:tr w:rsidR="00EE00F4" w:rsidRPr="00B53423" w:rsidTr="00274054">
        <w:trPr>
          <w:trHeight w:val="300"/>
          <w:jc w:val="center"/>
        </w:trPr>
        <w:tc>
          <w:tcPr>
            <w:tcW w:w="3829" w:type="dxa"/>
            <w:shd w:val="clear" w:color="auto" w:fill="auto"/>
            <w:noWrap/>
            <w:hideMark/>
          </w:tcPr>
          <w:p w:rsidR="00EE00F4" w:rsidRPr="00B53423" w:rsidRDefault="00EE00F4" w:rsidP="0015232B">
            <w:pPr>
              <w:spacing w:before="0" w:line="240" w:lineRule="auto"/>
              <w:jc w:val="left"/>
              <w:rPr>
                <w:rFonts w:cs="Calibri"/>
                <w:color w:val="000000"/>
                <w:lang w:val="en-IN" w:eastAsia="en-IN"/>
              </w:rPr>
            </w:pPr>
            <w:r w:rsidRPr="00B53423">
              <w:rPr>
                <w:rFonts w:cs="Calibri"/>
                <w:color w:val="000000"/>
                <w:lang w:val="en-IN" w:eastAsia="en-IN"/>
              </w:rPr>
              <w:t>LMV-10: Departmental Employees</w:t>
            </w:r>
          </w:p>
        </w:tc>
        <w:tc>
          <w:tcPr>
            <w:tcW w:w="1170" w:type="dxa"/>
            <w:vAlign w:val="center"/>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8.52</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8.25</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11.79</w:t>
            </w:r>
          </w:p>
        </w:tc>
        <w:tc>
          <w:tcPr>
            <w:tcW w:w="1319" w:type="dxa"/>
            <w:vAlign w:val="center"/>
          </w:tcPr>
          <w:p w:rsidR="00EE00F4" w:rsidRPr="00B53423" w:rsidRDefault="00BC60A3" w:rsidP="0015232B">
            <w:pPr>
              <w:spacing w:before="0" w:line="240" w:lineRule="auto"/>
              <w:jc w:val="right"/>
              <w:rPr>
                <w:rFonts w:asciiTheme="minorHAnsi" w:hAnsiTheme="minorHAnsi" w:cstheme="minorHAnsi"/>
                <w:color w:val="000000"/>
              </w:rPr>
            </w:pPr>
            <w:r w:rsidRPr="00B53423">
              <w:rPr>
                <w:rFonts w:cs="Calibri"/>
                <w:color w:val="000000"/>
              </w:rPr>
              <w:t>9.89</w:t>
            </w:r>
          </w:p>
        </w:tc>
      </w:tr>
      <w:tr w:rsidR="00EE00F4" w:rsidRPr="00B53423" w:rsidTr="00274054">
        <w:trPr>
          <w:trHeight w:val="300"/>
          <w:jc w:val="center"/>
        </w:trPr>
        <w:tc>
          <w:tcPr>
            <w:tcW w:w="3829" w:type="dxa"/>
            <w:shd w:val="clear" w:color="auto" w:fill="auto"/>
            <w:noWrap/>
            <w:hideMark/>
          </w:tcPr>
          <w:p w:rsidR="00EE00F4" w:rsidRPr="00B53423" w:rsidRDefault="00EE00F4" w:rsidP="0015232B">
            <w:pPr>
              <w:spacing w:before="0" w:line="240" w:lineRule="auto"/>
              <w:jc w:val="left"/>
              <w:rPr>
                <w:rFonts w:cs="Calibri"/>
                <w:color w:val="000000"/>
                <w:lang w:val="en-IN" w:eastAsia="en-IN"/>
              </w:rPr>
            </w:pPr>
            <w:r w:rsidRPr="00B53423">
              <w:rPr>
                <w:rFonts w:cs="Calibri"/>
                <w:color w:val="000000"/>
                <w:lang w:val="en-IN" w:eastAsia="en-IN"/>
              </w:rPr>
              <w:t>HV-1: Non-Industrial Bulk Loads</w:t>
            </w:r>
          </w:p>
        </w:tc>
        <w:tc>
          <w:tcPr>
            <w:tcW w:w="1170" w:type="dxa"/>
            <w:vAlign w:val="center"/>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84.55</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84.82</w:t>
            </w:r>
          </w:p>
        </w:tc>
        <w:tc>
          <w:tcPr>
            <w:tcW w:w="1260" w:type="dxa"/>
            <w:shd w:val="clear" w:color="auto" w:fill="auto"/>
            <w:noWrap/>
            <w:vAlign w:val="center"/>
            <w:hideMark/>
          </w:tcPr>
          <w:p w:rsidR="00EE00F4" w:rsidRPr="00B53423" w:rsidRDefault="00EE00F4"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94.27</w:t>
            </w:r>
          </w:p>
        </w:tc>
        <w:tc>
          <w:tcPr>
            <w:tcW w:w="1319" w:type="dxa"/>
            <w:vAlign w:val="center"/>
          </w:tcPr>
          <w:p w:rsidR="00EE00F4" w:rsidRPr="00B53423" w:rsidRDefault="00BC60A3" w:rsidP="0015232B">
            <w:pPr>
              <w:spacing w:before="0" w:line="240" w:lineRule="auto"/>
              <w:jc w:val="right"/>
              <w:rPr>
                <w:rFonts w:asciiTheme="minorHAnsi" w:hAnsiTheme="minorHAnsi" w:cstheme="minorHAnsi"/>
                <w:color w:val="000000"/>
              </w:rPr>
            </w:pPr>
            <w:r w:rsidRPr="00B53423">
              <w:rPr>
                <w:rFonts w:cs="Calibri"/>
                <w:color w:val="000000"/>
              </w:rPr>
              <w:t>88.93</w:t>
            </w:r>
          </w:p>
        </w:tc>
      </w:tr>
      <w:tr w:rsidR="004C74C2" w:rsidRPr="00B53423" w:rsidTr="00274054">
        <w:trPr>
          <w:trHeight w:val="300"/>
          <w:jc w:val="center"/>
        </w:trPr>
        <w:tc>
          <w:tcPr>
            <w:tcW w:w="3829"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HV-2: Large and Heavy Power</w:t>
            </w:r>
          </w:p>
        </w:tc>
        <w:tc>
          <w:tcPr>
            <w:tcW w:w="1170" w:type="dxa"/>
            <w:vAlign w:val="bottom"/>
          </w:tcPr>
          <w:p w:rsidR="004C74C2" w:rsidRPr="00B53423" w:rsidRDefault="00C41CAB" w:rsidP="0015232B">
            <w:pPr>
              <w:spacing w:before="0" w:line="240" w:lineRule="auto"/>
              <w:jc w:val="right"/>
              <w:rPr>
                <w:rFonts w:asciiTheme="minorHAnsi" w:hAnsiTheme="minorHAnsi" w:cstheme="minorHAnsi"/>
              </w:rPr>
            </w:pPr>
            <w:r w:rsidRPr="00B53423">
              <w:rPr>
                <w:rFonts w:asciiTheme="minorHAnsi" w:hAnsiTheme="minorHAnsi" w:cstheme="minorHAnsi"/>
                <w:color w:val="000000"/>
              </w:rPr>
              <w:t>286.83</w:t>
            </w:r>
          </w:p>
        </w:tc>
        <w:tc>
          <w:tcPr>
            <w:tcW w:w="1260" w:type="dxa"/>
            <w:shd w:val="clear" w:color="auto" w:fill="auto"/>
            <w:noWrap/>
            <w:vAlign w:val="bottom"/>
            <w:hideMark/>
          </w:tcPr>
          <w:p w:rsidR="004C74C2" w:rsidRPr="00B53423" w:rsidRDefault="00C41CAB" w:rsidP="0015232B">
            <w:pPr>
              <w:spacing w:before="0" w:line="240" w:lineRule="auto"/>
              <w:jc w:val="right"/>
              <w:rPr>
                <w:rFonts w:asciiTheme="minorHAnsi" w:hAnsiTheme="minorHAnsi" w:cstheme="minorHAnsi"/>
              </w:rPr>
            </w:pPr>
            <w:r w:rsidRPr="00B53423">
              <w:rPr>
                <w:rFonts w:asciiTheme="minorHAnsi" w:hAnsiTheme="minorHAnsi" w:cstheme="minorHAnsi"/>
                <w:color w:val="000000"/>
              </w:rPr>
              <w:t>296.72</w:t>
            </w:r>
          </w:p>
        </w:tc>
        <w:tc>
          <w:tcPr>
            <w:tcW w:w="1260" w:type="dxa"/>
            <w:shd w:val="clear" w:color="auto" w:fill="auto"/>
            <w:noWrap/>
            <w:vAlign w:val="bottom"/>
            <w:hideMark/>
          </w:tcPr>
          <w:p w:rsidR="004C74C2" w:rsidRPr="00B53423" w:rsidRDefault="00C41CAB" w:rsidP="0015232B">
            <w:pPr>
              <w:spacing w:before="0" w:line="240" w:lineRule="auto"/>
              <w:jc w:val="right"/>
              <w:rPr>
                <w:rFonts w:asciiTheme="minorHAnsi" w:hAnsiTheme="minorHAnsi" w:cstheme="minorHAnsi"/>
              </w:rPr>
            </w:pPr>
            <w:r w:rsidRPr="00B53423">
              <w:rPr>
                <w:rFonts w:asciiTheme="minorHAnsi" w:hAnsiTheme="minorHAnsi" w:cstheme="minorHAnsi"/>
                <w:color w:val="000000"/>
              </w:rPr>
              <w:t>309.71</w:t>
            </w:r>
          </w:p>
        </w:tc>
        <w:tc>
          <w:tcPr>
            <w:tcW w:w="1319" w:type="dxa"/>
          </w:tcPr>
          <w:p w:rsidR="004C74C2" w:rsidRPr="00B53423" w:rsidRDefault="00C41CAB" w:rsidP="0015232B">
            <w:pPr>
              <w:spacing w:before="0" w:line="240" w:lineRule="auto"/>
              <w:jc w:val="right"/>
              <w:rPr>
                <w:rFonts w:asciiTheme="minorHAnsi" w:hAnsiTheme="minorHAnsi" w:cstheme="minorHAnsi"/>
                <w:color w:val="000000"/>
                <w:lang w:val="en-IN" w:eastAsia="en-IN"/>
              </w:rPr>
            </w:pPr>
            <w:r w:rsidRPr="00B53423">
              <w:rPr>
                <w:rFonts w:asciiTheme="minorHAnsi" w:hAnsiTheme="minorHAnsi" w:cstheme="minorHAnsi"/>
                <w:color w:val="000000"/>
              </w:rPr>
              <w:t>30</w:t>
            </w:r>
            <w:r w:rsidR="00EE00F4" w:rsidRPr="00B53423">
              <w:rPr>
                <w:rFonts w:asciiTheme="minorHAnsi" w:hAnsiTheme="minorHAnsi" w:cstheme="minorHAnsi"/>
                <w:color w:val="000000"/>
              </w:rPr>
              <w:t>5.47</w:t>
            </w:r>
          </w:p>
        </w:tc>
      </w:tr>
      <w:tr w:rsidR="00EC6F2C" w:rsidRPr="00B53423" w:rsidTr="00F2494F">
        <w:trPr>
          <w:trHeight w:val="300"/>
          <w:jc w:val="center"/>
        </w:trPr>
        <w:tc>
          <w:tcPr>
            <w:tcW w:w="3829" w:type="dxa"/>
            <w:shd w:val="clear" w:color="auto" w:fill="auto"/>
            <w:noWrap/>
            <w:hideMark/>
          </w:tcPr>
          <w:p w:rsidR="00EC6F2C" w:rsidRPr="00B53423" w:rsidRDefault="00EC6F2C" w:rsidP="0015232B">
            <w:pPr>
              <w:spacing w:before="0" w:line="240" w:lineRule="auto"/>
              <w:jc w:val="left"/>
              <w:rPr>
                <w:rFonts w:cs="Calibri"/>
                <w:color w:val="000000"/>
                <w:lang w:val="en-IN" w:eastAsia="en-IN"/>
              </w:rPr>
            </w:pPr>
            <w:r w:rsidRPr="00B53423">
              <w:rPr>
                <w:rFonts w:cs="Calibri"/>
                <w:color w:val="000000"/>
                <w:lang w:val="en-IN" w:eastAsia="en-IN"/>
              </w:rPr>
              <w:t>HV-3: Railway Traction</w:t>
            </w:r>
          </w:p>
        </w:tc>
        <w:tc>
          <w:tcPr>
            <w:tcW w:w="1170" w:type="dxa"/>
            <w:vAlign w:val="bottom"/>
          </w:tcPr>
          <w:p w:rsidR="00EC6F2C" w:rsidRPr="00B53423" w:rsidRDefault="00EC6F2C" w:rsidP="0015232B">
            <w:pPr>
              <w:spacing w:before="0" w:line="240" w:lineRule="auto"/>
              <w:ind w:right="210"/>
              <w:jc w:val="right"/>
              <w:rPr>
                <w:rFonts w:asciiTheme="minorHAnsi" w:hAnsiTheme="minorHAnsi" w:cstheme="minorHAnsi"/>
              </w:rPr>
            </w:pPr>
            <w:r w:rsidRPr="00B53423">
              <w:rPr>
                <w:rFonts w:asciiTheme="minorHAnsi" w:hAnsiTheme="minorHAnsi" w:cstheme="minorHAnsi"/>
                <w:lang w:val="en-IN" w:eastAsia="en-IN"/>
              </w:rPr>
              <w:t>0.00 </w:t>
            </w:r>
          </w:p>
        </w:tc>
        <w:tc>
          <w:tcPr>
            <w:tcW w:w="1260" w:type="dxa"/>
            <w:shd w:val="clear" w:color="auto" w:fill="auto"/>
            <w:noWrap/>
            <w:vAlign w:val="bottom"/>
            <w:hideMark/>
          </w:tcPr>
          <w:p w:rsidR="00EC6F2C" w:rsidRPr="00B53423" w:rsidRDefault="00EC6F2C" w:rsidP="0015232B">
            <w:pPr>
              <w:spacing w:before="0" w:line="240" w:lineRule="auto"/>
              <w:jc w:val="right"/>
              <w:rPr>
                <w:rFonts w:asciiTheme="minorHAnsi" w:hAnsiTheme="minorHAnsi" w:cstheme="minorHAnsi"/>
              </w:rPr>
            </w:pPr>
            <w:r w:rsidRPr="00B53423">
              <w:rPr>
                <w:rFonts w:asciiTheme="minorHAnsi" w:hAnsiTheme="minorHAnsi" w:cstheme="minorHAnsi"/>
              </w:rPr>
              <w:t>0.00</w:t>
            </w:r>
          </w:p>
        </w:tc>
        <w:tc>
          <w:tcPr>
            <w:tcW w:w="1260" w:type="dxa"/>
            <w:shd w:val="clear" w:color="auto" w:fill="auto"/>
            <w:noWrap/>
            <w:vAlign w:val="bottom"/>
            <w:hideMark/>
          </w:tcPr>
          <w:p w:rsidR="00EC6F2C" w:rsidRPr="00B53423" w:rsidRDefault="00EC6F2C" w:rsidP="0015232B">
            <w:pPr>
              <w:spacing w:before="0" w:line="240" w:lineRule="auto"/>
              <w:ind w:right="155"/>
              <w:jc w:val="right"/>
              <w:rPr>
                <w:rFonts w:asciiTheme="minorHAnsi" w:hAnsiTheme="minorHAnsi" w:cstheme="minorHAnsi"/>
              </w:rPr>
            </w:pPr>
            <w:r w:rsidRPr="00B53423">
              <w:rPr>
                <w:rFonts w:asciiTheme="minorHAnsi" w:hAnsiTheme="minorHAnsi" w:cstheme="minorHAnsi"/>
              </w:rPr>
              <w:t>0.00 </w:t>
            </w:r>
          </w:p>
        </w:tc>
        <w:tc>
          <w:tcPr>
            <w:tcW w:w="1319" w:type="dxa"/>
            <w:vAlign w:val="bottom"/>
          </w:tcPr>
          <w:p w:rsidR="00EC6F2C" w:rsidRPr="00B53423" w:rsidRDefault="00EC6F2C" w:rsidP="0015232B">
            <w:pPr>
              <w:spacing w:before="0" w:line="240" w:lineRule="auto"/>
              <w:ind w:right="155"/>
              <w:jc w:val="right"/>
              <w:rPr>
                <w:rFonts w:asciiTheme="minorHAnsi" w:hAnsiTheme="minorHAnsi" w:cstheme="minorHAnsi"/>
              </w:rPr>
            </w:pPr>
            <w:r w:rsidRPr="00B53423">
              <w:rPr>
                <w:rFonts w:asciiTheme="minorHAnsi" w:hAnsiTheme="minorHAnsi" w:cstheme="minorHAnsi"/>
              </w:rPr>
              <w:t>0.00 </w:t>
            </w:r>
          </w:p>
        </w:tc>
      </w:tr>
      <w:tr w:rsidR="00EC6F2C" w:rsidRPr="00B53423" w:rsidTr="00F2494F">
        <w:trPr>
          <w:trHeight w:val="300"/>
          <w:jc w:val="center"/>
        </w:trPr>
        <w:tc>
          <w:tcPr>
            <w:tcW w:w="3829" w:type="dxa"/>
            <w:shd w:val="clear" w:color="auto" w:fill="auto"/>
            <w:noWrap/>
            <w:hideMark/>
          </w:tcPr>
          <w:p w:rsidR="00EC6F2C" w:rsidRPr="00B53423" w:rsidRDefault="00EC6F2C" w:rsidP="0015232B">
            <w:pPr>
              <w:spacing w:before="0" w:line="240" w:lineRule="auto"/>
              <w:jc w:val="left"/>
              <w:rPr>
                <w:rFonts w:cs="Calibri"/>
                <w:color w:val="000000"/>
                <w:lang w:val="en-IN" w:eastAsia="en-IN"/>
              </w:rPr>
            </w:pPr>
            <w:r w:rsidRPr="00B53423">
              <w:rPr>
                <w:rFonts w:cs="Calibri"/>
                <w:color w:val="000000"/>
                <w:lang w:val="en-IN" w:eastAsia="en-IN"/>
              </w:rPr>
              <w:t>HV-4: Lift Irrigation</w:t>
            </w:r>
          </w:p>
        </w:tc>
        <w:tc>
          <w:tcPr>
            <w:tcW w:w="1170" w:type="dxa"/>
            <w:vAlign w:val="bottom"/>
          </w:tcPr>
          <w:p w:rsidR="00EC6F2C" w:rsidRPr="00B53423" w:rsidRDefault="00EC6F2C" w:rsidP="0015232B">
            <w:pPr>
              <w:spacing w:before="0" w:line="240" w:lineRule="auto"/>
              <w:ind w:right="210"/>
              <w:jc w:val="right"/>
              <w:rPr>
                <w:rFonts w:asciiTheme="minorHAnsi" w:hAnsiTheme="minorHAnsi" w:cstheme="minorHAnsi"/>
              </w:rPr>
            </w:pPr>
            <w:r w:rsidRPr="00B53423">
              <w:rPr>
                <w:rFonts w:asciiTheme="minorHAnsi" w:hAnsiTheme="minorHAnsi" w:cstheme="minorHAnsi"/>
                <w:lang w:val="en-IN" w:eastAsia="en-IN"/>
              </w:rPr>
              <w:t>0.00 </w:t>
            </w:r>
          </w:p>
        </w:tc>
        <w:tc>
          <w:tcPr>
            <w:tcW w:w="1260" w:type="dxa"/>
            <w:shd w:val="clear" w:color="auto" w:fill="auto"/>
            <w:noWrap/>
            <w:vAlign w:val="bottom"/>
            <w:hideMark/>
          </w:tcPr>
          <w:p w:rsidR="00EC6F2C" w:rsidRPr="00B53423" w:rsidRDefault="00EC6F2C" w:rsidP="0015232B">
            <w:pPr>
              <w:spacing w:before="0" w:line="240" w:lineRule="auto"/>
              <w:jc w:val="right"/>
              <w:rPr>
                <w:rFonts w:asciiTheme="minorHAnsi" w:hAnsiTheme="minorHAnsi" w:cstheme="minorHAnsi"/>
              </w:rPr>
            </w:pPr>
            <w:r w:rsidRPr="00B53423">
              <w:rPr>
                <w:rFonts w:asciiTheme="minorHAnsi" w:hAnsiTheme="minorHAnsi" w:cstheme="minorHAnsi"/>
              </w:rPr>
              <w:t>0.00</w:t>
            </w:r>
          </w:p>
        </w:tc>
        <w:tc>
          <w:tcPr>
            <w:tcW w:w="1260" w:type="dxa"/>
            <w:shd w:val="clear" w:color="auto" w:fill="auto"/>
            <w:noWrap/>
            <w:vAlign w:val="bottom"/>
            <w:hideMark/>
          </w:tcPr>
          <w:p w:rsidR="00EC6F2C" w:rsidRPr="00B53423" w:rsidRDefault="00EC6F2C" w:rsidP="0015232B">
            <w:pPr>
              <w:spacing w:before="0" w:line="240" w:lineRule="auto"/>
              <w:ind w:right="155"/>
              <w:jc w:val="right"/>
              <w:rPr>
                <w:rFonts w:asciiTheme="minorHAnsi" w:hAnsiTheme="minorHAnsi" w:cstheme="minorHAnsi"/>
              </w:rPr>
            </w:pPr>
            <w:r w:rsidRPr="00B53423">
              <w:rPr>
                <w:rFonts w:asciiTheme="minorHAnsi" w:hAnsiTheme="minorHAnsi" w:cstheme="minorHAnsi"/>
              </w:rPr>
              <w:t>0.00 </w:t>
            </w:r>
          </w:p>
        </w:tc>
        <w:tc>
          <w:tcPr>
            <w:tcW w:w="1319" w:type="dxa"/>
            <w:vAlign w:val="bottom"/>
          </w:tcPr>
          <w:p w:rsidR="00EC6F2C" w:rsidRPr="00B53423" w:rsidRDefault="00EC6F2C" w:rsidP="0015232B">
            <w:pPr>
              <w:spacing w:before="0" w:line="240" w:lineRule="auto"/>
              <w:ind w:right="155"/>
              <w:jc w:val="right"/>
              <w:rPr>
                <w:rFonts w:asciiTheme="minorHAnsi" w:hAnsiTheme="minorHAnsi" w:cstheme="minorHAnsi"/>
              </w:rPr>
            </w:pPr>
            <w:r w:rsidRPr="00B53423">
              <w:rPr>
                <w:rFonts w:asciiTheme="minorHAnsi" w:hAnsiTheme="minorHAnsi" w:cstheme="minorHAnsi"/>
              </w:rPr>
              <w:t>0.00 </w:t>
            </w:r>
          </w:p>
        </w:tc>
      </w:tr>
      <w:tr w:rsidR="004C74C2" w:rsidRPr="00B53423" w:rsidTr="00274054">
        <w:trPr>
          <w:trHeight w:val="300"/>
          <w:jc w:val="center"/>
        </w:trPr>
        <w:tc>
          <w:tcPr>
            <w:tcW w:w="3829" w:type="dxa"/>
            <w:shd w:val="clear" w:color="auto" w:fill="auto"/>
            <w:noWrap/>
            <w:hideMark/>
          </w:tcPr>
          <w:p w:rsidR="004C74C2" w:rsidRPr="00B53423" w:rsidRDefault="004C74C2" w:rsidP="0015232B">
            <w:pPr>
              <w:spacing w:before="0" w:line="240" w:lineRule="auto"/>
              <w:jc w:val="left"/>
              <w:rPr>
                <w:rFonts w:cs="Calibri"/>
                <w:b/>
                <w:bCs/>
                <w:color w:val="000000"/>
                <w:lang w:val="en-IN" w:eastAsia="en-IN"/>
              </w:rPr>
            </w:pPr>
            <w:r w:rsidRPr="00B53423">
              <w:rPr>
                <w:rFonts w:cs="Calibri"/>
                <w:b/>
                <w:bCs/>
                <w:color w:val="000000"/>
                <w:lang w:val="en-IN" w:eastAsia="en-IN"/>
              </w:rPr>
              <w:t>Sub-total</w:t>
            </w:r>
          </w:p>
        </w:tc>
        <w:tc>
          <w:tcPr>
            <w:tcW w:w="1170" w:type="dxa"/>
            <w:vAlign w:val="bottom"/>
          </w:tcPr>
          <w:p w:rsidR="004C74C2" w:rsidRPr="00B53423" w:rsidRDefault="00C41CAB" w:rsidP="0015232B">
            <w:pPr>
              <w:spacing w:before="0" w:line="240" w:lineRule="auto"/>
              <w:jc w:val="right"/>
              <w:rPr>
                <w:rFonts w:asciiTheme="minorHAnsi" w:hAnsiTheme="minorHAnsi" w:cstheme="minorHAnsi"/>
                <w:b/>
              </w:rPr>
            </w:pPr>
            <w:r w:rsidRPr="00B53423">
              <w:rPr>
                <w:rFonts w:asciiTheme="minorHAnsi" w:hAnsiTheme="minorHAnsi" w:cstheme="minorHAnsi"/>
                <w:color w:val="000000"/>
              </w:rPr>
              <w:t>1610.89</w:t>
            </w:r>
          </w:p>
        </w:tc>
        <w:tc>
          <w:tcPr>
            <w:tcW w:w="1260" w:type="dxa"/>
            <w:shd w:val="clear" w:color="auto" w:fill="auto"/>
            <w:noWrap/>
            <w:vAlign w:val="bottom"/>
            <w:hideMark/>
          </w:tcPr>
          <w:p w:rsidR="004C74C2" w:rsidRPr="00B53423" w:rsidRDefault="00C41CAB" w:rsidP="0015232B">
            <w:pPr>
              <w:spacing w:before="0" w:line="240" w:lineRule="auto"/>
              <w:jc w:val="right"/>
              <w:rPr>
                <w:rFonts w:asciiTheme="minorHAnsi" w:hAnsiTheme="minorHAnsi" w:cstheme="minorHAnsi"/>
                <w:b/>
              </w:rPr>
            </w:pPr>
            <w:r w:rsidRPr="00B53423">
              <w:rPr>
                <w:rFonts w:asciiTheme="minorHAnsi" w:hAnsiTheme="minorHAnsi" w:cstheme="minorHAnsi"/>
                <w:color w:val="000000"/>
              </w:rPr>
              <w:t>1526.55</w:t>
            </w:r>
          </w:p>
        </w:tc>
        <w:tc>
          <w:tcPr>
            <w:tcW w:w="1260" w:type="dxa"/>
            <w:shd w:val="clear" w:color="auto" w:fill="auto"/>
            <w:noWrap/>
            <w:vAlign w:val="bottom"/>
            <w:hideMark/>
          </w:tcPr>
          <w:p w:rsidR="004C74C2" w:rsidRPr="00B53423" w:rsidRDefault="00C41CAB" w:rsidP="0015232B">
            <w:pPr>
              <w:spacing w:before="0" w:line="240" w:lineRule="auto"/>
              <w:jc w:val="right"/>
              <w:rPr>
                <w:rFonts w:asciiTheme="minorHAnsi" w:hAnsiTheme="minorHAnsi" w:cstheme="minorHAnsi"/>
                <w:b/>
              </w:rPr>
            </w:pPr>
            <w:r w:rsidRPr="00B53423">
              <w:rPr>
                <w:rFonts w:asciiTheme="minorHAnsi" w:hAnsiTheme="minorHAnsi" w:cstheme="minorHAnsi"/>
                <w:color w:val="000000"/>
              </w:rPr>
              <w:t>1800.71</w:t>
            </w:r>
          </w:p>
        </w:tc>
        <w:tc>
          <w:tcPr>
            <w:tcW w:w="1319" w:type="dxa"/>
          </w:tcPr>
          <w:p w:rsidR="004C74C2" w:rsidRPr="00B53423" w:rsidRDefault="00C41CAB" w:rsidP="0015232B">
            <w:pPr>
              <w:spacing w:before="0" w:line="240" w:lineRule="auto"/>
              <w:jc w:val="right"/>
              <w:rPr>
                <w:rFonts w:asciiTheme="minorHAnsi" w:hAnsiTheme="minorHAnsi" w:cstheme="minorHAnsi"/>
                <w:b/>
                <w:bCs/>
                <w:color w:val="000000"/>
                <w:lang w:val="en-IN" w:eastAsia="en-IN"/>
              </w:rPr>
            </w:pPr>
            <w:r w:rsidRPr="00B53423">
              <w:rPr>
                <w:rFonts w:asciiTheme="minorHAnsi" w:hAnsiTheme="minorHAnsi" w:cstheme="minorHAnsi"/>
                <w:color w:val="000000"/>
              </w:rPr>
              <w:t>157</w:t>
            </w:r>
            <w:r w:rsidR="00EE00F4" w:rsidRPr="00B53423">
              <w:rPr>
                <w:rFonts w:asciiTheme="minorHAnsi" w:hAnsiTheme="minorHAnsi" w:cstheme="minorHAnsi"/>
                <w:color w:val="000000"/>
              </w:rPr>
              <w:t>0.54</w:t>
            </w:r>
          </w:p>
        </w:tc>
      </w:tr>
      <w:tr w:rsidR="004C74C2" w:rsidRPr="00B53423" w:rsidTr="00274054">
        <w:trPr>
          <w:trHeight w:val="300"/>
          <w:jc w:val="center"/>
        </w:trPr>
        <w:tc>
          <w:tcPr>
            <w:tcW w:w="3829" w:type="dxa"/>
            <w:shd w:val="clear" w:color="auto" w:fill="auto"/>
            <w:noWrap/>
            <w:hideMark/>
          </w:tcPr>
          <w:p w:rsidR="004C74C2" w:rsidRPr="00B53423" w:rsidRDefault="004C74C2" w:rsidP="0015232B">
            <w:pPr>
              <w:spacing w:before="0" w:line="240" w:lineRule="auto"/>
              <w:jc w:val="left"/>
              <w:rPr>
                <w:rFonts w:cs="Calibri"/>
                <w:color w:val="000000"/>
                <w:lang w:val="en-IN" w:eastAsia="en-IN"/>
              </w:rPr>
            </w:pPr>
            <w:r w:rsidRPr="00B53423">
              <w:rPr>
                <w:rFonts w:cs="Calibri"/>
                <w:color w:val="000000"/>
                <w:lang w:val="en-IN" w:eastAsia="en-IN"/>
              </w:rPr>
              <w:t>Extra state &amp; Bulk</w:t>
            </w:r>
          </w:p>
        </w:tc>
        <w:tc>
          <w:tcPr>
            <w:tcW w:w="1170" w:type="dxa"/>
            <w:vAlign w:val="bottom"/>
          </w:tcPr>
          <w:p w:rsidR="004C74C2" w:rsidRPr="00B53423" w:rsidRDefault="004C74C2" w:rsidP="0015232B">
            <w:pPr>
              <w:spacing w:before="0" w:line="240" w:lineRule="auto"/>
              <w:ind w:right="210"/>
              <w:jc w:val="right"/>
              <w:rPr>
                <w:rFonts w:asciiTheme="minorHAnsi" w:hAnsiTheme="minorHAnsi" w:cstheme="minorHAnsi"/>
              </w:rPr>
            </w:pPr>
            <w:r w:rsidRPr="00B53423">
              <w:rPr>
                <w:rFonts w:asciiTheme="minorHAnsi" w:hAnsiTheme="minorHAnsi" w:cstheme="minorHAnsi"/>
                <w:lang w:val="en-IN" w:eastAsia="en-IN"/>
              </w:rPr>
              <w:t>0.00 </w:t>
            </w:r>
          </w:p>
        </w:tc>
        <w:tc>
          <w:tcPr>
            <w:tcW w:w="1260" w:type="dxa"/>
            <w:shd w:val="clear" w:color="auto" w:fill="auto"/>
            <w:noWrap/>
            <w:vAlign w:val="bottom"/>
            <w:hideMark/>
          </w:tcPr>
          <w:p w:rsidR="004C74C2" w:rsidRPr="00B53423" w:rsidRDefault="004C74C2" w:rsidP="0015232B">
            <w:pPr>
              <w:spacing w:before="0" w:line="240" w:lineRule="auto"/>
              <w:jc w:val="right"/>
              <w:rPr>
                <w:rFonts w:asciiTheme="minorHAnsi" w:hAnsiTheme="minorHAnsi" w:cstheme="minorHAnsi"/>
              </w:rPr>
            </w:pPr>
            <w:r w:rsidRPr="00B53423">
              <w:rPr>
                <w:rFonts w:asciiTheme="minorHAnsi" w:hAnsiTheme="minorHAnsi" w:cstheme="minorHAnsi"/>
              </w:rPr>
              <w:t>0.00 </w:t>
            </w:r>
          </w:p>
        </w:tc>
        <w:tc>
          <w:tcPr>
            <w:tcW w:w="1260" w:type="dxa"/>
            <w:shd w:val="clear" w:color="auto" w:fill="auto"/>
            <w:noWrap/>
            <w:vAlign w:val="bottom"/>
            <w:hideMark/>
          </w:tcPr>
          <w:p w:rsidR="004C74C2" w:rsidRPr="00B53423" w:rsidRDefault="004C74C2" w:rsidP="0015232B">
            <w:pPr>
              <w:spacing w:before="0" w:line="240" w:lineRule="auto"/>
              <w:ind w:right="155"/>
              <w:jc w:val="right"/>
              <w:rPr>
                <w:rFonts w:asciiTheme="minorHAnsi" w:hAnsiTheme="minorHAnsi" w:cstheme="minorHAnsi"/>
              </w:rPr>
            </w:pPr>
            <w:r w:rsidRPr="00B53423">
              <w:rPr>
                <w:rFonts w:asciiTheme="minorHAnsi" w:hAnsiTheme="minorHAnsi" w:cstheme="minorHAnsi"/>
              </w:rPr>
              <w:t>0.00 </w:t>
            </w:r>
          </w:p>
        </w:tc>
        <w:tc>
          <w:tcPr>
            <w:tcW w:w="1319" w:type="dxa"/>
          </w:tcPr>
          <w:p w:rsidR="004C74C2" w:rsidRPr="00B53423" w:rsidRDefault="00C41CAB" w:rsidP="0015232B">
            <w:pPr>
              <w:spacing w:before="0" w:line="240" w:lineRule="auto"/>
              <w:jc w:val="right"/>
              <w:rPr>
                <w:rFonts w:asciiTheme="minorHAnsi" w:hAnsiTheme="minorHAnsi" w:cstheme="minorHAnsi"/>
                <w:color w:val="000000"/>
                <w:lang w:val="en-IN" w:eastAsia="en-IN"/>
              </w:rPr>
            </w:pPr>
            <w:r w:rsidRPr="00B53423">
              <w:rPr>
                <w:rFonts w:asciiTheme="minorHAnsi" w:hAnsiTheme="minorHAnsi" w:cstheme="minorHAnsi"/>
              </w:rPr>
              <w:t>0.00 </w:t>
            </w:r>
          </w:p>
        </w:tc>
      </w:tr>
      <w:tr w:rsidR="004C74C2" w:rsidRPr="00B53423" w:rsidTr="00274054">
        <w:trPr>
          <w:trHeight w:val="300"/>
          <w:jc w:val="center"/>
        </w:trPr>
        <w:tc>
          <w:tcPr>
            <w:tcW w:w="3829" w:type="dxa"/>
            <w:shd w:val="clear" w:color="auto" w:fill="auto"/>
            <w:noWrap/>
            <w:hideMark/>
          </w:tcPr>
          <w:p w:rsidR="004C74C2" w:rsidRPr="00B53423" w:rsidRDefault="004C74C2" w:rsidP="0015232B">
            <w:pPr>
              <w:spacing w:before="0" w:line="240" w:lineRule="auto"/>
              <w:jc w:val="left"/>
              <w:rPr>
                <w:rFonts w:cs="Calibri"/>
                <w:b/>
                <w:bCs/>
                <w:color w:val="000000"/>
                <w:lang w:val="en-IN" w:eastAsia="en-IN"/>
              </w:rPr>
            </w:pPr>
            <w:r w:rsidRPr="00B53423">
              <w:rPr>
                <w:rFonts w:cs="Calibri"/>
                <w:b/>
                <w:bCs/>
                <w:color w:val="000000"/>
                <w:lang w:val="en-IN" w:eastAsia="en-IN"/>
              </w:rPr>
              <w:t>Total</w:t>
            </w:r>
          </w:p>
        </w:tc>
        <w:tc>
          <w:tcPr>
            <w:tcW w:w="1170" w:type="dxa"/>
            <w:vAlign w:val="bottom"/>
          </w:tcPr>
          <w:p w:rsidR="004C74C2" w:rsidRPr="00B53423" w:rsidRDefault="00C41CAB"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1610.89</w:t>
            </w:r>
          </w:p>
        </w:tc>
        <w:tc>
          <w:tcPr>
            <w:tcW w:w="1260" w:type="dxa"/>
            <w:shd w:val="clear" w:color="auto" w:fill="auto"/>
            <w:noWrap/>
            <w:vAlign w:val="bottom"/>
            <w:hideMark/>
          </w:tcPr>
          <w:p w:rsidR="004C74C2" w:rsidRPr="00B53423" w:rsidRDefault="00C41CAB" w:rsidP="0015232B">
            <w:pPr>
              <w:spacing w:before="0" w:line="240" w:lineRule="auto"/>
              <w:jc w:val="right"/>
              <w:rPr>
                <w:rFonts w:asciiTheme="minorHAnsi" w:hAnsiTheme="minorHAnsi" w:cstheme="minorHAnsi"/>
                <w:b/>
              </w:rPr>
            </w:pPr>
            <w:r w:rsidRPr="00B53423">
              <w:rPr>
                <w:rFonts w:asciiTheme="minorHAnsi" w:hAnsiTheme="minorHAnsi" w:cstheme="minorHAnsi"/>
                <w:color w:val="000000"/>
              </w:rPr>
              <w:t>1526.55</w:t>
            </w:r>
          </w:p>
        </w:tc>
        <w:tc>
          <w:tcPr>
            <w:tcW w:w="1260" w:type="dxa"/>
            <w:shd w:val="clear" w:color="auto" w:fill="auto"/>
            <w:noWrap/>
            <w:vAlign w:val="bottom"/>
            <w:hideMark/>
          </w:tcPr>
          <w:p w:rsidR="004C74C2" w:rsidRPr="00B53423" w:rsidRDefault="00C41CAB"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1800.71</w:t>
            </w:r>
          </w:p>
        </w:tc>
        <w:tc>
          <w:tcPr>
            <w:tcW w:w="1319" w:type="dxa"/>
          </w:tcPr>
          <w:p w:rsidR="004C74C2" w:rsidRPr="00B53423" w:rsidRDefault="00C41CAB" w:rsidP="0015232B">
            <w:pPr>
              <w:spacing w:before="0" w:line="240" w:lineRule="auto"/>
              <w:jc w:val="right"/>
              <w:rPr>
                <w:rFonts w:asciiTheme="minorHAnsi" w:hAnsiTheme="minorHAnsi" w:cstheme="minorHAnsi"/>
                <w:color w:val="000000"/>
              </w:rPr>
            </w:pPr>
            <w:r w:rsidRPr="00B53423">
              <w:rPr>
                <w:rFonts w:asciiTheme="minorHAnsi" w:hAnsiTheme="minorHAnsi" w:cstheme="minorHAnsi"/>
                <w:color w:val="000000"/>
              </w:rPr>
              <w:t>15</w:t>
            </w:r>
            <w:r w:rsidR="00EE00F4" w:rsidRPr="00B53423">
              <w:rPr>
                <w:rFonts w:asciiTheme="minorHAnsi" w:hAnsiTheme="minorHAnsi" w:cstheme="minorHAnsi"/>
                <w:color w:val="000000"/>
              </w:rPr>
              <w:t>70.54</w:t>
            </w:r>
          </w:p>
        </w:tc>
      </w:tr>
    </w:tbl>
    <w:p w:rsidR="004C74C2" w:rsidRPr="00B53423" w:rsidRDefault="004C74C2" w:rsidP="0015232B">
      <w:pPr>
        <w:pStyle w:val="Heading3"/>
        <w:keepNext w:val="0"/>
        <w:numPr>
          <w:ilvl w:val="0"/>
          <w:numId w:val="0"/>
        </w:numPr>
        <w:tabs>
          <w:tab w:val="left" w:pos="864"/>
        </w:tabs>
      </w:pPr>
      <w:r w:rsidRPr="00B53423">
        <w:rPr>
          <w:rFonts w:ascii="Calibri" w:hAnsi="Calibri" w:cs="Arial"/>
          <w:i/>
          <w:szCs w:val="26"/>
        </w:rPr>
        <w:t xml:space="preserve">Note: Revenue at approved tariffs depicted in the table above have been considered </w:t>
      </w:r>
      <w:r w:rsidR="00127479" w:rsidRPr="00B53423">
        <w:rPr>
          <w:rFonts w:ascii="Calibri" w:hAnsi="Calibri" w:cs="Arial"/>
          <w:i/>
          <w:szCs w:val="26"/>
        </w:rPr>
        <w:t xml:space="preserve">effective for </w:t>
      </w:r>
      <w:r w:rsidR="00EE00F4" w:rsidRPr="00B53423">
        <w:rPr>
          <w:rFonts w:ascii="Calibri" w:hAnsi="Calibri" w:cs="Arial"/>
          <w:i/>
          <w:szCs w:val="26"/>
        </w:rPr>
        <w:t>6</w:t>
      </w:r>
      <w:r w:rsidR="00127479" w:rsidRPr="00B53423">
        <w:rPr>
          <w:rFonts w:ascii="Calibri" w:hAnsi="Calibri" w:cs="Arial"/>
          <w:i/>
          <w:szCs w:val="26"/>
        </w:rPr>
        <w:t xml:space="preserve"> </w:t>
      </w:r>
      <w:r w:rsidRPr="00B53423">
        <w:rPr>
          <w:rFonts w:ascii="Calibri" w:hAnsi="Calibri" w:cs="Arial"/>
          <w:i/>
          <w:szCs w:val="26"/>
        </w:rPr>
        <w:t>months in FY 2014-15</w:t>
      </w:r>
    </w:p>
    <w:p w:rsidR="004C74C2" w:rsidRPr="00B53423" w:rsidRDefault="004C74C2" w:rsidP="0015232B">
      <w:pPr>
        <w:spacing w:before="0" w:line="240" w:lineRule="auto"/>
        <w:jc w:val="left"/>
        <w:rPr>
          <w:rFonts w:asciiTheme="minorHAnsi" w:hAnsiTheme="minorHAnsi" w:cstheme="minorHAnsi"/>
          <w:b/>
          <w:bCs/>
          <w:color w:val="000000"/>
        </w:rPr>
      </w:pPr>
      <w:bookmarkStart w:id="893" w:name="_Toc356322612"/>
    </w:p>
    <w:p w:rsidR="004C74C2" w:rsidRPr="00B53423" w:rsidRDefault="004C74C2" w:rsidP="0015232B">
      <w:pPr>
        <w:pStyle w:val="Heading2"/>
        <w:keepNext w:val="0"/>
        <w:ind w:left="720" w:hanging="1080"/>
      </w:pPr>
      <w:bookmarkStart w:id="894" w:name="_Toc357733339"/>
      <w:bookmarkStart w:id="895" w:name="_Toc399626238"/>
      <w:r w:rsidRPr="00B53423">
        <w:t>APPROVED ARR SUMMARY, REVENUE FROM TARIFFS AND RESULTANT GAP</w:t>
      </w:r>
      <w:bookmarkEnd w:id="893"/>
      <w:bookmarkEnd w:id="894"/>
      <w:bookmarkEnd w:id="895"/>
    </w:p>
    <w:p w:rsidR="004C74C2" w:rsidRPr="00B53423" w:rsidRDefault="004C74C2" w:rsidP="0015232B">
      <w:pPr>
        <w:pStyle w:val="Heading4"/>
        <w:numPr>
          <w:ilvl w:val="0"/>
          <w:numId w:val="0"/>
        </w:numPr>
        <w:spacing w:before="0"/>
        <w:ind w:left="864"/>
      </w:pPr>
    </w:p>
    <w:p w:rsidR="004C74C2" w:rsidRPr="00B53423" w:rsidRDefault="004C74C2" w:rsidP="0015232B">
      <w:pPr>
        <w:pStyle w:val="Heading3"/>
        <w:keepNext w:val="0"/>
        <w:ind w:hanging="1080"/>
        <w:rPr>
          <w:b/>
        </w:rPr>
      </w:pPr>
      <w:bookmarkStart w:id="896" w:name="_Toc357349107"/>
      <w:bookmarkStart w:id="897" w:name="_Toc357356166"/>
      <w:r w:rsidRPr="00B53423">
        <w:t>In the preceding Sections, the Commission has detailed the expenses submitted by the Petitioner and that approved by the Commission under various heads for FY 2014-15. The Commission has also approved the revenue from existing T</w:t>
      </w:r>
      <w:r w:rsidR="00EC6F2C" w:rsidRPr="00B53423">
        <w:t>ariff</w:t>
      </w:r>
      <w:r w:rsidRPr="00B53423">
        <w:t xml:space="preserve"> and revenue from </w:t>
      </w:r>
      <w:r w:rsidR="00EE00F4" w:rsidRPr="00B53423">
        <w:t>revised</w:t>
      </w:r>
      <w:r w:rsidRPr="00B53423">
        <w:t xml:space="preserve"> T</w:t>
      </w:r>
      <w:r w:rsidR="00EC6F2C" w:rsidRPr="00B53423">
        <w:t>ariff</w:t>
      </w:r>
      <w:r w:rsidRPr="00B53423">
        <w:t xml:space="preserve">. </w:t>
      </w:r>
    </w:p>
    <w:p w:rsidR="004C74C2" w:rsidRPr="00B53423" w:rsidRDefault="004C74C2" w:rsidP="0015232B">
      <w:pPr>
        <w:pStyle w:val="Heading3"/>
        <w:keepNext w:val="0"/>
        <w:numPr>
          <w:ilvl w:val="0"/>
          <w:numId w:val="0"/>
        </w:numPr>
        <w:ind w:left="720"/>
        <w:rPr>
          <w:b/>
        </w:rPr>
      </w:pPr>
    </w:p>
    <w:p w:rsidR="004C74C2" w:rsidRPr="00B53423" w:rsidRDefault="004C74C2" w:rsidP="0015232B">
      <w:pPr>
        <w:pStyle w:val="Heading3"/>
        <w:keepNext w:val="0"/>
        <w:numPr>
          <w:ilvl w:val="0"/>
          <w:numId w:val="0"/>
        </w:numPr>
        <w:ind w:left="720"/>
        <w:rPr>
          <w:b/>
        </w:rPr>
      </w:pPr>
    </w:p>
    <w:p w:rsidR="004C74C2" w:rsidRPr="00B53423" w:rsidRDefault="004C74C2" w:rsidP="0015232B">
      <w:pPr>
        <w:pStyle w:val="Heading3"/>
        <w:keepNext w:val="0"/>
        <w:ind w:hanging="1080"/>
      </w:pPr>
      <w:r w:rsidRPr="00B53423">
        <w:t xml:space="preserve">The Commission has assessed the ARR for FY 2014-15 on standalone basis. Based on the above, the approved ARR and the revenue from </w:t>
      </w:r>
      <w:r w:rsidR="00EC6F2C" w:rsidRPr="00B53423">
        <w:t xml:space="preserve">existing </w:t>
      </w:r>
      <w:r w:rsidRPr="00B53423">
        <w:t>Tariff for FY 2014-15 are summarized in the Table below:</w:t>
      </w:r>
    </w:p>
    <w:p w:rsidR="004C74C2" w:rsidRPr="00B53423" w:rsidRDefault="004C74C2" w:rsidP="0015232B">
      <w:pPr>
        <w:pStyle w:val="Heading3"/>
        <w:keepNext w:val="0"/>
        <w:numPr>
          <w:ilvl w:val="0"/>
          <w:numId w:val="0"/>
        </w:numPr>
        <w:ind w:left="720"/>
      </w:pPr>
    </w:p>
    <w:p w:rsidR="004C74C2" w:rsidRPr="00B53423" w:rsidRDefault="004C74C2" w:rsidP="0015232B">
      <w:pPr>
        <w:pStyle w:val="Heading3"/>
        <w:keepNext w:val="0"/>
        <w:numPr>
          <w:ilvl w:val="0"/>
          <w:numId w:val="0"/>
        </w:numPr>
        <w:ind w:left="720"/>
        <w:rPr>
          <w:b/>
        </w:rPr>
      </w:pPr>
      <w:bookmarkStart w:id="898" w:name="_Ref325536697"/>
      <w:bookmarkStart w:id="899" w:name="_Toc338310722"/>
      <w:bookmarkStart w:id="900" w:name="_Toc338419552"/>
      <w:bookmarkStart w:id="901" w:name="_Toc357738749"/>
      <w:bookmarkStart w:id="902" w:name="_Toc399626435"/>
      <w:bookmarkEnd w:id="896"/>
      <w:bookmarkEnd w:id="897"/>
      <w:r w:rsidRPr="00B53423">
        <w:rPr>
          <w:b/>
        </w:rPr>
        <w:t xml:space="preserve">Table </w:t>
      </w:r>
      <w:r w:rsidR="005D68E7" w:rsidRPr="00B53423">
        <w:rPr>
          <w:b/>
        </w:rPr>
        <w:fldChar w:fldCharType="begin"/>
      </w:r>
      <w:r w:rsidRPr="00B53423">
        <w:rPr>
          <w:b/>
        </w:rPr>
        <w:instrText xml:space="preserve"> STYLEREF 1 \s </w:instrText>
      </w:r>
      <w:r w:rsidR="005D68E7" w:rsidRPr="00B53423">
        <w:rPr>
          <w:b/>
        </w:rPr>
        <w:fldChar w:fldCharType="separate"/>
      </w:r>
      <w:r w:rsidR="00847C1B">
        <w:rPr>
          <w:b/>
          <w:noProof/>
        </w:rPr>
        <w:t>9</w:t>
      </w:r>
      <w:r w:rsidR="005D68E7" w:rsidRPr="00B53423">
        <w:rPr>
          <w:b/>
        </w:rPr>
        <w:fldChar w:fldCharType="end"/>
      </w:r>
      <w:r w:rsidRPr="00B53423">
        <w:rPr>
          <w:b/>
        </w:rPr>
        <w:noBreakHyphen/>
      </w:r>
      <w:r w:rsidR="005D68E7" w:rsidRPr="00B53423">
        <w:rPr>
          <w:b/>
        </w:rPr>
        <w:fldChar w:fldCharType="begin"/>
      </w:r>
      <w:r w:rsidRPr="00B53423">
        <w:rPr>
          <w:b/>
        </w:rPr>
        <w:instrText xml:space="preserve"> SEQ Table \* ARABIC \s 1 </w:instrText>
      </w:r>
      <w:r w:rsidR="005D68E7" w:rsidRPr="00B53423">
        <w:rPr>
          <w:b/>
        </w:rPr>
        <w:fldChar w:fldCharType="separate"/>
      </w:r>
      <w:r w:rsidR="00847C1B">
        <w:rPr>
          <w:b/>
          <w:noProof/>
        </w:rPr>
        <w:t>30</w:t>
      </w:r>
      <w:r w:rsidR="005D68E7" w:rsidRPr="00B53423">
        <w:rPr>
          <w:b/>
        </w:rPr>
        <w:fldChar w:fldCharType="end"/>
      </w:r>
      <w:bookmarkEnd w:id="898"/>
      <w:r w:rsidRPr="00B53423">
        <w:rPr>
          <w:b/>
        </w:rPr>
        <w:t>: ARR, REVENUE AND GAP SUMMARY FOR FY 2014-15 (Rs. Crore)</w:t>
      </w:r>
      <w:bookmarkEnd w:id="899"/>
      <w:bookmarkEnd w:id="900"/>
      <w:bookmarkEnd w:id="901"/>
      <w:bookmarkEnd w:id="902"/>
    </w:p>
    <w:tbl>
      <w:tblPr>
        <w:tblW w:w="925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757"/>
        <w:gridCol w:w="1620"/>
        <w:gridCol w:w="1875"/>
      </w:tblGrid>
      <w:tr w:rsidR="004C74C2" w:rsidRPr="00B53423" w:rsidTr="002B3D6B">
        <w:trPr>
          <w:trHeight w:val="314"/>
        </w:trPr>
        <w:tc>
          <w:tcPr>
            <w:tcW w:w="5757" w:type="dxa"/>
            <w:shd w:val="clear" w:color="000000" w:fill="DBE5F1"/>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Particulars</w:t>
            </w:r>
          </w:p>
        </w:tc>
        <w:tc>
          <w:tcPr>
            <w:tcW w:w="1620" w:type="dxa"/>
            <w:shd w:val="clear" w:color="000000" w:fill="DBE5F1"/>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ARR Petition</w:t>
            </w:r>
          </w:p>
        </w:tc>
        <w:tc>
          <w:tcPr>
            <w:tcW w:w="1875" w:type="dxa"/>
            <w:shd w:val="clear" w:color="000000" w:fill="DBE5F1"/>
            <w:hideMark/>
          </w:tcPr>
          <w:p w:rsidR="004C74C2" w:rsidRPr="00B53423" w:rsidRDefault="004C74C2" w:rsidP="0015232B">
            <w:pPr>
              <w:spacing w:before="0" w:line="240" w:lineRule="auto"/>
              <w:jc w:val="center"/>
              <w:rPr>
                <w:rFonts w:cs="Calibri"/>
                <w:b/>
                <w:bCs/>
                <w:lang w:val="en-US"/>
              </w:rPr>
            </w:pPr>
            <w:r w:rsidRPr="00B53423">
              <w:rPr>
                <w:rFonts w:cs="Calibri"/>
                <w:b/>
                <w:bCs/>
                <w:lang w:val="en-US"/>
              </w:rPr>
              <w:t>Approved</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Power Purchase Expenses (incl PGCIL charges)</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1606.78</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1232.27</w:t>
            </w:r>
          </w:p>
        </w:tc>
      </w:tr>
      <w:tr w:rsidR="004C74C2" w:rsidRPr="00B53423" w:rsidTr="002B3D6B">
        <w:trPr>
          <w:trHeight w:val="345"/>
        </w:trPr>
        <w:tc>
          <w:tcPr>
            <w:tcW w:w="5757"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Transmission Charges - Intra state (incl SLDC Charges)</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84.34</w:t>
            </w:r>
          </w:p>
        </w:tc>
        <w:tc>
          <w:tcPr>
            <w:tcW w:w="1875" w:type="dxa"/>
            <w:shd w:val="clear" w:color="auto" w:fill="auto"/>
            <w:noWrap/>
            <w:vAlign w:val="center"/>
            <w:hideMark/>
          </w:tcPr>
          <w:p w:rsidR="004C74C2" w:rsidRPr="00B53423" w:rsidRDefault="001D0FBE"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62.25</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Employee cost</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121.14</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 xml:space="preserve">121.14 </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A&amp;G expenses</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15.37</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 xml:space="preserve">15.37 </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R&amp;M expenses</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42.78</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 xml:space="preserve">42.78 </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Interest &amp; Finance charges</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31.40</w:t>
            </w:r>
          </w:p>
        </w:tc>
        <w:tc>
          <w:tcPr>
            <w:tcW w:w="1875" w:type="dxa"/>
            <w:shd w:val="clear" w:color="auto" w:fill="auto"/>
            <w:noWrap/>
            <w:vAlign w:val="center"/>
            <w:hideMark/>
          </w:tcPr>
          <w:p w:rsidR="004C74C2" w:rsidRPr="00B53423" w:rsidRDefault="00127479"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 xml:space="preserve">  </w:t>
            </w:r>
            <w:r w:rsidR="001D0FBE" w:rsidRPr="00B53423">
              <w:rPr>
                <w:rFonts w:asciiTheme="minorHAnsi" w:hAnsiTheme="minorHAnsi" w:cstheme="minorHAnsi"/>
                <w:lang w:val="en-US"/>
              </w:rPr>
              <w:t>30.32</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Depreciation</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36.88</w:t>
            </w:r>
          </w:p>
        </w:tc>
        <w:tc>
          <w:tcPr>
            <w:tcW w:w="1875" w:type="dxa"/>
            <w:shd w:val="clear" w:color="auto" w:fill="auto"/>
            <w:noWrap/>
            <w:vAlign w:val="center"/>
            <w:hideMark/>
          </w:tcPr>
          <w:p w:rsidR="004C74C2" w:rsidRPr="00B53423" w:rsidRDefault="00127479"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 xml:space="preserve">  30.11 </w:t>
            </w:r>
          </w:p>
        </w:tc>
      </w:tr>
      <w:tr w:rsidR="00127479" w:rsidRPr="00B53423" w:rsidTr="002B3D6B">
        <w:trPr>
          <w:trHeight w:val="300"/>
        </w:trPr>
        <w:tc>
          <w:tcPr>
            <w:tcW w:w="5757" w:type="dxa"/>
            <w:shd w:val="clear" w:color="auto" w:fill="auto"/>
            <w:hideMark/>
          </w:tcPr>
          <w:p w:rsidR="00127479" w:rsidRPr="00B53423" w:rsidRDefault="00127479" w:rsidP="0015232B">
            <w:pPr>
              <w:spacing w:before="0" w:line="240" w:lineRule="auto"/>
              <w:jc w:val="left"/>
              <w:rPr>
                <w:rFonts w:cs="Calibri"/>
                <w:b/>
                <w:bCs/>
                <w:lang w:val="en-US"/>
              </w:rPr>
            </w:pPr>
            <w:r w:rsidRPr="00B53423">
              <w:rPr>
                <w:rFonts w:cs="Calibri"/>
                <w:b/>
                <w:bCs/>
                <w:lang w:val="en-US"/>
              </w:rPr>
              <w:t>Total Expenditure</w:t>
            </w:r>
          </w:p>
        </w:tc>
        <w:tc>
          <w:tcPr>
            <w:tcW w:w="1620" w:type="dxa"/>
            <w:shd w:val="clear" w:color="auto" w:fill="auto"/>
            <w:noWrap/>
            <w:vAlign w:val="center"/>
            <w:hideMark/>
          </w:tcPr>
          <w:p w:rsidR="00127479" w:rsidRPr="00B53423" w:rsidRDefault="00127479" w:rsidP="0015232B">
            <w:pPr>
              <w:spacing w:before="0" w:line="240" w:lineRule="auto"/>
              <w:ind w:right="342"/>
              <w:jc w:val="right"/>
              <w:rPr>
                <w:rFonts w:asciiTheme="minorHAnsi" w:hAnsiTheme="minorHAnsi" w:cstheme="minorHAnsi"/>
                <w:b/>
                <w:lang w:val="en-US"/>
              </w:rPr>
            </w:pPr>
            <w:r w:rsidRPr="00B53423">
              <w:rPr>
                <w:rFonts w:asciiTheme="minorHAnsi" w:hAnsiTheme="minorHAnsi" w:cstheme="minorHAnsi"/>
                <w:b/>
                <w:lang w:val="en-US"/>
              </w:rPr>
              <w:t>1938.69</w:t>
            </w:r>
          </w:p>
        </w:tc>
        <w:tc>
          <w:tcPr>
            <w:tcW w:w="1875" w:type="dxa"/>
            <w:shd w:val="clear" w:color="auto" w:fill="auto"/>
            <w:noWrap/>
            <w:vAlign w:val="center"/>
            <w:hideMark/>
          </w:tcPr>
          <w:p w:rsidR="00127479" w:rsidRPr="00B53423" w:rsidRDefault="00127479" w:rsidP="0015232B">
            <w:pPr>
              <w:spacing w:before="0" w:line="240" w:lineRule="auto"/>
              <w:ind w:right="342"/>
              <w:jc w:val="right"/>
              <w:rPr>
                <w:rFonts w:asciiTheme="minorHAnsi" w:hAnsiTheme="minorHAnsi" w:cstheme="minorHAnsi"/>
                <w:b/>
                <w:lang w:val="en-US"/>
              </w:rPr>
            </w:pPr>
            <w:r w:rsidRPr="00B53423">
              <w:rPr>
                <w:rFonts w:asciiTheme="minorHAnsi" w:hAnsiTheme="minorHAnsi" w:cstheme="minorHAnsi"/>
                <w:b/>
                <w:lang w:val="en-US"/>
              </w:rPr>
              <w:t xml:space="preserve"> 1,53</w:t>
            </w:r>
            <w:r w:rsidR="001D0FBE" w:rsidRPr="00B53423">
              <w:rPr>
                <w:rFonts w:asciiTheme="minorHAnsi" w:hAnsiTheme="minorHAnsi" w:cstheme="minorHAnsi"/>
                <w:b/>
                <w:lang w:val="en-US"/>
              </w:rPr>
              <w:t>4.24</w:t>
            </w:r>
            <w:r w:rsidRPr="00B53423">
              <w:rPr>
                <w:rFonts w:asciiTheme="minorHAnsi" w:hAnsiTheme="minorHAnsi" w:cstheme="minorHAnsi"/>
                <w:b/>
                <w:lang w:val="en-US"/>
              </w:rPr>
              <w:t xml:space="preserve"> </w:t>
            </w:r>
          </w:p>
        </w:tc>
      </w:tr>
      <w:tr w:rsidR="00127479" w:rsidRPr="00B53423" w:rsidTr="002B3D6B">
        <w:trPr>
          <w:trHeight w:val="300"/>
        </w:trPr>
        <w:tc>
          <w:tcPr>
            <w:tcW w:w="5757" w:type="dxa"/>
            <w:shd w:val="clear" w:color="auto" w:fill="auto"/>
            <w:hideMark/>
          </w:tcPr>
          <w:p w:rsidR="00127479" w:rsidRPr="00B53423" w:rsidRDefault="00127479" w:rsidP="0015232B">
            <w:pPr>
              <w:spacing w:before="0" w:line="240" w:lineRule="auto"/>
              <w:jc w:val="left"/>
              <w:rPr>
                <w:rFonts w:cs="Calibri"/>
                <w:b/>
                <w:bCs/>
                <w:lang w:val="en-US"/>
              </w:rPr>
            </w:pPr>
            <w:r w:rsidRPr="00B53423">
              <w:rPr>
                <w:rFonts w:cs="Calibri"/>
                <w:b/>
                <w:bCs/>
                <w:lang w:val="en-US"/>
              </w:rPr>
              <w:t>Expense capitalization</w:t>
            </w:r>
          </w:p>
        </w:tc>
        <w:tc>
          <w:tcPr>
            <w:tcW w:w="1620" w:type="dxa"/>
            <w:shd w:val="clear" w:color="auto" w:fill="auto"/>
            <w:noWrap/>
            <w:vAlign w:val="center"/>
            <w:hideMark/>
          </w:tcPr>
          <w:p w:rsidR="00127479" w:rsidRPr="00B53423" w:rsidRDefault="00127479" w:rsidP="0015232B">
            <w:pPr>
              <w:spacing w:before="0" w:line="240" w:lineRule="auto"/>
              <w:ind w:right="342"/>
              <w:jc w:val="right"/>
              <w:rPr>
                <w:rFonts w:asciiTheme="minorHAnsi" w:hAnsiTheme="minorHAnsi" w:cstheme="minorHAnsi"/>
                <w:b/>
                <w:lang w:val="en-US"/>
              </w:rPr>
            </w:pPr>
            <w:r w:rsidRPr="00B53423">
              <w:rPr>
                <w:rFonts w:asciiTheme="minorHAnsi" w:hAnsiTheme="minorHAnsi" w:cstheme="minorHAnsi"/>
                <w:b/>
                <w:lang w:val="en-US"/>
              </w:rPr>
              <w:t>20.59</w:t>
            </w:r>
          </w:p>
        </w:tc>
        <w:tc>
          <w:tcPr>
            <w:tcW w:w="1875" w:type="dxa"/>
            <w:shd w:val="clear" w:color="auto" w:fill="auto"/>
            <w:noWrap/>
            <w:vAlign w:val="center"/>
            <w:hideMark/>
          </w:tcPr>
          <w:p w:rsidR="00127479" w:rsidRPr="00B53423" w:rsidRDefault="00127479" w:rsidP="0015232B">
            <w:pPr>
              <w:spacing w:before="0" w:line="240" w:lineRule="auto"/>
              <w:ind w:right="342"/>
              <w:jc w:val="right"/>
              <w:rPr>
                <w:rFonts w:asciiTheme="minorHAnsi" w:hAnsiTheme="minorHAnsi" w:cstheme="minorHAnsi"/>
                <w:b/>
                <w:lang w:val="en-US"/>
              </w:rPr>
            </w:pPr>
            <w:r w:rsidRPr="00B53423">
              <w:rPr>
                <w:rFonts w:asciiTheme="minorHAnsi" w:hAnsiTheme="minorHAnsi" w:cstheme="minorHAnsi"/>
                <w:b/>
                <w:lang w:val="en-US"/>
              </w:rPr>
              <w:t xml:space="preserve"> 20.48 </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i/>
                <w:iCs/>
                <w:lang w:val="en-US"/>
              </w:rPr>
            </w:pPr>
            <w:r w:rsidRPr="00B53423">
              <w:rPr>
                <w:rFonts w:cs="Calibri"/>
                <w:i/>
                <w:iCs/>
                <w:lang w:val="en-US"/>
              </w:rPr>
              <w:t>Employee cost capitalized</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18.17</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 xml:space="preserve">18.17 </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i/>
                <w:iCs/>
                <w:lang w:val="en-US"/>
              </w:rPr>
            </w:pPr>
            <w:r w:rsidRPr="00B53423">
              <w:rPr>
                <w:rFonts w:cs="Calibri"/>
                <w:i/>
                <w:iCs/>
                <w:lang w:val="en-US"/>
              </w:rPr>
              <w:t>Interest capitalized</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 xml:space="preserve"> 0.11 </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 xml:space="preserve"> -   </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i/>
                <w:iCs/>
                <w:lang w:val="en-US"/>
              </w:rPr>
            </w:pPr>
            <w:r w:rsidRPr="00B53423">
              <w:rPr>
                <w:rFonts w:cs="Calibri"/>
                <w:i/>
                <w:iCs/>
                <w:lang w:val="en-US"/>
              </w:rPr>
              <w:t>A&amp;G expenses capitalized</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2.31</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 xml:space="preserve">2.31 </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Net Expenditure</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b/>
                <w:lang w:val="en-US"/>
              </w:rPr>
            </w:pPr>
            <w:r w:rsidRPr="00B53423">
              <w:rPr>
                <w:rFonts w:asciiTheme="minorHAnsi" w:hAnsiTheme="minorHAnsi" w:cstheme="minorHAnsi"/>
                <w:b/>
                <w:lang w:val="en-US"/>
              </w:rPr>
              <w:t>1918.10</w:t>
            </w:r>
          </w:p>
        </w:tc>
        <w:tc>
          <w:tcPr>
            <w:tcW w:w="1875" w:type="dxa"/>
            <w:shd w:val="clear" w:color="auto" w:fill="auto"/>
            <w:noWrap/>
            <w:vAlign w:val="center"/>
            <w:hideMark/>
          </w:tcPr>
          <w:p w:rsidR="004C74C2" w:rsidRPr="00B53423" w:rsidRDefault="00127479" w:rsidP="0015232B">
            <w:pPr>
              <w:spacing w:before="0" w:line="240" w:lineRule="auto"/>
              <w:ind w:right="252"/>
              <w:jc w:val="right"/>
              <w:rPr>
                <w:rFonts w:cs="Calibri"/>
                <w:b/>
                <w:bCs/>
                <w:color w:val="000000"/>
              </w:rPr>
            </w:pPr>
            <w:r w:rsidRPr="00B53423">
              <w:rPr>
                <w:rFonts w:cs="Calibri"/>
                <w:b/>
                <w:bCs/>
                <w:color w:val="000000"/>
              </w:rPr>
              <w:t xml:space="preserve"> </w:t>
            </w:r>
            <w:r w:rsidRPr="00B53423">
              <w:rPr>
                <w:rFonts w:asciiTheme="minorHAnsi" w:hAnsiTheme="minorHAnsi" w:cstheme="minorHAnsi"/>
                <w:b/>
                <w:bCs/>
                <w:color w:val="000000"/>
              </w:rPr>
              <w:t xml:space="preserve">  1,5</w:t>
            </w:r>
            <w:r w:rsidR="001D0FBE" w:rsidRPr="00B53423">
              <w:rPr>
                <w:rFonts w:asciiTheme="minorHAnsi" w:hAnsiTheme="minorHAnsi" w:cstheme="minorHAnsi"/>
                <w:b/>
                <w:bCs/>
                <w:color w:val="000000"/>
              </w:rPr>
              <w:t>13.77</w:t>
            </w:r>
            <w:r w:rsidRPr="00B53423">
              <w:rPr>
                <w:rFonts w:asciiTheme="minorHAnsi" w:hAnsiTheme="minorHAnsi" w:cstheme="minorHAnsi"/>
                <w:b/>
                <w:bCs/>
                <w:color w:val="000000"/>
              </w:rPr>
              <w:t xml:space="preserve"> </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Special Appropriations</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 </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 </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i/>
                <w:iCs/>
                <w:lang w:val="en-US"/>
              </w:rPr>
            </w:pPr>
            <w:r w:rsidRPr="00B53423">
              <w:rPr>
                <w:rFonts w:cs="Calibri"/>
                <w:i/>
                <w:iCs/>
                <w:lang w:val="en-US"/>
              </w:rPr>
              <w:t>Provision for Bad &amp; Doubtful debts</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36.99</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 xml:space="preserve">        -   </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i/>
                <w:iCs/>
                <w:lang w:val="en-US"/>
              </w:rPr>
            </w:pPr>
            <w:r w:rsidRPr="00B53423">
              <w:rPr>
                <w:rFonts w:cs="Calibri"/>
                <w:i/>
                <w:iCs/>
                <w:lang w:val="en-US"/>
              </w:rPr>
              <w:t>Provision for Contingency Reserve</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 </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b/>
                <w:bCs/>
                <w:color w:val="000000"/>
              </w:rPr>
            </w:pPr>
            <w:r w:rsidRPr="00B53423">
              <w:rPr>
                <w:rFonts w:asciiTheme="minorHAnsi" w:hAnsiTheme="minorHAnsi" w:cstheme="minorHAnsi"/>
                <w:b/>
                <w:bCs/>
                <w:color w:val="000000"/>
              </w:rPr>
              <w:t>-</w:t>
            </w:r>
          </w:p>
        </w:tc>
      </w:tr>
      <w:tr w:rsidR="004C74C2" w:rsidRPr="00B53423" w:rsidTr="002B3D6B">
        <w:trPr>
          <w:trHeight w:val="390"/>
        </w:trPr>
        <w:tc>
          <w:tcPr>
            <w:tcW w:w="5757" w:type="dxa"/>
            <w:shd w:val="clear" w:color="auto" w:fill="auto"/>
            <w:hideMark/>
          </w:tcPr>
          <w:p w:rsidR="004C74C2" w:rsidRPr="00B53423" w:rsidRDefault="004C74C2" w:rsidP="0015232B">
            <w:pPr>
              <w:spacing w:before="0" w:line="240" w:lineRule="auto"/>
              <w:jc w:val="left"/>
              <w:rPr>
                <w:rFonts w:cs="Calibri"/>
                <w:i/>
                <w:iCs/>
                <w:lang w:val="en-US"/>
              </w:rPr>
            </w:pPr>
            <w:r w:rsidRPr="00B53423">
              <w:rPr>
                <w:rFonts w:cs="Calibri"/>
                <w:i/>
                <w:iCs/>
                <w:lang w:val="en-US"/>
              </w:rPr>
              <w:t>Apportionment of O&amp;M Expenses &amp; Interest &amp; Finance Charges of UPPCL</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color w:val="000000"/>
                <w:lang w:val="en-US"/>
              </w:rPr>
            </w:pPr>
            <w:r w:rsidRPr="00B53423">
              <w:rPr>
                <w:rFonts w:asciiTheme="minorHAnsi" w:hAnsiTheme="minorHAnsi" w:cstheme="minorHAnsi"/>
                <w:color w:val="000000"/>
                <w:lang w:val="en-US"/>
              </w:rPr>
              <w:t>7.76</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Total net expenditure with provisions</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b/>
                <w:lang w:val="en-US"/>
              </w:rPr>
            </w:pPr>
            <w:r w:rsidRPr="00B53423">
              <w:rPr>
                <w:rFonts w:asciiTheme="minorHAnsi" w:hAnsiTheme="minorHAnsi" w:cstheme="minorHAnsi"/>
                <w:b/>
                <w:lang w:val="en-US"/>
              </w:rPr>
              <w:t>1962.85</w:t>
            </w:r>
          </w:p>
        </w:tc>
        <w:tc>
          <w:tcPr>
            <w:tcW w:w="1875" w:type="dxa"/>
            <w:shd w:val="clear" w:color="auto" w:fill="auto"/>
            <w:noWrap/>
            <w:vAlign w:val="center"/>
            <w:hideMark/>
          </w:tcPr>
          <w:p w:rsidR="004C74C2" w:rsidRPr="00B53423" w:rsidRDefault="00127479" w:rsidP="0015232B">
            <w:pPr>
              <w:spacing w:before="0" w:line="240" w:lineRule="auto"/>
              <w:ind w:right="252"/>
              <w:jc w:val="right"/>
              <w:rPr>
                <w:rFonts w:asciiTheme="minorHAnsi" w:hAnsiTheme="minorHAnsi" w:cstheme="minorHAnsi"/>
              </w:rPr>
            </w:pPr>
            <w:r w:rsidRPr="00B53423">
              <w:rPr>
                <w:rFonts w:asciiTheme="minorHAnsi" w:hAnsiTheme="minorHAnsi" w:cstheme="minorHAnsi"/>
                <w:b/>
                <w:bCs/>
                <w:color w:val="000000"/>
              </w:rPr>
              <w:t>1,5</w:t>
            </w:r>
            <w:r w:rsidR="001D0FBE" w:rsidRPr="00B53423">
              <w:rPr>
                <w:rFonts w:asciiTheme="minorHAnsi" w:hAnsiTheme="minorHAnsi" w:cstheme="minorHAnsi"/>
                <w:b/>
                <w:bCs/>
                <w:color w:val="000000"/>
              </w:rPr>
              <w:t>13.77</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Add: Return on Equity</w:t>
            </w:r>
          </w:p>
        </w:tc>
        <w:tc>
          <w:tcPr>
            <w:tcW w:w="1620" w:type="dxa"/>
            <w:shd w:val="clear" w:color="auto" w:fill="auto"/>
            <w:noWrap/>
            <w:vAlign w:val="center"/>
            <w:hideMark/>
          </w:tcPr>
          <w:p w:rsidR="004C74C2" w:rsidRPr="00B53423" w:rsidRDefault="002B3D6B"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0.00</w:t>
            </w:r>
            <w:r w:rsidR="004C74C2" w:rsidRPr="00B53423">
              <w:rPr>
                <w:rFonts w:asciiTheme="minorHAnsi" w:hAnsiTheme="minorHAnsi" w:cstheme="minorHAnsi"/>
                <w:lang w:val="en-US"/>
              </w:rPr>
              <w:t> </w:t>
            </w:r>
          </w:p>
        </w:tc>
        <w:tc>
          <w:tcPr>
            <w:tcW w:w="1875" w:type="dxa"/>
            <w:shd w:val="clear" w:color="auto" w:fill="auto"/>
            <w:noWrap/>
            <w:vAlign w:val="center"/>
            <w:hideMark/>
          </w:tcPr>
          <w:p w:rsidR="004C74C2" w:rsidRPr="00B53423" w:rsidRDefault="002B3D6B" w:rsidP="0015232B">
            <w:pPr>
              <w:spacing w:before="0" w:line="240" w:lineRule="auto"/>
              <w:ind w:right="252"/>
              <w:jc w:val="right"/>
              <w:rPr>
                <w:rFonts w:asciiTheme="minorHAnsi" w:hAnsiTheme="minorHAnsi" w:cstheme="minorHAnsi"/>
              </w:rPr>
            </w:pPr>
            <w:r w:rsidRPr="00B53423">
              <w:rPr>
                <w:rFonts w:asciiTheme="minorHAnsi" w:hAnsiTheme="minorHAnsi" w:cstheme="minorHAnsi"/>
              </w:rPr>
              <w:t>0.00</w:t>
            </w:r>
            <w:r w:rsidR="004C74C2" w:rsidRPr="00B53423">
              <w:rPr>
                <w:rFonts w:asciiTheme="minorHAnsi" w:hAnsiTheme="minorHAnsi" w:cstheme="minorHAnsi"/>
              </w:rPr>
              <w:t> </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Less: Non Tariff Income</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6.50</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bCs/>
                <w:color w:val="000000"/>
              </w:rPr>
            </w:pPr>
            <w:r w:rsidRPr="00B53423">
              <w:rPr>
                <w:rFonts w:asciiTheme="minorHAnsi" w:hAnsiTheme="minorHAnsi" w:cstheme="minorHAnsi"/>
                <w:bCs/>
                <w:color w:val="000000"/>
              </w:rPr>
              <w:t>6.50</w:t>
            </w:r>
          </w:p>
        </w:tc>
      </w:tr>
      <w:tr w:rsidR="004C74C2" w:rsidRPr="00B53423" w:rsidTr="002B3D6B">
        <w:trPr>
          <w:trHeight w:val="314"/>
        </w:trPr>
        <w:tc>
          <w:tcPr>
            <w:tcW w:w="5757" w:type="dxa"/>
            <w:shd w:val="clear" w:color="auto" w:fill="auto"/>
            <w:hideMark/>
          </w:tcPr>
          <w:p w:rsidR="004C74C2" w:rsidRPr="00B53423" w:rsidRDefault="004C74C2" w:rsidP="0015232B">
            <w:pPr>
              <w:spacing w:before="0" w:line="240" w:lineRule="auto"/>
              <w:jc w:val="left"/>
              <w:rPr>
                <w:rFonts w:cs="Calibri"/>
                <w:b/>
                <w:bCs/>
                <w:lang w:val="en-US"/>
              </w:rPr>
            </w:pPr>
            <w:r w:rsidRPr="00B53423">
              <w:rPr>
                <w:rFonts w:cs="Calibri"/>
                <w:b/>
                <w:bCs/>
                <w:lang w:val="en-US"/>
              </w:rPr>
              <w:t>Annual Revenue Requirement (ARR)</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b/>
                <w:lang w:val="en-US"/>
              </w:rPr>
            </w:pPr>
            <w:r w:rsidRPr="00B53423">
              <w:rPr>
                <w:rFonts w:asciiTheme="minorHAnsi" w:hAnsiTheme="minorHAnsi" w:cstheme="minorHAnsi"/>
                <w:b/>
                <w:lang w:val="en-US"/>
              </w:rPr>
              <w:t>1956.35</w:t>
            </w:r>
          </w:p>
        </w:tc>
        <w:tc>
          <w:tcPr>
            <w:tcW w:w="1875" w:type="dxa"/>
            <w:shd w:val="clear" w:color="auto" w:fill="auto"/>
            <w:noWrap/>
            <w:vAlign w:val="center"/>
            <w:hideMark/>
          </w:tcPr>
          <w:p w:rsidR="004C74C2" w:rsidRPr="00B53423" w:rsidRDefault="004C74C2" w:rsidP="0015232B">
            <w:pPr>
              <w:spacing w:before="0" w:line="240" w:lineRule="auto"/>
              <w:ind w:right="252"/>
              <w:jc w:val="right"/>
              <w:rPr>
                <w:rFonts w:asciiTheme="minorHAnsi" w:hAnsiTheme="minorHAnsi" w:cstheme="minorHAnsi"/>
              </w:rPr>
            </w:pPr>
            <w:r w:rsidRPr="00B53423">
              <w:rPr>
                <w:rFonts w:asciiTheme="minorHAnsi" w:hAnsiTheme="minorHAnsi" w:cstheme="minorHAnsi"/>
                <w:b/>
                <w:bCs/>
                <w:color w:val="000000"/>
              </w:rPr>
              <w:t>1,5</w:t>
            </w:r>
            <w:r w:rsidR="001D0FBE" w:rsidRPr="00B53423">
              <w:rPr>
                <w:rFonts w:asciiTheme="minorHAnsi" w:hAnsiTheme="minorHAnsi" w:cstheme="minorHAnsi"/>
                <w:b/>
                <w:bCs/>
                <w:color w:val="000000"/>
              </w:rPr>
              <w:t>07.27</w:t>
            </w:r>
          </w:p>
        </w:tc>
      </w:tr>
      <w:tr w:rsidR="004C74C2" w:rsidRPr="00B53423" w:rsidTr="002B3D6B">
        <w:trPr>
          <w:trHeight w:val="260"/>
        </w:trPr>
        <w:tc>
          <w:tcPr>
            <w:tcW w:w="5757"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Revenue from existing tariffs</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lang w:val="en-US"/>
              </w:rPr>
            </w:pPr>
            <w:r w:rsidRPr="00B53423">
              <w:rPr>
                <w:rFonts w:asciiTheme="minorHAnsi" w:hAnsiTheme="minorHAnsi" w:cstheme="minorHAnsi"/>
                <w:lang w:val="en-US"/>
              </w:rPr>
              <w:t>1610.89</w:t>
            </w:r>
          </w:p>
        </w:tc>
        <w:tc>
          <w:tcPr>
            <w:tcW w:w="1875" w:type="dxa"/>
            <w:shd w:val="clear" w:color="auto" w:fill="auto"/>
            <w:noWrap/>
            <w:vAlign w:val="center"/>
            <w:hideMark/>
          </w:tcPr>
          <w:p w:rsidR="004C74C2" w:rsidRPr="00B53423" w:rsidRDefault="00077B14" w:rsidP="0015232B">
            <w:pPr>
              <w:spacing w:before="0" w:line="240" w:lineRule="auto"/>
              <w:ind w:right="252"/>
              <w:jc w:val="right"/>
              <w:rPr>
                <w:rFonts w:asciiTheme="minorHAnsi" w:hAnsiTheme="minorHAnsi" w:cstheme="minorHAnsi"/>
                <w:lang w:val="en-US"/>
              </w:rPr>
            </w:pPr>
            <w:r w:rsidRPr="00B53423">
              <w:rPr>
                <w:rFonts w:asciiTheme="minorHAnsi" w:hAnsiTheme="minorHAnsi" w:cstheme="minorHAnsi"/>
                <w:lang w:val="en-US"/>
              </w:rPr>
              <w:t>15</w:t>
            </w:r>
            <w:r w:rsidR="00127479" w:rsidRPr="00B53423">
              <w:rPr>
                <w:rFonts w:asciiTheme="minorHAnsi" w:hAnsiTheme="minorHAnsi" w:cstheme="minorHAnsi"/>
                <w:lang w:val="en-US"/>
              </w:rPr>
              <w:t>26.55</w:t>
            </w:r>
          </w:p>
        </w:tc>
      </w:tr>
      <w:tr w:rsidR="004C74C2" w:rsidRPr="00B53423" w:rsidTr="002B3D6B">
        <w:trPr>
          <w:trHeight w:val="300"/>
        </w:trPr>
        <w:tc>
          <w:tcPr>
            <w:tcW w:w="5757" w:type="dxa"/>
            <w:shd w:val="clear" w:color="auto" w:fill="auto"/>
            <w:hideMark/>
          </w:tcPr>
          <w:p w:rsidR="004C74C2" w:rsidRPr="00B53423" w:rsidRDefault="004C74C2" w:rsidP="0015232B">
            <w:pPr>
              <w:spacing w:before="0" w:line="240" w:lineRule="auto"/>
              <w:jc w:val="left"/>
              <w:rPr>
                <w:rFonts w:cs="Calibri"/>
                <w:lang w:val="en-US"/>
              </w:rPr>
            </w:pPr>
            <w:r w:rsidRPr="00B53423">
              <w:rPr>
                <w:rFonts w:cs="Calibri"/>
                <w:lang w:val="en-US"/>
              </w:rPr>
              <w:t>Net Gap</w:t>
            </w:r>
            <w:r w:rsidR="00077B14" w:rsidRPr="00B53423">
              <w:rPr>
                <w:rFonts w:cs="Calibri"/>
                <w:lang w:val="en-US"/>
              </w:rPr>
              <w:t xml:space="preserve"> / (surplus)</w:t>
            </w:r>
            <w:r w:rsidR="00127479" w:rsidRPr="00B53423">
              <w:rPr>
                <w:rFonts w:cs="Calibri"/>
                <w:lang w:val="en-US"/>
              </w:rPr>
              <w:t xml:space="preserve"> at existing Tariffs</w:t>
            </w:r>
          </w:p>
        </w:tc>
        <w:tc>
          <w:tcPr>
            <w:tcW w:w="1620" w:type="dxa"/>
            <w:shd w:val="clear" w:color="auto" w:fill="auto"/>
            <w:noWrap/>
            <w:vAlign w:val="center"/>
            <w:hideMark/>
          </w:tcPr>
          <w:p w:rsidR="004C74C2" w:rsidRPr="00B53423" w:rsidRDefault="004C74C2" w:rsidP="0015232B">
            <w:pPr>
              <w:spacing w:before="0" w:line="240" w:lineRule="auto"/>
              <w:ind w:right="342"/>
              <w:jc w:val="right"/>
              <w:rPr>
                <w:rFonts w:asciiTheme="minorHAnsi" w:hAnsiTheme="minorHAnsi" w:cstheme="minorHAnsi"/>
                <w:b/>
                <w:lang w:val="en-US"/>
              </w:rPr>
            </w:pPr>
            <w:r w:rsidRPr="00B53423">
              <w:rPr>
                <w:rFonts w:asciiTheme="minorHAnsi" w:hAnsiTheme="minorHAnsi" w:cstheme="minorHAnsi"/>
                <w:b/>
                <w:lang w:val="en-US"/>
              </w:rPr>
              <w:t>155.46</w:t>
            </w:r>
          </w:p>
        </w:tc>
        <w:tc>
          <w:tcPr>
            <w:tcW w:w="1875" w:type="dxa"/>
            <w:shd w:val="clear" w:color="auto" w:fill="auto"/>
            <w:noWrap/>
            <w:vAlign w:val="center"/>
            <w:hideMark/>
          </w:tcPr>
          <w:p w:rsidR="004C74C2" w:rsidRPr="00B53423" w:rsidRDefault="00127479" w:rsidP="0015232B">
            <w:pPr>
              <w:spacing w:before="0" w:line="240" w:lineRule="auto"/>
              <w:ind w:right="252"/>
              <w:jc w:val="right"/>
              <w:rPr>
                <w:rFonts w:asciiTheme="minorHAnsi" w:hAnsiTheme="minorHAnsi" w:cstheme="minorHAnsi"/>
                <w:b/>
                <w:bCs/>
                <w:color w:val="000000"/>
              </w:rPr>
            </w:pPr>
            <w:r w:rsidRPr="00B53423">
              <w:rPr>
                <w:rFonts w:asciiTheme="minorHAnsi" w:hAnsiTheme="minorHAnsi" w:cstheme="minorHAnsi"/>
                <w:b/>
                <w:bCs/>
                <w:color w:val="000000"/>
              </w:rPr>
              <w:t>(1</w:t>
            </w:r>
            <w:r w:rsidR="001D0FBE" w:rsidRPr="00B53423">
              <w:rPr>
                <w:rFonts w:asciiTheme="minorHAnsi" w:hAnsiTheme="minorHAnsi" w:cstheme="minorHAnsi"/>
                <w:b/>
                <w:bCs/>
                <w:color w:val="000000"/>
              </w:rPr>
              <w:t>9.29</w:t>
            </w:r>
            <w:r w:rsidRPr="00B53423">
              <w:rPr>
                <w:rFonts w:asciiTheme="minorHAnsi" w:hAnsiTheme="minorHAnsi" w:cstheme="minorHAnsi"/>
                <w:b/>
                <w:bCs/>
                <w:color w:val="000000"/>
              </w:rPr>
              <w:t>)</w:t>
            </w:r>
          </w:p>
        </w:tc>
      </w:tr>
    </w:tbl>
    <w:p w:rsidR="004C74C2" w:rsidRPr="00B53423" w:rsidRDefault="004C74C2" w:rsidP="0015232B">
      <w:pPr>
        <w:pStyle w:val="Heading3"/>
        <w:keepNext w:val="0"/>
        <w:numPr>
          <w:ilvl w:val="0"/>
          <w:numId w:val="0"/>
        </w:numPr>
        <w:ind w:left="720"/>
        <w:rPr>
          <w:i/>
          <w:sz w:val="20"/>
          <w:szCs w:val="20"/>
        </w:rPr>
      </w:pPr>
    </w:p>
    <w:p w:rsidR="005B31C0" w:rsidRPr="00B53423" w:rsidRDefault="001D0FBE" w:rsidP="0015232B">
      <w:pPr>
        <w:pStyle w:val="Heading3"/>
        <w:keepNext w:val="0"/>
        <w:ind w:hanging="1080"/>
      </w:pPr>
      <w:r w:rsidRPr="00B53423">
        <w:t>Treatment of the above approved revenue gap / (surplus) has been discussed subsequently in this Order</w:t>
      </w:r>
    </w:p>
    <w:p w:rsidR="00EC6F2C" w:rsidRPr="00B53423" w:rsidRDefault="00EC6F2C" w:rsidP="0015232B">
      <w:pPr>
        <w:spacing w:before="0" w:after="200"/>
        <w:jc w:val="left"/>
        <w:rPr>
          <w:rFonts w:cs="Arial"/>
          <w:b/>
          <w:bCs/>
          <w:color w:val="333399"/>
          <w:kern w:val="32"/>
          <w:szCs w:val="32"/>
        </w:rPr>
      </w:pPr>
      <w:bookmarkStart w:id="903" w:name="_Toc357733340"/>
    </w:p>
    <w:p w:rsidR="001D0FBE" w:rsidRPr="00B53423" w:rsidRDefault="001D0FBE" w:rsidP="0015232B">
      <w:pPr>
        <w:spacing w:before="0" w:after="200"/>
        <w:jc w:val="left"/>
        <w:rPr>
          <w:rFonts w:cs="Arial"/>
          <w:b/>
          <w:bCs/>
          <w:color w:val="333399"/>
          <w:kern w:val="32"/>
          <w:szCs w:val="32"/>
        </w:rPr>
      </w:pPr>
      <w:r w:rsidRPr="00B53423">
        <w:br w:type="page"/>
      </w:r>
    </w:p>
    <w:p w:rsidR="00DE37E0" w:rsidRPr="00B53423" w:rsidRDefault="003A6B3B" w:rsidP="0015232B">
      <w:pPr>
        <w:pStyle w:val="Heading1"/>
        <w:keepNext w:val="0"/>
        <w:numPr>
          <w:ilvl w:val="0"/>
          <w:numId w:val="1"/>
        </w:numPr>
        <w:ind w:left="720" w:hanging="1080"/>
        <w:rPr>
          <w:color w:val="auto"/>
        </w:rPr>
      </w:pPr>
      <w:bookmarkStart w:id="904" w:name="_Toc399626239"/>
      <w:r w:rsidRPr="00B53423">
        <w:rPr>
          <w:color w:val="auto"/>
        </w:rPr>
        <w:t>OPEN ACCESS CHARGES</w:t>
      </w:r>
      <w:bookmarkEnd w:id="903"/>
      <w:bookmarkEnd w:id="904"/>
    </w:p>
    <w:p w:rsidR="008E5045" w:rsidRPr="00B53423" w:rsidRDefault="001407B8" w:rsidP="0015232B">
      <w:pPr>
        <w:pStyle w:val="Heading2"/>
        <w:keepNext w:val="0"/>
        <w:autoSpaceDE w:val="0"/>
        <w:autoSpaceDN w:val="0"/>
        <w:adjustRightInd w:val="0"/>
        <w:spacing w:before="120" w:after="120"/>
        <w:ind w:left="720" w:hanging="1080"/>
        <w:contextualSpacing/>
      </w:pPr>
      <w:bookmarkStart w:id="905" w:name="_Toc357720894"/>
      <w:bookmarkStart w:id="906" w:name="_Toc397332165"/>
      <w:bookmarkStart w:id="907" w:name="_Toc399626240"/>
      <w:bookmarkStart w:id="908" w:name="_Toc337201440"/>
      <w:bookmarkStart w:id="909" w:name="_Toc357345041"/>
      <w:bookmarkStart w:id="910" w:name="_Toc357733341"/>
      <w:r w:rsidRPr="00B53423">
        <w:t>BACKGROUND:</w:t>
      </w:r>
      <w:bookmarkEnd w:id="905"/>
      <w:bookmarkEnd w:id="906"/>
      <w:bookmarkEnd w:id="907"/>
      <w:r w:rsidRPr="00B53423">
        <w:t xml:space="preserve"> </w:t>
      </w:r>
    </w:p>
    <w:p w:rsidR="008E5045" w:rsidRPr="00B53423" w:rsidRDefault="001D0FBE" w:rsidP="0015232B">
      <w:pPr>
        <w:pStyle w:val="Heading3"/>
        <w:keepNext w:val="0"/>
        <w:spacing w:before="120" w:after="120"/>
        <w:ind w:hanging="1080"/>
      </w:pPr>
      <w:r w:rsidRPr="00B53423">
        <w:rPr>
          <w:rFonts w:cs="Arial"/>
          <w:bCs w:val="0"/>
          <w:szCs w:val="26"/>
        </w:rPr>
        <w:t>The Commission has issued Uttar Pradesh Electricity Regulatory Commission (Terms and Conditions for Open Access) Regulations, 2004 (in short ‘UPERC Open Access Regulations’) vide notification no. UPERC/Secy./Regulations/05-249 dated 7</w:t>
      </w:r>
      <w:r w:rsidRPr="00B53423">
        <w:rPr>
          <w:rFonts w:cs="Arial"/>
          <w:bCs w:val="0"/>
          <w:szCs w:val="26"/>
          <w:vertAlign w:val="superscript"/>
        </w:rPr>
        <w:t>th</w:t>
      </w:r>
      <w:r w:rsidRPr="00B53423">
        <w:rPr>
          <w:rFonts w:cs="Arial"/>
          <w:bCs w:val="0"/>
          <w:szCs w:val="26"/>
        </w:rPr>
        <w:t xml:space="preserve"> June, 2005 to operationalize long term and short term open access in the State. The Regulations also provides that effective from 1</w:t>
      </w:r>
      <w:r w:rsidRPr="00B53423">
        <w:rPr>
          <w:rFonts w:cs="Arial"/>
          <w:bCs w:val="0"/>
          <w:szCs w:val="26"/>
          <w:vertAlign w:val="superscript"/>
        </w:rPr>
        <w:t>st</w:t>
      </w:r>
      <w:r w:rsidRPr="00B53423">
        <w:rPr>
          <w:rFonts w:cs="Arial"/>
          <w:bCs w:val="0"/>
          <w:szCs w:val="26"/>
        </w:rPr>
        <w:t xml:space="preserve"> April, 2008 any consumer with demand of above 1 MW can avail open access of transmission and distribution systems</w:t>
      </w:r>
      <w:r w:rsidR="001407B8" w:rsidRPr="00B53423">
        <w:t>.</w:t>
      </w:r>
    </w:p>
    <w:p w:rsidR="001407B8" w:rsidRPr="00B53423" w:rsidRDefault="001407B8" w:rsidP="0015232B">
      <w:pPr>
        <w:pStyle w:val="Heading3"/>
        <w:keepNext w:val="0"/>
        <w:numPr>
          <w:ilvl w:val="0"/>
          <w:numId w:val="0"/>
        </w:numPr>
        <w:spacing w:after="120"/>
        <w:ind w:left="993"/>
      </w:pPr>
    </w:p>
    <w:p w:rsidR="008E5045" w:rsidRPr="00B53423" w:rsidRDefault="001407B8" w:rsidP="0015232B">
      <w:pPr>
        <w:pStyle w:val="Heading3"/>
        <w:keepNext w:val="0"/>
        <w:spacing w:before="120" w:after="120"/>
        <w:ind w:hanging="1080"/>
      </w:pPr>
      <w:r w:rsidRPr="00B53423">
        <w:t>Subsequently, the Commission has also made / finalized the necessary regulatory framework as below:</w:t>
      </w:r>
    </w:p>
    <w:p w:rsidR="001407B8" w:rsidRPr="00B53423" w:rsidRDefault="001407B8" w:rsidP="000174C0">
      <w:pPr>
        <w:pStyle w:val="ListParagraph"/>
        <w:numPr>
          <w:ilvl w:val="1"/>
          <w:numId w:val="72"/>
        </w:numPr>
        <w:spacing w:before="0" w:after="120"/>
      </w:pPr>
      <w:r w:rsidRPr="00B53423">
        <w:t>UPERC (Terms and Conditions for Open Access) (First Amendment) Regulations, 2009 that includes among others detailed procedure(s) for Long-Term Open Access and Short-Term Open Access for use of distribution system, with or without transmission system;</w:t>
      </w:r>
    </w:p>
    <w:p w:rsidR="001407B8" w:rsidRPr="00B53423" w:rsidRDefault="001407B8" w:rsidP="000174C0">
      <w:pPr>
        <w:pStyle w:val="ListParagraph"/>
        <w:numPr>
          <w:ilvl w:val="1"/>
          <w:numId w:val="72"/>
        </w:numPr>
        <w:spacing w:before="0" w:after="120"/>
      </w:pPr>
      <w:r w:rsidRPr="00B53423">
        <w:t xml:space="preserve">Model Bulk Power Wheeling Agreement (BPWA) for availing wheeling services of Distribution Licensee(s); </w:t>
      </w:r>
    </w:p>
    <w:p w:rsidR="001407B8" w:rsidRPr="00B53423" w:rsidRDefault="001407B8" w:rsidP="000174C0">
      <w:pPr>
        <w:pStyle w:val="ListParagraph"/>
        <w:numPr>
          <w:ilvl w:val="1"/>
          <w:numId w:val="72"/>
        </w:numPr>
        <w:spacing w:before="0" w:after="120"/>
      </w:pPr>
      <w:r w:rsidRPr="00B53423">
        <w:t>Procedures for Scheduling, Dispatch, Energy Accounting, UI Accounting and Settlement System of electricity transmitted through the State grid for the electricity drawn by Distribution Licensee(s) from outside and / or within the State.</w:t>
      </w:r>
    </w:p>
    <w:p w:rsidR="001407B8" w:rsidRPr="00B53423" w:rsidRDefault="001407B8" w:rsidP="0015232B">
      <w:pPr>
        <w:spacing w:before="0" w:after="120"/>
      </w:pPr>
    </w:p>
    <w:p w:rsidR="008E5045" w:rsidRPr="00B53423" w:rsidRDefault="001407B8" w:rsidP="0015232B">
      <w:pPr>
        <w:pStyle w:val="Heading3"/>
        <w:keepNext w:val="0"/>
        <w:spacing w:before="120" w:after="120"/>
        <w:ind w:hanging="1080"/>
      </w:pPr>
      <w:r w:rsidRPr="00B53423">
        <w:t xml:space="preserve">Further, the Commission has also advised the SLDC to develop procedure for energy accounting of electricity drawn from the grid by an open access consumer who is connected with the distribution system or electricity injected into the grid by a generating station embedded in the distribution system. </w:t>
      </w:r>
    </w:p>
    <w:p w:rsidR="001407B8" w:rsidRPr="00B53423" w:rsidRDefault="001407B8" w:rsidP="0015232B">
      <w:pPr>
        <w:pStyle w:val="Heading3"/>
        <w:keepNext w:val="0"/>
        <w:numPr>
          <w:ilvl w:val="0"/>
          <w:numId w:val="0"/>
        </w:numPr>
        <w:spacing w:after="120"/>
        <w:ind w:left="936" w:hanging="936"/>
      </w:pPr>
    </w:p>
    <w:p w:rsidR="008E5045" w:rsidRPr="00B53423" w:rsidRDefault="001407B8" w:rsidP="0015232B">
      <w:pPr>
        <w:pStyle w:val="Heading2"/>
        <w:keepNext w:val="0"/>
        <w:autoSpaceDE w:val="0"/>
        <w:autoSpaceDN w:val="0"/>
        <w:adjustRightInd w:val="0"/>
        <w:spacing w:before="120" w:after="120"/>
        <w:ind w:left="720" w:hanging="1080"/>
        <w:contextualSpacing/>
      </w:pPr>
      <w:bookmarkStart w:id="911" w:name="_Toc399626241"/>
      <w:r w:rsidRPr="00B53423">
        <w:t>RECENT DEVELOPMENTS:</w:t>
      </w:r>
      <w:bookmarkEnd w:id="911"/>
    </w:p>
    <w:p w:rsidR="008E5045" w:rsidRPr="00B53423" w:rsidRDefault="001407B8" w:rsidP="0015232B">
      <w:pPr>
        <w:pStyle w:val="Heading3"/>
        <w:keepNext w:val="0"/>
        <w:spacing w:before="120" w:after="120"/>
        <w:ind w:hanging="1080"/>
      </w:pPr>
      <w:r w:rsidRPr="00B53423">
        <w:t>In absence of procedures and guidelines from State Transmission Utility (in short ‘STU’) and State Load Despatch Centre (in short ‘SLDC’), the Commission, on its own motion, has made detailed procedures for long term and short term open access which covers all aspects, which the Regulations direct by way of an amendment. The “Uttar Pradesh Electricity Regulatory Commission (Terms and Conditions for Open Access) (First Amendment) Regulations, 2009 dated 18.6.09”, came into force from the date it is notified in the Gazette.</w:t>
      </w:r>
    </w:p>
    <w:p w:rsidR="001407B8" w:rsidRPr="00B53423" w:rsidRDefault="001407B8" w:rsidP="0015232B">
      <w:pPr>
        <w:pStyle w:val="Heading3"/>
        <w:keepNext w:val="0"/>
        <w:numPr>
          <w:ilvl w:val="0"/>
          <w:numId w:val="0"/>
        </w:numPr>
        <w:spacing w:after="120"/>
        <w:ind w:left="993"/>
      </w:pPr>
    </w:p>
    <w:p w:rsidR="008E5045" w:rsidRPr="00B53423" w:rsidRDefault="001407B8" w:rsidP="0015232B">
      <w:pPr>
        <w:pStyle w:val="Heading3"/>
        <w:keepNext w:val="0"/>
        <w:spacing w:before="120" w:after="120"/>
        <w:ind w:hanging="1080"/>
      </w:pPr>
      <w:r w:rsidRPr="00B53423">
        <w:t xml:space="preserve">The said amendment, which includes procedures for Long-Term Open Access and Short-Term Open Access mainly, focuses on: </w:t>
      </w:r>
    </w:p>
    <w:p w:rsidR="001407B8" w:rsidRPr="00B53423" w:rsidRDefault="001407B8" w:rsidP="000174C0">
      <w:pPr>
        <w:pStyle w:val="ListParagraph"/>
        <w:numPr>
          <w:ilvl w:val="0"/>
          <w:numId w:val="76"/>
        </w:numPr>
        <w:spacing w:before="0" w:after="120"/>
      </w:pPr>
      <w:r w:rsidRPr="00B53423">
        <w:t xml:space="preserve">Operationalisation of long-term and short-term use of intra-State transmission and distribution system by generating companies including captive plants /renewable energy plants, distribution / trading Licensees and open access customers with sustained development of transmission and distribution systems in ‘proper and coordinated’ manner for conveyance of electricity. </w:t>
      </w:r>
    </w:p>
    <w:p w:rsidR="001407B8" w:rsidRPr="00B53423" w:rsidRDefault="001407B8" w:rsidP="000174C0">
      <w:pPr>
        <w:pStyle w:val="ListParagraph"/>
        <w:numPr>
          <w:ilvl w:val="0"/>
          <w:numId w:val="76"/>
        </w:numPr>
        <w:spacing w:before="0" w:after="120"/>
      </w:pPr>
      <w:r w:rsidRPr="00B53423">
        <w:t xml:space="preserve">Operationalisation of time-block wise accounting of the quantity of electricity transmitted through State grid and stating the responsibilities of STU for weekly metering and of SLDC for scheduling, dispatch and energy accounting including UI accounting. </w:t>
      </w:r>
    </w:p>
    <w:p w:rsidR="001407B8" w:rsidRPr="00B53423" w:rsidRDefault="001407B8" w:rsidP="000174C0">
      <w:pPr>
        <w:pStyle w:val="ListParagraph"/>
        <w:numPr>
          <w:ilvl w:val="0"/>
          <w:numId w:val="76"/>
        </w:numPr>
        <w:spacing w:before="0" w:after="120"/>
      </w:pPr>
      <w:r w:rsidRPr="00B53423">
        <w:t xml:space="preserve">Requirement of Bulk Power Transmission Agreement for use of transmission network and Bulk Power Wheeling Agreement for use of distribution network for long-term open access transactions. </w:t>
      </w:r>
    </w:p>
    <w:p w:rsidR="001407B8" w:rsidRPr="00B53423" w:rsidRDefault="001407B8" w:rsidP="0015232B">
      <w:pPr>
        <w:spacing w:after="120"/>
      </w:pPr>
    </w:p>
    <w:p w:rsidR="008E5045" w:rsidRPr="00B53423" w:rsidRDefault="001407B8" w:rsidP="0015232B">
      <w:pPr>
        <w:pStyle w:val="Heading3"/>
        <w:keepNext w:val="0"/>
        <w:spacing w:before="120" w:after="120"/>
        <w:ind w:hanging="1080"/>
      </w:pPr>
      <w:r w:rsidRPr="00B53423">
        <w:t xml:space="preserve">The Commission has finalized the model Bulk Power Transmission Agreement (BPTA) and Supplementary BPTA for availing transmission services of UPPTCL. </w:t>
      </w:r>
    </w:p>
    <w:p w:rsidR="001407B8" w:rsidRPr="00B53423" w:rsidRDefault="001407B8" w:rsidP="0015232B">
      <w:pPr>
        <w:pStyle w:val="Heading3"/>
        <w:keepNext w:val="0"/>
        <w:numPr>
          <w:ilvl w:val="0"/>
          <w:numId w:val="0"/>
        </w:numPr>
        <w:spacing w:after="120"/>
        <w:ind w:left="993"/>
      </w:pPr>
    </w:p>
    <w:p w:rsidR="008E5045" w:rsidRPr="00B53423" w:rsidRDefault="001407B8" w:rsidP="0015232B">
      <w:pPr>
        <w:pStyle w:val="Heading3"/>
        <w:keepNext w:val="0"/>
        <w:spacing w:before="120" w:after="120"/>
        <w:ind w:hanging="1080"/>
      </w:pPr>
      <w:r w:rsidRPr="00B53423">
        <w:t>The Commission has also finalized model Bulk Power Wheeling Agreement (BPWA) which is to be signed between a Distribution Licensee and long term customer to agree therein, inter alia, to make payment of wheeling charge, surcharge and additional surcharge, if any, for use of the distribution system.</w:t>
      </w:r>
    </w:p>
    <w:p w:rsidR="001407B8" w:rsidRPr="00B53423" w:rsidRDefault="001407B8" w:rsidP="0015232B">
      <w:pPr>
        <w:spacing w:after="120"/>
      </w:pPr>
    </w:p>
    <w:p w:rsidR="008E5045" w:rsidRPr="00B53423" w:rsidRDefault="001407B8" w:rsidP="0015232B">
      <w:pPr>
        <w:pStyle w:val="Heading2"/>
        <w:keepNext w:val="0"/>
        <w:autoSpaceDE w:val="0"/>
        <w:autoSpaceDN w:val="0"/>
        <w:adjustRightInd w:val="0"/>
        <w:spacing w:before="120" w:after="120"/>
        <w:ind w:left="720" w:hanging="1080"/>
        <w:contextualSpacing/>
      </w:pPr>
      <w:bookmarkStart w:id="912" w:name="_Toc399626242"/>
      <w:r w:rsidRPr="00B53423">
        <w:t>OPEN ACCESS CHARGES</w:t>
      </w:r>
      <w:bookmarkEnd w:id="912"/>
    </w:p>
    <w:p w:rsidR="008E5045" w:rsidRPr="00B53423" w:rsidRDefault="001D0FBE" w:rsidP="0015232B">
      <w:pPr>
        <w:pStyle w:val="Heading3"/>
        <w:keepNext w:val="0"/>
        <w:spacing w:before="120" w:after="120"/>
        <w:ind w:hanging="1080"/>
      </w:pPr>
      <w:r w:rsidRPr="00B53423">
        <w:rPr>
          <w:rFonts w:cs="Arial"/>
          <w:bCs w:val="0"/>
          <w:szCs w:val="26"/>
        </w:rPr>
        <w:t>The Commission in the Tariff Order for UPPTCL has determined the Transmission Charges payable by Open Access users for use of UPPTCL transmission network for transmission of electricity. Similarly, the Commission in this Order has also determined the wheeling charges payable by the Open Access users for utilising the distribution network of the Distribution Licensees for wheeling of electricity</w:t>
      </w:r>
      <w:r w:rsidR="001407B8" w:rsidRPr="00B53423">
        <w:t>.</w:t>
      </w:r>
    </w:p>
    <w:p w:rsidR="001407B8" w:rsidRPr="00B53423" w:rsidRDefault="001407B8" w:rsidP="0015232B">
      <w:pPr>
        <w:pStyle w:val="Heading2"/>
        <w:keepNext w:val="0"/>
        <w:numPr>
          <w:ilvl w:val="0"/>
          <w:numId w:val="0"/>
        </w:numPr>
        <w:spacing w:after="120"/>
        <w:ind w:left="990"/>
      </w:pPr>
    </w:p>
    <w:p w:rsidR="008E5045" w:rsidRPr="00B53423" w:rsidRDefault="001407B8" w:rsidP="0015232B">
      <w:pPr>
        <w:pStyle w:val="Heading2"/>
        <w:keepNext w:val="0"/>
        <w:autoSpaceDE w:val="0"/>
        <w:autoSpaceDN w:val="0"/>
        <w:adjustRightInd w:val="0"/>
        <w:spacing w:before="120" w:after="120"/>
        <w:ind w:left="720" w:hanging="1080"/>
        <w:contextualSpacing/>
      </w:pPr>
      <w:bookmarkStart w:id="913" w:name="_Toc399626243"/>
      <w:r w:rsidRPr="00B53423">
        <w:t>WHEELING CHARGES</w:t>
      </w:r>
      <w:bookmarkEnd w:id="913"/>
    </w:p>
    <w:p w:rsidR="008E5045" w:rsidRPr="00B53423" w:rsidRDefault="001D0FBE" w:rsidP="0015232B">
      <w:pPr>
        <w:pStyle w:val="Heading3"/>
        <w:keepNext w:val="0"/>
        <w:spacing w:before="120" w:after="120"/>
        <w:ind w:hanging="1080"/>
      </w:pPr>
      <w:r w:rsidRPr="00B53423">
        <w:rPr>
          <w:rFonts w:cs="Arial"/>
          <w:bCs w:val="0"/>
          <w:szCs w:val="26"/>
        </w:rPr>
        <w:t>Clauses 2.1 (2) and (3) of the Distribution Tariff Regulations, 2006 specify that the ARR / Tariff filing by the Distribution Licensee shall separately indicate Aggregate Revenue Requirement (ARR) for Wheeling function and Retail Supply function embedded in the distribution function and that till such time complete segregation of accounts between Wheeling and Retail Supply function takes place, ARR proposals for Wheeling and Retail Supply function shall be submitted on the basis of an allocation statement to be prepared by the Distribution Licensee based on their best judgement</w:t>
      </w:r>
      <w:r w:rsidR="001407B8" w:rsidRPr="00B53423">
        <w:t>.</w:t>
      </w:r>
    </w:p>
    <w:p w:rsidR="001407B8" w:rsidRPr="00B53423" w:rsidRDefault="001407B8" w:rsidP="0015232B">
      <w:pPr>
        <w:pStyle w:val="Heading3"/>
        <w:keepNext w:val="0"/>
        <w:numPr>
          <w:ilvl w:val="0"/>
          <w:numId w:val="0"/>
        </w:numPr>
        <w:spacing w:after="120"/>
        <w:ind w:left="993"/>
      </w:pPr>
    </w:p>
    <w:p w:rsidR="008E5045" w:rsidRPr="00B53423" w:rsidRDefault="001407B8" w:rsidP="0015232B">
      <w:pPr>
        <w:pStyle w:val="Heading3"/>
        <w:keepNext w:val="0"/>
        <w:spacing w:before="120" w:after="120"/>
        <w:ind w:hanging="1080"/>
      </w:pPr>
      <w:r w:rsidRPr="00B53423">
        <w:t xml:space="preserve">The Licensee, in its Petition, has followed the allocation in accordance with the approach followed by the Commission in the previous Order. As there is no basis submitted by the Licensee in its filing, the Commission finds merit in considering the allocation into Retail Supply and Wheeling Function as per the methodology adopted in the previous Tariff Order. The allocation of ARR for </w:t>
      </w:r>
      <w:r w:rsidR="00F34C87" w:rsidRPr="00B53423">
        <w:t xml:space="preserve">KESCO </w:t>
      </w:r>
      <w:r w:rsidRPr="00B53423">
        <w:t>into wheeling function and retail function as approved by the Commission for FY 2014-15 is as shown in the Table below:</w:t>
      </w:r>
    </w:p>
    <w:p w:rsidR="001407B8" w:rsidRPr="00B53423" w:rsidRDefault="001407B8" w:rsidP="0015232B">
      <w:pPr>
        <w:pStyle w:val="ListParagraph"/>
      </w:pPr>
    </w:p>
    <w:p w:rsidR="001407B8" w:rsidRPr="00B53423" w:rsidRDefault="001407B8" w:rsidP="0015232B">
      <w:pPr>
        <w:pStyle w:val="ListParagraph"/>
        <w:rPr>
          <w:b/>
        </w:rPr>
      </w:pPr>
      <w:bookmarkStart w:id="914" w:name="_Toc399626436"/>
      <w:r w:rsidRPr="00B53423">
        <w:rPr>
          <w:b/>
        </w:rPr>
        <w:t xml:space="preserve">Table </w:t>
      </w:r>
      <w:r w:rsidR="005D68E7" w:rsidRPr="00B53423">
        <w:rPr>
          <w:b/>
        </w:rPr>
        <w:fldChar w:fldCharType="begin"/>
      </w:r>
      <w:r w:rsidRPr="00B53423">
        <w:rPr>
          <w:b/>
        </w:rPr>
        <w:instrText xml:space="preserve"> STYLEREF 1 \s </w:instrText>
      </w:r>
      <w:r w:rsidR="005D68E7" w:rsidRPr="00B53423">
        <w:rPr>
          <w:b/>
        </w:rPr>
        <w:fldChar w:fldCharType="separate"/>
      </w:r>
      <w:r w:rsidR="00847C1B">
        <w:rPr>
          <w:b/>
          <w:noProof/>
        </w:rPr>
        <w:t>10</w:t>
      </w:r>
      <w:r w:rsidR="005D68E7" w:rsidRPr="00B53423">
        <w:rPr>
          <w:b/>
        </w:rPr>
        <w:fldChar w:fldCharType="end"/>
      </w:r>
      <w:r w:rsidRPr="00B53423">
        <w:rPr>
          <w:b/>
        </w:rPr>
        <w:noBreakHyphen/>
      </w:r>
      <w:r w:rsidR="005D68E7" w:rsidRPr="00B53423">
        <w:rPr>
          <w:b/>
        </w:rPr>
        <w:fldChar w:fldCharType="begin"/>
      </w:r>
      <w:r w:rsidRPr="00B53423">
        <w:rPr>
          <w:b/>
        </w:rPr>
        <w:instrText xml:space="preserve"> SEQ Table \* ARABIC \s 1 </w:instrText>
      </w:r>
      <w:r w:rsidR="005D68E7" w:rsidRPr="00B53423">
        <w:rPr>
          <w:b/>
        </w:rPr>
        <w:fldChar w:fldCharType="separate"/>
      </w:r>
      <w:r w:rsidR="00847C1B">
        <w:rPr>
          <w:b/>
          <w:noProof/>
        </w:rPr>
        <w:t>1</w:t>
      </w:r>
      <w:r w:rsidR="005D68E7" w:rsidRPr="00B53423">
        <w:rPr>
          <w:b/>
        </w:rPr>
        <w:fldChar w:fldCharType="end"/>
      </w:r>
      <w:r w:rsidRPr="00B53423">
        <w:rPr>
          <w:b/>
        </w:rPr>
        <w:t>: WHEELING &amp; RETAIL SUPPLY ARR FOR FY 2014-15 (Rs. Crore)</w:t>
      </w:r>
      <w:bookmarkEnd w:id="914"/>
    </w:p>
    <w:tbl>
      <w:tblPr>
        <w:tblW w:w="10415" w:type="dxa"/>
        <w:jc w:val="center"/>
        <w:tblInd w:w="103" w:type="dxa"/>
        <w:tblLayout w:type="fixed"/>
        <w:tblLook w:val="04A0"/>
      </w:tblPr>
      <w:tblGrid>
        <w:gridCol w:w="4820"/>
        <w:gridCol w:w="1165"/>
        <w:gridCol w:w="889"/>
        <w:gridCol w:w="1165"/>
        <w:gridCol w:w="1188"/>
        <w:gridCol w:w="1188"/>
      </w:tblGrid>
      <w:tr w:rsidR="001407B8" w:rsidRPr="00B53423" w:rsidTr="001655C0">
        <w:trPr>
          <w:trHeight w:val="225"/>
          <w:tblHeader/>
          <w:jc w:val="center"/>
        </w:trPr>
        <w:tc>
          <w:tcPr>
            <w:tcW w:w="4820"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1407B8" w:rsidRPr="00B53423" w:rsidRDefault="001407B8" w:rsidP="0015232B">
            <w:pPr>
              <w:pStyle w:val="NoSpacing"/>
              <w:jc w:val="center"/>
              <w:rPr>
                <w:b/>
              </w:rPr>
            </w:pPr>
            <w:r w:rsidRPr="00B53423">
              <w:rPr>
                <w:b/>
              </w:rPr>
              <w:t>Particulars</w:t>
            </w:r>
          </w:p>
        </w:tc>
        <w:tc>
          <w:tcPr>
            <w:tcW w:w="2054" w:type="dxa"/>
            <w:gridSpan w:val="2"/>
            <w:tcBorders>
              <w:top w:val="dotted" w:sz="4" w:space="0" w:color="auto"/>
              <w:left w:val="nil"/>
              <w:bottom w:val="dotted" w:sz="4" w:space="0" w:color="auto"/>
              <w:right w:val="dotted" w:sz="4" w:space="0" w:color="auto"/>
            </w:tcBorders>
            <w:shd w:val="clear" w:color="000000" w:fill="DBE5F1"/>
            <w:noWrap/>
            <w:vAlign w:val="center"/>
            <w:hideMark/>
          </w:tcPr>
          <w:p w:rsidR="001407B8" w:rsidRPr="00B53423" w:rsidRDefault="001407B8" w:rsidP="0015232B">
            <w:pPr>
              <w:pStyle w:val="NoSpacing"/>
              <w:jc w:val="center"/>
              <w:rPr>
                <w:b/>
              </w:rPr>
            </w:pPr>
            <w:r w:rsidRPr="00B53423">
              <w:rPr>
                <w:b/>
              </w:rPr>
              <w:t>Allocation %</w:t>
            </w:r>
          </w:p>
        </w:tc>
        <w:tc>
          <w:tcPr>
            <w:tcW w:w="3541" w:type="dxa"/>
            <w:gridSpan w:val="3"/>
            <w:tcBorders>
              <w:top w:val="dotted" w:sz="4" w:space="0" w:color="auto"/>
              <w:left w:val="nil"/>
              <w:bottom w:val="dotted" w:sz="4" w:space="0" w:color="auto"/>
              <w:right w:val="dotted" w:sz="4" w:space="0" w:color="auto"/>
            </w:tcBorders>
            <w:shd w:val="clear" w:color="000000" w:fill="DBE5F1"/>
            <w:noWrap/>
            <w:vAlign w:val="center"/>
            <w:hideMark/>
          </w:tcPr>
          <w:p w:rsidR="001407B8" w:rsidRPr="00B53423" w:rsidRDefault="001407B8" w:rsidP="0015232B">
            <w:pPr>
              <w:pStyle w:val="NoSpacing"/>
              <w:jc w:val="center"/>
              <w:rPr>
                <w:b/>
              </w:rPr>
            </w:pPr>
            <w:r w:rsidRPr="00B53423">
              <w:rPr>
                <w:b/>
              </w:rPr>
              <w:t>Allocation FY 2014-15</w:t>
            </w:r>
          </w:p>
        </w:tc>
      </w:tr>
      <w:tr w:rsidR="001407B8" w:rsidRPr="00B53423" w:rsidTr="001655C0">
        <w:trPr>
          <w:trHeight w:val="225"/>
          <w:tblHeader/>
          <w:jc w:val="center"/>
        </w:trPr>
        <w:tc>
          <w:tcPr>
            <w:tcW w:w="4820" w:type="dxa"/>
            <w:vMerge/>
            <w:tcBorders>
              <w:top w:val="dotted" w:sz="4" w:space="0" w:color="auto"/>
              <w:left w:val="dotted" w:sz="4" w:space="0" w:color="auto"/>
              <w:bottom w:val="dotted" w:sz="4" w:space="0" w:color="auto"/>
              <w:right w:val="dotted" w:sz="4" w:space="0" w:color="auto"/>
            </w:tcBorders>
            <w:vAlign w:val="center"/>
            <w:hideMark/>
          </w:tcPr>
          <w:p w:rsidR="001407B8" w:rsidRPr="00B53423" w:rsidRDefault="001407B8" w:rsidP="0015232B">
            <w:pPr>
              <w:pStyle w:val="NoSpacing"/>
              <w:jc w:val="center"/>
              <w:rPr>
                <w:rFonts w:cs="Arial"/>
                <w:b/>
                <w:caps/>
                <w:kern w:val="32"/>
              </w:rPr>
            </w:pPr>
          </w:p>
        </w:tc>
        <w:tc>
          <w:tcPr>
            <w:tcW w:w="1165" w:type="dxa"/>
            <w:tcBorders>
              <w:top w:val="nil"/>
              <w:left w:val="nil"/>
              <w:bottom w:val="dotted" w:sz="4" w:space="0" w:color="auto"/>
              <w:right w:val="dotted" w:sz="4" w:space="0" w:color="auto"/>
            </w:tcBorders>
            <w:shd w:val="clear" w:color="000000" w:fill="DBE5F1"/>
            <w:noWrap/>
            <w:vAlign w:val="center"/>
            <w:hideMark/>
          </w:tcPr>
          <w:p w:rsidR="001407B8" w:rsidRPr="00B53423" w:rsidRDefault="001407B8" w:rsidP="0015232B">
            <w:pPr>
              <w:pStyle w:val="NoSpacing"/>
              <w:jc w:val="center"/>
              <w:rPr>
                <w:b/>
              </w:rPr>
            </w:pPr>
            <w:r w:rsidRPr="00B53423">
              <w:rPr>
                <w:b/>
              </w:rPr>
              <w:t>Wheeling</w:t>
            </w:r>
          </w:p>
        </w:tc>
        <w:tc>
          <w:tcPr>
            <w:tcW w:w="889" w:type="dxa"/>
            <w:tcBorders>
              <w:top w:val="nil"/>
              <w:left w:val="nil"/>
              <w:bottom w:val="dotted" w:sz="4" w:space="0" w:color="auto"/>
              <w:right w:val="dotted" w:sz="4" w:space="0" w:color="auto"/>
            </w:tcBorders>
            <w:shd w:val="clear" w:color="000000" w:fill="DBE5F1"/>
            <w:noWrap/>
            <w:vAlign w:val="center"/>
            <w:hideMark/>
          </w:tcPr>
          <w:p w:rsidR="001407B8" w:rsidRPr="00B53423" w:rsidRDefault="001407B8" w:rsidP="0015232B">
            <w:pPr>
              <w:pStyle w:val="NoSpacing"/>
              <w:jc w:val="center"/>
              <w:rPr>
                <w:b/>
              </w:rPr>
            </w:pPr>
            <w:r w:rsidRPr="00B53423">
              <w:rPr>
                <w:b/>
              </w:rPr>
              <w:t>Supply</w:t>
            </w:r>
          </w:p>
        </w:tc>
        <w:tc>
          <w:tcPr>
            <w:tcW w:w="1165" w:type="dxa"/>
            <w:tcBorders>
              <w:top w:val="nil"/>
              <w:left w:val="nil"/>
              <w:bottom w:val="dotted" w:sz="4" w:space="0" w:color="auto"/>
              <w:right w:val="dotted" w:sz="4" w:space="0" w:color="auto"/>
            </w:tcBorders>
            <w:shd w:val="clear" w:color="000000" w:fill="DBE5F1"/>
            <w:noWrap/>
            <w:vAlign w:val="center"/>
            <w:hideMark/>
          </w:tcPr>
          <w:p w:rsidR="001407B8" w:rsidRPr="00B53423" w:rsidRDefault="001407B8" w:rsidP="0015232B">
            <w:pPr>
              <w:pStyle w:val="NoSpacing"/>
              <w:jc w:val="center"/>
              <w:rPr>
                <w:b/>
              </w:rPr>
            </w:pPr>
            <w:r w:rsidRPr="00B53423">
              <w:rPr>
                <w:b/>
              </w:rPr>
              <w:t>Wheeling</w:t>
            </w:r>
          </w:p>
        </w:tc>
        <w:tc>
          <w:tcPr>
            <w:tcW w:w="1188" w:type="dxa"/>
            <w:tcBorders>
              <w:top w:val="nil"/>
              <w:left w:val="nil"/>
              <w:bottom w:val="dotted" w:sz="4" w:space="0" w:color="auto"/>
              <w:right w:val="dotted" w:sz="4" w:space="0" w:color="auto"/>
            </w:tcBorders>
            <w:shd w:val="clear" w:color="000000" w:fill="DBE5F1"/>
            <w:noWrap/>
            <w:vAlign w:val="center"/>
            <w:hideMark/>
          </w:tcPr>
          <w:p w:rsidR="001407B8" w:rsidRPr="00B53423" w:rsidRDefault="001407B8" w:rsidP="0015232B">
            <w:pPr>
              <w:pStyle w:val="NoSpacing"/>
              <w:jc w:val="center"/>
              <w:rPr>
                <w:b/>
              </w:rPr>
            </w:pPr>
            <w:r w:rsidRPr="00B53423">
              <w:rPr>
                <w:b/>
              </w:rPr>
              <w:t>Supply</w:t>
            </w:r>
          </w:p>
        </w:tc>
        <w:tc>
          <w:tcPr>
            <w:tcW w:w="1188" w:type="dxa"/>
            <w:tcBorders>
              <w:top w:val="nil"/>
              <w:left w:val="nil"/>
              <w:bottom w:val="dotted" w:sz="4" w:space="0" w:color="auto"/>
              <w:right w:val="dotted" w:sz="4" w:space="0" w:color="auto"/>
            </w:tcBorders>
            <w:shd w:val="clear" w:color="000000" w:fill="DBE5F1"/>
            <w:noWrap/>
            <w:vAlign w:val="center"/>
            <w:hideMark/>
          </w:tcPr>
          <w:p w:rsidR="001407B8" w:rsidRPr="00B53423" w:rsidRDefault="001407B8" w:rsidP="0015232B">
            <w:pPr>
              <w:pStyle w:val="NoSpacing"/>
              <w:jc w:val="center"/>
              <w:rPr>
                <w:b/>
              </w:rPr>
            </w:pPr>
            <w:r w:rsidRPr="00B53423">
              <w:rPr>
                <w:b/>
              </w:rPr>
              <w:t>Total</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Power Purchase Expenses (incl PGCIL charges)</w:t>
            </w:r>
          </w:p>
        </w:tc>
        <w:tc>
          <w:tcPr>
            <w:tcW w:w="1165" w:type="dxa"/>
            <w:tcBorders>
              <w:top w:val="nil"/>
              <w:left w:val="nil"/>
              <w:bottom w:val="dotted" w:sz="4" w:space="0" w:color="auto"/>
              <w:right w:val="dotted" w:sz="4" w:space="0" w:color="auto"/>
            </w:tcBorders>
            <w:shd w:val="clear" w:color="auto" w:fill="auto"/>
            <w:noWrap/>
            <w:vAlign w:val="bottom"/>
            <w:hideMark/>
          </w:tcPr>
          <w:p w:rsidR="004604CE"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w:t>
            </w:r>
          </w:p>
        </w:tc>
        <w:tc>
          <w:tcPr>
            <w:tcW w:w="889" w:type="dxa"/>
            <w:tcBorders>
              <w:top w:val="nil"/>
              <w:left w:val="nil"/>
              <w:bottom w:val="dotted" w:sz="4" w:space="0" w:color="auto"/>
              <w:right w:val="dotted" w:sz="4" w:space="0" w:color="auto"/>
            </w:tcBorders>
            <w:shd w:val="clear" w:color="auto" w:fill="auto"/>
            <w:noWrap/>
            <w:vAlign w:val="bottom"/>
            <w:hideMark/>
          </w:tcPr>
          <w:p w:rsidR="004604CE"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100%</w:t>
            </w:r>
          </w:p>
        </w:tc>
        <w:tc>
          <w:tcPr>
            <w:tcW w:w="1165" w:type="dxa"/>
            <w:tcBorders>
              <w:top w:val="nil"/>
              <w:left w:val="nil"/>
              <w:bottom w:val="dotted" w:sz="4" w:space="0" w:color="auto"/>
              <w:right w:val="dotted" w:sz="4" w:space="0" w:color="auto"/>
            </w:tcBorders>
            <w:shd w:val="clear" w:color="auto" w:fill="auto"/>
            <w:noWrap/>
            <w:vAlign w:val="bottom"/>
            <w:hideMark/>
          </w:tcPr>
          <w:p w:rsidR="004604CE"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4604CE"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1,232.27</w:t>
            </w:r>
          </w:p>
        </w:tc>
        <w:tc>
          <w:tcPr>
            <w:tcW w:w="1188" w:type="dxa"/>
            <w:tcBorders>
              <w:top w:val="nil"/>
              <w:left w:val="nil"/>
              <w:bottom w:val="dotted" w:sz="4" w:space="0" w:color="auto"/>
              <w:right w:val="dotted" w:sz="4" w:space="0" w:color="auto"/>
            </w:tcBorders>
            <w:shd w:val="clear" w:color="auto" w:fill="auto"/>
            <w:noWrap/>
            <w:vAlign w:val="bottom"/>
            <w:hideMark/>
          </w:tcPr>
          <w:p w:rsidR="004604CE"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1,232.27</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Apportionment of O&amp;M Expenses &amp; Interest &amp; Finance Charges of UPPCL</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100%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Transmission Charges - Intra state (incl SLDC Charges)</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100%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62.25</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62.25</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Gross O&amp;M Expenses</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117.33</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61.96</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179.29</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Gross Employee cost</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i/>
                <w:iCs/>
              </w:rPr>
            </w:pPr>
            <w:r w:rsidRPr="00B53423">
              <w:rPr>
                <w:rFonts w:asciiTheme="minorHAnsi" w:hAnsiTheme="minorHAnsi" w:cstheme="minorHAnsi"/>
                <w:i/>
                <w:iCs/>
                <w:color w:val="000000"/>
              </w:rPr>
              <w:t>60%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40%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72.68</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48.45</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121.14</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Gross A&amp;G expenses</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i/>
                <w:iCs/>
              </w:rPr>
            </w:pPr>
            <w:r w:rsidRPr="00B53423">
              <w:rPr>
                <w:rFonts w:asciiTheme="minorHAnsi" w:hAnsiTheme="minorHAnsi" w:cstheme="minorHAnsi"/>
                <w:i/>
                <w:iCs/>
                <w:color w:val="000000"/>
              </w:rPr>
              <w:t>40%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60%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6.15</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9.22</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15.37</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Gross R&amp;M expenses</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i/>
                <w:iCs/>
              </w:rPr>
            </w:pPr>
            <w:r w:rsidRPr="00B53423">
              <w:rPr>
                <w:rFonts w:asciiTheme="minorHAnsi" w:hAnsiTheme="minorHAnsi" w:cstheme="minorHAnsi"/>
                <w:i/>
                <w:iCs/>
                <w:color w:val="000000"/>
              </w:rPr>
              <w:t>90%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38.50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4.28</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42.78</w:t>
            </w:r>
          </w:p>
        </w:tc>
      </w:tr>
      <w:tr w:rsidR="004604CE" w:rsidRPr="00B53423" w:rsidTr="001655C0">
        <w:trPr>
          <w:trHeight w:val="450"/>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Gross Interest &amp; Finance charges</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i/>
                <w:iCs/>
              </w:rPr>
            </w:pPr>
            <w:r w:rsidRPr="00B53423">
              <w:rPr>
                <w:rFonts w:asciiTheme="minorHAnsi" w:hAnsiTheme="minorHAnsi" w:cstheme="minorHAnsi"/>
                <w:i/>
                <w:iCs/>
                <w:color w:val="000000"/>
              </w:rPr>
              <w:t>90%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27.29</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3.03</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30.32</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Depreciation</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i/>
                <w:iCs/>
              </w:rPr>
            </w:pPr>
            <w:r w:rsidRPr="00B53423">
              <w:rPr>
                <w:rFonts w:asciiTheme="minorHAnsi" w:hAnsiTheme="minorHAnsi" w:cstheme="minorHAnsi"/>
                <w:i/>
                <w:iCs/>
                <w:color w:val="000000"/>
              </w:rPr>
              <w:t>90%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27.10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3.01</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30.11</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Total Expenditure</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171.71</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1,362.53</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1,534.24</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Expense capitalization</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11.82</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8.65</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20.48</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Employee cost capitalized</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i/>
                <w:iCs/>
              </w:rPr>
            </w:pPr>
            <w:r w:rsidRPr="00B53423">
              <w:rPr>
                <w:rFonts w:asciiTheme="minorHAnsi" w:hAnsiTheme="minorHAnsi" w:cstheme="minorHAnsi"/>
                <w:i/>
                <w:iCs/>
                <w:color w:val="000000"/>
              </w:rPr>
              <w:t>60%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40%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10.90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7.27</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18.17</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Interest capitalized</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i/>
                <w:iCs/>
              </w:rPr>
            </w:pPr>
            <w:r w:rsidRPr="00B53423">
              <w:rPr>
                <w:rFonts w:asciiTheme="minorHAnsi" w:hAnsiTheme="minorHAnsi" w:cstheme="minorHAnsi"/>
                <w:i/>
                <w:iCs/>
                <w:color w:val="000000"/>
              </w:rPr>
              <w:t>90%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A&amp;G expenses capitalized</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i/>
                <w:iCs/>
              </w:rPr>
            </w:pPr>
            <w:r w:rsidRPr="00B53423">
              <w:rPr>
                <w:rFonts w:asciiTheme="minorHAnsi" w:hAnsiTheme="minorHAnsi" w:cstheme="minorHAnsi"/>
                <w:i/>
                <w:iCs/>
                <w:color w:val="000000"/>
              </w:rPr>
              <w:t>40%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60%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0.92</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1.38</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2.31</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Net Expenditure</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b/>
                <w:bCs/>
                <w:color w:val="000000"/>
              </w:rPr>
              <w:t> </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b/>
                <w:bCs/>
                <w:color w:val="000000"/>
              </w:rPr>
              <w:t> </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159.89</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1,353.87</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1,513.77</w:t>
            </w:r>
          </w:p>
        </w:tc>
      </w:tr>
      <w:tr w:rsidR="00621767"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621767" w:rsidRPr="00B53423" w:rsidRDefault="00621767" w:rsidP="0015232B">
            <w:pPr>
              <w:pStyle w:val="NoSpacing"/>
            </w:pPr>
            <w:r w:rsidRPr="00B53423">
              <w:t>Special Appropriations</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r>
      <w:tr w:rsidR="00621767"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621767" w:rsidRPr="00B53423" w:rsidRDefault="00621767" w:rsidP="0015232B">
            <w:pPr>
              <w:pStyle w:val="NoSpacing"/>
            </w:pPr>
            <w:r w:rsidRPr="00B53423">
              <w:t> </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r>
      <w:tr w:rsidR="001D0FB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1D0FBE" w:rsidRPr="00B53423" w:rsidRDefault="001D0FBE" w:rsidP="0015232B">
            <w:pPr>
              <w:pStyle w:val="NoSpacing"/>
            </w:pPr>
            <w:r w:rsidRPr="00B53423">
              <w:t>Provision for Bad &amp; Doubtful debts</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100%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r>
      <w:tr w:rsidR="001D0FB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1D0FBE" w:rsidRPr="00B53423" w:rsidRDefault="001D0FBE" w:rsidP="0015232B">
            <w:pPr>
              <w:pStyle w:val="NoSpacing"/>
            </w:pPr>
            <w:r w:rsidRPr="00B53423">
              <w:t>Provision for Contingency Reserve</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100%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r>
      <w:tr w:rsidR="001D0FB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1D0FBE" w:rsidRPr="00B53423" w:rsidRDefault="001D0FBE" w:rsidP="0015232B">
            <w:pPr>
              <w:pStyle w:val="NoSpacing"/>
            </w:pPr>
            <w:r w:rsidRPr="00B53423">
              <w:t>Total net expenditure with provisions</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 </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159.89</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1,353.87</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1,513.77</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Add: Return on Equity</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90%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pPr>
            <w:r w:rsidRPr="00B53423">
              <w:t>Less: Non Tariff Income</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b/>
                <w:bCs/>
                <w:color w:val="000000"/>
              </w:rPr>
              <w:t>0%</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100%</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0.00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6.50</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rPr>
            </w:pPr>
            <w:r w:rsidRPr="00B53423">
              <w:rPr>
                <w:rFonts w:asciiTheme="minorHAnsi" w:hAnsiTheme="minorHAnsi" w:cstheme="minorHAnsi"/>
                <w:color w:val="000000"/>
              </w:rPr>
              <w:t>6.50</w:t>
            </w:r>
          </w:p>
        </w:tc>
      </w:tr>
      <w:tr w:rsidR="004604CE" w:rsidRPr="00B53423" w:rsidTr="001655C0">
        <w:trPr>
          <w:trHeight w:val="225"/>
          <w:jc w:val="center"/>
        </w:trPr>
        <w:tc>
          <w:tcPr>
            <w:tcW w:w="4820" w:type="dxa"/>
            <w:tcBorders>
              <w:top w:val="nil"/>
              <w:left w:val="dotted" w:sz="4" w:space="0" w:color="auto"/>
              <w:bottom w:val="dotted" w:sz="4" w:space="0" w:color="auto"/>
              <w:right w:val="dotted" w:sz="4" w:space="0" w:color="auto"/>
            </w:tcBorders>
            <w:shd w:val="clear" w:color="auto" w:fill="auto"/>
            <w:noWrap/>
            <w:vAlign w:val="bottom"/>
            <w:hideMark/>
          </w:tcPr>
          <w:p w:rsidR="004604CE" w:rsidRPr="00B53423" w:rsidRDefault="004604CE" w:rsidP="0015232B">
            <w:pPr>
              <w:pStyle w:val="NoSpacing"/>
              <w:rPr>
                <w:b/>
              </w:rPr>
            </w:pPr>
            <w:r w:rsidRPr="00B53423">
              <w:rPr>
                <w:b/>
              </w:rPr>
              <w:t>Annual Revenue Requirement (ARR)</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b/>
              </w:rPr>
            </w:pPr>
            <w:r w:rsidRPr="00B53423">
              <w:rPr>
                <w:rFonts w:asciiTheme="minorHAnsi" w:hAnsiTheme="minorHAnsi" w:cstheme="minorHAnsi"/>
                <w:color w:val="000000"/>
              </w:rPr>
              <w:t> </w:t>
            </w:r>
          </w:p>
        </w:tc>
        <w:tc>
          <w:tcPr>
            <w:tcW w:w="889"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b/>
              </w:rPr>
            </w:pPr>
            <w:r w:rsidRPr="00B53423">
              <w:rPr>
                <w:rFonts w:asciiTheme="minorHAnsi" w:hAnsiTheme="minorHAnsi" w:cstheme="minorHAnsi"/>
                <w:color w:val="000000"/>
              </w:rPr>
              <w:t> </w:t>
            </w:r>
          </w:p>
        </w:tc>
        <w:tc>
          <w:tcPr>
            <w:tcW w:w="1165"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b/>
              </w:rPr>
            </w:pPr>
            <w:r w:rsidRPr="00B53423">
              <w:rPr>
                <w:rFonts w:asciiTheme="minorHAnsi" w:hAnsiTheme="minorHAnsi" w:cstheme="minorHAnsi"/>
                <w:color w:val="000000"/>
              </w:rPr>
              <w:t>159.89</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b/>
              </w:rPr>
            </w:pPr>
            <w:r w:rsidRPr="00B53423">
              <w:rPr>
                <w:rFonts w:asciiTheme="minorHAnsi" w:hAnsiTheme="minorHAnsi" w:cstheme="minorHAnsi"/>
                <w:color w:val="000000"/>
              </w:rPr>
              <w:t>1,347.38</w:t>
            </w:r>
          </w:p>
        </w:tc>
        <w:tc>
          <w:tcPr>
            <w:tcW w:w="1188" w:type="dxa"/>
            <w:tcBorders>
              <w:top w:val="nil"/>
              <w:left w:val="nil"/>
              <w:bottom w:val="dotted" w:sz="4" w:space="0" w:color="auto"/>
              <w:right w:val="dotted" w:sz="4" w:space="0" w:color="auto"/>
            </w:tcBorders>
            <w:shd w:val="clear" w:color="auto" w:fill="auto"/>
            <w:noWrap/>
            <w:vAlign w:val="bottom"/>
            <w:hideMark/>
          </w:tcPr>
          <w:p w:rsidR="005B31C0" w:rsidRPr="00B53423" w:rsidRDefault="00BC60A3" w:rsidP="0015232B">
            <w:pPr>
              <w:pStyle w:val="NoSpacing"/>
              <w:jc w:val="right"/>
              <w:rPr>
                <w:rFonts w:asciiTheme="minorHAnsi" w:hAnsiTheme="minorHAnsi" w:cstheme="minorHAnsi"/>
                <w:b/>
              </w:rPr>
            </w:pPr>
            <w:r w:rsidRPr="00B53423">
              <w:rPr>
                <w:rFonts w:asciiTheme="minorHAnsi" w:hAnsiTheme="minorHAnsi" w:cstheme="minorHAnsi"/>
                <w:color w:val="000000"/>
              </w:rPr>
              <w:t>1,507.27</w:t>
            </w:r>
          </w:p>
        </w:tc>
      </w:tr>
    </w:tbl>
    <w:p w:rsidR="001407B8" w:rsidRPr="00B53423" w:rsidRDefault="001407B8" w:rsidP="0015232B">
      <w:pPr>
        <w:pStyle w:val="Heading3"/>
        <w:keepNext w:val="0"/>
        <w:numPr>
          <w:ilvl w:val="0"/>
          <w:numId w:val="0"/>
        </w:numPr>
        <w:tabs>
          <w:tab w:val="left" w:pos="4204"/>
        </w:tabs>
        <w:ind w:left="993"/>
      </w:pPr>
    </w:p>
    <w:p w:rsidR="008E5045" w:rsidRPr="00B53423" w:rsidRDefault="001407B8" w:rsidP="0015232B">
      <w:pPr>
        <w:pStyle w:val="Heading3"/>
        <w:keepNext w:val="0"/>
        <w:spacing w:before="120" w:after="120"/>
        <w:ind w:hanging="1080"/>
      </w:pPr>
      <w:r w:rsidRPr="00B53423">
        <w:t>Based on the above, the wheeling charges for FY 2014-15 are as shown in the Table below:</w:t>
      </w:r>
    </w:p>
    <w:p w:rsidR="001407B8" w:rsidRPr="00B53423" w:rsidRDefault="001407B8" w:rsidP="0015232B">
      <w:pPr>
        <w:spacing w:before="0" w:after="120" w:line="240" w:lineRule="auto"/>
        <w:jc w:val="center"/>
        <w:rPr>
          <w:rFonts w:cstheme="minorHAnsi"/>
          <w:b/>
        </w:rPr>
      </w:pPr>
      <w:bookmarkStart w:id="915" w:name="_Toc399626437"/>
      <w:r w:rsidRPr="00B53423">
        <w:rPr>
          <w:rFonts w:cstheme="minorHAnsi"/>
          <w:b/>
        </w:rPr>
        <w:t xml:space="preserve">Table </w:t>
      </w:r>
      <w:r w:rsidR="005D68E7" w:rsidRPr="00B53423">
        <w:rPr>
          <w:rFonts w:cstheme="minorHAnsi"/>
          <w:b/>
        </w:rPr>
        <w:fldChar w:fldCharType="begin"/>
      </w:r>
      <w:r w:rsidRPr="00B53423">
        <w:rPr>
          <w:rFonts w:cstheme="minorHAnsi"/>
          <w:b/>
        </w:rPr>
        <w:instrText xml:space="preserve"> STYLEREF 1 \s </w:instrText>
      </w:r>
      <w:r w:rsidR="005D68E7" w:rsidRPr="00B53423">
        <w:rPr>
          <w:rFonts w:cstheme="minorHAnsi"/>
          <w:b/>
        </w:rPr>
        <w:fldChar w:fldCharType="separate"/>
      </w:r>
      <w:r w:rsidR="00847C1B">
        <w:rPr>
          <w:rFonts w:cstheme="minorHAnsi"/>
          <w:b/>
          <w:noProof/>
        </w:rPr>
        <w:t>10</w:t>
      </w:r>
      <w:r w:rsidR="005D68E7" w:rsidRPr="00B53423">
        <w:rPr>
          <w:rFonts w:cstheme="minorHAnsi"/>
          <w:b/>
        </w:rPr>
        <w:fldChar w:fldCharType="end"/>
      </w:r>
      <w:r w:rsidRPr="00B53423">
        <w:rPr>
          <w:rFonts w:cstheme="minorHAnsi"/>
          <w:b/>
        </w:rPr>
        <w:noBreakHyphen/>
      </w:r>
      <w:r w:rsidR="005D68E7" w:rsidRPr="00B53423">
        <w:rPr>
          <w:rFonts w:cstheme="minorHAnsi"/>
          <w:b/>
        </w:rPr>
        <w:fldChar w:fldCharType="begin"/>
      </w:r>
      <w:r w:rsidRPr="00B53423">
        <w:rPr>
          <w:rFonts w:cstheme="minorHAnsi"/>
          <w:b/>
        </w:rPr>
        <w:instrText xml:space="preserve"> SEQ Table \* ARABIC \s 1 </w:instrText>
      </w:r>
      <w:r w:rsidR="005D68E7" w:rsidRPr="00B53423">
        <w:rPr>
          <w:rFonts w:cstheme="minorHAnsi"/>
          <w:b/>
        </w:rPr>
        <w:fldChar w:fldCharType="separate"/>
      </w:r>
      <w:r w:rsidR="00847C1B">
        <w:rPr>
          <w:rFonts w:cstheme="minorHAnsi"/>
          <w:b/>
          <w:noProof/>
        </w:rPr>
        <w:t>2</w:t>
      </w:r>
      <w:r w:rsidR="005D68E7" w:rsidRPr="00B53423">
        <w:rPr>
          <w:rFonts w:cstheme="minorHAnsi"/>
          <w:b/>
        </w:rPr>
        <w:fldChar w:fldCharType="end"/>
      </w:r>
      <w:r w:rsidRPr="00B53423">
        <w:rPr>
          <w:rFonts w:cstheme="minorHAnsi"/>
          <w:b/>
        </w:rPr>
        <w:t>: WHEELING CHARGES FOR FY 2014-15</w:t>
      </w:r>
      <w:bookmarkEnd w:id="915"/>
    </w:p>
    <w:tbl>
      <w:tblPr>
        <w:tblW w:w="8951"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006"/>
        <w:gridCol w:w="4432"/>
        <w:gridCol w:w="1613"/>
        <w:gridCol w:w="1900"/>
      </w:tblGrid>
      <w:tr w:rsidR="001407B8" w:rsidRPr="00B53423" w:rsidTr="001655C0">
        <w:trPr>
          <w:trHeight w:val="510"/>
          <w:tblHeader/>
          <w:jc w:val="center"/>
        </w:trPr>
        <w:tc>
          <w:tcPr>
            <w:tcW w:w="1006" w:type="dxa"/>
            <w:shd w:val="clear" w:color="000000" w:fill="DCE6F1"/>
            <w:vAlign w:val="center"/>
            <w:hideMark/>
          </w:tcPr>
          <w:p w:rsidR="001407B8" w:rsidRPr="00B53423" w:rsidRDefault="001407B8" w:rsidP="0015232B">
            <w:pPr>
              <w:spacing w:before="0" w:line="240" w:lineRule="auto"/>
              <w:jc w:val="center"/>
              <w:rPr>
                <w:b/>
              </w:rPr>
            </w:pPr>
            <w:r w:rsidRPr="00B53423">
              <w:rPr>
                <w:b/>
              </w:rPr>
              <w:t>S. No</w:t>
            </w:r>
          </w:p>
        </w:tc>
        <w:tc>
          <w:tcPr>
            <w:tcW w:w="4432" w:type="dxa"/>
            <w:shd w:val="clear" w:color="000000" w:fill="DCE6F1"/>
            <w:vAlign w:val="center"/>
            <w:hideMark/>
          </w:tcPr>
          <w:p w:rsidR="001407B8" w:rsidRPr="00B53423" w:rsidRDefault="001407B8" w:rsidP="0015232B">
            <w:pPr>
              <w:spacing w:before="0" w:line="240" w:lineRule="auto"/>
              <w:rPr>
                <w:b/>
              </w:rPr>
            </w:pPr>
            <w:r w:rsidRPr="00B53423">
              <w:rPr>
                <w:b/>
              </w:rPr>
              <w:t>Particulars</w:t>
            </w:r>
          </w:p>
        </w:tc>
        <w:tc>
          <w:tcPr>
            <w:tcW w:w="1613" w:type="dxa"/>
            <w:shd w:val="clear" w:color="000000" w:fill="DCE6F1"/>
            <w:vAlign w:val="center"/>
            <w:hideMark/>
          </w:tcPr>
          <w:p w:rsidR="001407B8" w:rsidRPr="00B53423" w:rsidRDefault="001407B8" w:rsidP="0015232B">
            <w:pPr>
              <w:spacing w:before="0" w:line="240" w:lineRule="auto"/>
              <w:jc w:val="center"/>
              <w:rPr>
                <w:b/>
              </w:rPr>
            </w:pPr>
            <w:r w:rsidRPr="00B53423">
              <w:rPr>
                <w:b/>
              </w:rPr>
              <w:t>Units</w:t>
            </w:r>
          </w:p>
        </w:tc>
        <w:tc>
          <w:tcPr>
            <w:tcW w:w="1900" w:type="dxa"/>
            <w:shd w:val="clear" w:color="000000" w:fill="DCE6F1"/>
            <w:vAlign w:val="center"/>
            <w:hideMark/>
          </w:tcPr>
          <w:p w:rsidR="001407B8" w:rsidRPr="00B53423" w:rsidRDefault="001407B8" w:rsidP="0015232B">
            <w:pPr>
              <w:spacing w:before="0" w:line="240" w:lineRule="auto"/>
              <w:jc w:val="right"/>
              <w:rPr>
                <w:b/>
              </w:rPr>
            </w:pPr>
            <w:r w:rsidRPr="00B53423">
              <w:rPr>
                <w:b/>
              </w:rPr>
              <w:t>Approved</w:t>
            </w:r>
          </w:p>
          <w:p w:rsidR="001407B8" w:rsidRPr="00B53423" w:rsidRDefault="001407B8" w:rsidP="0015232B">
            <w:pPr>
              <w:spacing w:before="0" w:line="240" w:lineRule="auto"/>
              <w:jc w:val="right"/>
              <w:rPr>
                <w:b/>
              </w:rPr>
            </w:pPr>
            <w:r w:rsidRPr="00B53423">
              <w:rPr>
                <w:b/>
              </w:rPr>
              <w:t>FY 2014-15</w:t>
            </w:r>
          </w:p>
        </w:tc>
      </w:tr>
      <w:tr w:rsidR="004604CE" w:rsidRPr="00B53423" w:rsidTr="001655C0">
        <w:trPr>
          <w:trHeight w:val="300"/>
          <w:jc w:val="center"/>
        </w:trPr>
        <w:tc>
          <w:tcPr>
            <w:tcW w:w="1006" w:type="dxa"/>
            <w:shd w:val="clear" w:color="auto" w:fill="auto"/>
            <w:noWrap/>
            <w:vAlign w:val="center"/>
            <w:hideMark/>
          </w:tcPr>
          <w:p w:rsidR="004604CE" w:rsidRPr="00B53423" w:rsidRDefault="004604CE" w:rsidP="0015232B">
            <w:pPr>
              <w:spacing w:before="0" w:line="240" w:lineRule="auto"/>
              <w:jc w:val="center"/>
            </w:pPr>
            <w:r w:rsidRPr="00B53423">
              <w:t>1</w:t>
            </w:r>
          </w:p>
        </w:tc>
        <w:tc>
          <w:tcPr>
            <w:tcW w:w="4432" w:type="dxa"/>
            <w:shd w:val="clear" w:color="auto" w:fill="auto"/>
            <w:vAlign w:val="center"/>
            <w:hideMark/>
          </w:tcPr>
          <w:p w:rsidR="004604CE" w:rsidRPr="00B53423" w:rsidRDefault="004604CE" w:rsidP="0015232B">
            <w:pPr>
              <w:spacing w:before="0" w:line="240" w:lineRule="auto"/>
            </w:pPr>
            <w:r w:rsidRPr="00B53423">
              <w:t>Wheeling ARR</w:t>
            </w:r>
          </w:p>
        </w:tc>
        <w:tc>
          <w:tcPr>
            <w:tcW w:w="1613" w:type="dxa"/>
            <w:shd w:val="clear" w:color="auto" w:fill="auto"/>
            <w:vAlign w:val="center"/>
            <w:hideMark/>
          </w:tcPr>
          <w:p w:rsidR="004604CE" w:rsidRPr="00B53423" w:rsidRDefault="004604CE" w:rsidP="0015232B">
            <w:pPr>
              <w:spacing w:before="0" w:line="240" w:lineRule="auto"/>
              <w:jc w:val="center"/>
            </w:pPr>
            <w:r w:rsidRPr="00B53423">
              <w:t>Rs. Crore</w:t>
            </w:r>
          </w:p>
        </w:tc>
        <w:tc>
          <w:tcPr>
            <w:tcW w:w="1900" w:type="dxa"/>
            <w:shd w:val="clear" w:color="auto" w:fill="auto"/>
            <w:noWrap/>
            <w:vAlign w:val="bottom"/>
            <w:hideMark/>
          </w:tcPr>
          <w:p w:rsidR="004604CE" w:rsidRPr="00B53423" w:rsidRDefault="00BC60A3" w:rsidP="0015232B">
            <w:pPr>
              <w:spacing w:before="0" w:line="240" w:lineRule="auto"/>
              <w:jc w:val="right"/>
            </w:pPr>
            <w:r w:rsidRPr="00B53423">
              <w:rPr>
                <w:rFonts w:cs="Calibri"/>
                <w:color w:val="000000"/>
                <w:sz w:val="22"/>
                <w:szCs w:val="22"/>
              </w:rPr>
              <w:t>159.89</w:t>
            </w:r>
          </w:p>
        </w:tc>
      </w:tr>
      <w:tr w:rsidR="004604CE" w:rsidRPr="00B53423" w:rsidTr="001655C0">
        <w:trPr>
          <w:trHeight w:val="300"/>
          <w:jc w:val="center"/>
        </w:trPr>
        <w:tc>
          <w:tcPr>
            <w:tcW w:w="1006" w:type="dxa"/>
            <w:shd w:val="clear" w:color="auto" w:fill="auto"/>
            <w:noWrap/>
            <w:vAlign w:val="center"/>
            <w:hideMark/>
          </w:tcPr>
          <w:p w:rsidR="004604CE" w:rsidRPr="00B53423" w:rsidRDefault="004604CE" w:rsidP="0015232B">
            <w:pPr>
              <w:spacing w:before="0" w:line="240" w:lineRule="auto"/>
              <w:jc w:val="center"/>
              <w:rPr>
                <w:sz w:val="18"/>
                <w:szCs w:val="18"/>
              </w:rPr>
            </w:pPr>
            <w:r w:rsidRPr="00B53423">
              <w:t>2</w:t>
            </w:r>
          </w:p>
        </w:tc>
        <w:tc>
          <w:tcPr>
            <w:tcW w:w="4432" w:type="dxa"/>
            <w:shd w:val="clear" w:color="auto" w:fill="auto"/>
            <w:vAlign w:val="center"/>
            <w:hideMark/>
          </w:tcPr>
          <w:p w:rsidR="004604CE" w:rsidRPr="00B53423" w:rsidRDefault="004604CE" w:rsidP="0015232B">
            <w:pPr>
              <w:spacing w:before="0" w:line="240" w:lineRule="auto"/>
              <w:rPr>
                <w:sz w:val="18"/>
                <w:szCs w:val="18"/>
              </w:rPr>
            </w:pPr>
            <w:r w:rsidRPr="00B53423">
              <w:t>Retail sales</w:t>
            </w:r>
          </w:p>
        </w:tc>
        <w:tc>
          <w:tcPr>
            <w:tcW w:w="1613" w:type="dxa"/>
            <w:shd w:val="clear" w:color="auto" w:fill="auto"/>
            <w:vAlign w:val="center"/>
            <w:hideMark/>
          </w:tcPr>
          <w:p w:rsidR="004604CE" w:rsidRPr="00B53423" w:rsidRDefault="004604CE" w:rsidP="0015232B">
            <w:pPr>
              <w:spacing w:before="0" w:line="240" w:lineRule="auto"/>
              <w:jc w:val="center"/>
              <w:rPr>
                <w:sz w:val="18"/>
                <w:szCs w:val="18"/>
              </w:rPr>
            </w:pPr>
            <w:r w:rsidRPr="00B53423">
              <w:t>MU</w:t>
            </w:r>
          </w:p>
        </w:tc>
        <w:tc>
          <w:tcPr>
            <w:tcW w:w="1900" w:type="dxa"/>
            <w:shd w:val="clear" w:color="auto" w:fill="auto"/>
            <w:noWrap/>
            <w:vAlign w:val="bottom"/>
            <w:hideMark/>
          </w:tcPr>
          <w:p w:rsidR="004604CE" w:rsidRPr="00B53423" w:rsidRDefault="00BC60A3" w:rsidP="0015232B">
            <w:pPr>
              <w:spacing w:before="0" w:line="240" w:lineRule="auto"/>
              <w:jc w:val="right"/>
            </w:pPr>
            <w:r w:rsidRPr="00B53423">
              <w:rPr>
                <w:rFonts w:cs="Calibri"/>
                <w:color w:val="000000"/>
                <w:sz w:val="22"/>
                <w:szCs w:val="22"/>
              </w:rPr>
              <w:t>2,474.67</w:t>
            </w:r>
          </w:p>
        </w:tc>
      </w:tr>
      <w:tr w:rsidR="004604CE" w:rsidRPr="00B53423" w:rsidTr="001655C0">
        <w:trPr>
          <w:trHeight w:val="300"/>
          <w:jc w:val="center"/>
        </w:trPr>
        <w:tc>
          <w:tcPr>
            <w:tcW w:w="1006" w:type="dxa"/>
            <w:shd w:val="clear" w:color="auto" w:fill="auto"/>
            <w:noWrap/>
            <w:vAlign w:val="center"/>
            <w:hideMark/>
          </w:tcPr>
          <w:p w:rsidR="004604CE" w:rsidRPr="00B53423" w:rsidRDefault="004604CE" w:rsidP="0015232B">
            <w:pPr>
              <w:spacing w:before="0" w:line="240" w:lineRule="auto"/>
              <w:jc w:val="center"/>
              <w:rPr>
                <w:sz w:val="18"/>
                <w:szCs w:val="18"/>
              </w:rPr>
            </w:pPr>
            <w:r w:rsidRPr="00B53423">
              <w:t>3</w:t>
            </w:r>
          </w:p>
        </w:tc>
        <w:tc>
          <w:tcPr>
            <w:tcW w:w="4432" w:type="dxa"/>
            <w:shd w:val="clear" w:color="auto" w:fill="auto"/>
            <w:vAlign w:val="center"/>
            <w:hideMark/>
          </w:tcPr>
          <w:p w:rsidR="004604CE" w:rsidRPr="00B53423" w:rsidRDefault="004604CE" w:rsidP="0015232B">
            <w:pPr>
              <w:spacing w:before="0" w:line="240" w:lineRule="auto"/>
              <w:rPr>
                <w:sz w:val="18"/>
                <w:szCs w:val="18"/>
              </w:rPr>
            </w:pPr>
            <w:r w:rsidRPr="00B53423">
              <w:t>Average Wheeling charge</w:t>
            </w:r>
          </w:p>
        </w:tc>
        <w:tc>
          <w:tcPr>
            <w:tcW w:w="1613" w:type="dxa"/>
            <w:shd w:val="clear" w:color="auto" w:fill="auto"/>
            <w:vAlign w:val="center"/>
            <w:hideMark/>
          </w:tcPr>
          <w:p w:rsidR="004604CE" w:rsidRPr="00B53423" w:rsidRDefault="004604CE" w:rsidP="0015232B">
            <w:pPr>
              <w:spacing w:before="0" w:line="240" w:lineRule="auto"/>
              <w:jc w:val="center"/>
              <w:rPr>
                <w:sz w:val="18"/>
                <w:szCs w:val="18"/>
              </w:rPr>
            </w:pPr>
            <w:r w:rsidRPr="00B53423">
              <w:t>Rs./kWh</w:t>
            </w:r>
          </w:p>
        </w:tc>
        <w:tc>
          <w:tcPr>
            <w:tcW w:w="1900" w:type="dxa"/>
            <w:shd w:val="clear" w:color="auto" w:fill="auto"/>
            <w:noWrap/>
            <w:vAlign w:val="bottom"/>
            <w:hideMark/>
          </w:tcPr>
          <w:p w:rsidR="004604CE" w:rsidRPr="00B53423" w:rsidRDefault="00BC60A3" w:rsidP="0015232B">
            <w:pPr>
              <w:spacing w:before="0" w:line="240" w:lineRule="auto"/>
              <w:jc w:val="right"/>
            </w:pPr>
            <w:r w:rsidRPr="00B53423">
              <w:rPr>
                <w:rFonts w:cs="Calibri"/>
                <w:color w:val="000000"/>
                <w:sz w:val="22"/>
                <w:szCs w:val="22"/>
              </w:rPr>
              <w:t>0.646</w:t>
            </w:r>
          </w:p>
        </w:tc>
      </w:tr>
    </w:tbl>
    <w:p w:rsidR="001407B8" w:rsidRPr="00B53423" w:rsidRDefault="001407B8" w:rsidP="0015232B">
      <w:pPr>
        <w:spacing w:before="0"/>
      </w:pPr>
    </w:p>
    <w:p w:rsidR="008E5045" w:rsidRPr="00B53423" w:rsidRDefault="004604CE" w:rsidP="0015232B">
      <w:pPr>
        <w:pStyle w:val="Heading3"/>
        <w:keepNext w:val="0"/>
        <w:spacing w:before="120" w:after="120"/>
        <w:ind w:hanging="1080"/>
      </w:pPr>
      <w:r w:rsidRPr="00B53423">
        <w:rPr>
          <w:rFonts w:cs="Arial"/>
          <w:bCs w:val="0"/>
          <w:szCs w:val="26"/>
        </w:rPr>
        <w:t>The Commission, in order to encourage Open Access transactions in the State, has further tried to segregate the wheeling charges payable by consumers seeking Open Access based on the voltage levels at which they are connected to the distribution network. However, in absence of voltage level wise break-up of expenses and asset details, the Commission has considered an interim allocation of costs at various voltage levels and approved the following wheeling charges payable by Open Access customers based on the voltage level at which they are connected with the distribution network</w:t>
      </w:r>
      <w:r w:rsidR="001407B8" w:rsidRPr="00B53423">
        <w:t>.</w:t>
      </w:r>
    </w:p>
    <w:p w:rsidR="008E5045" w:rsidRPr="00B53423" w:rsidRDefault="008E5045" w:rsidP="0015232B">
      <w:pPr>
        <w:pStyle w:val="Heading3"/>
        <w:keepNext w:val="0"/>
        <w:numPr>
          <w:ilvl w:val="0"/>
          <w:numId w:val="0"/>
        </w:numPr>
        <w:spacing w:before="120" w:after="120"/>
        <w:ind w:left="720"/>
      </w:pPr>
    </w:p>
    <w:p w:rsidR="008E5045" w:rsidRPr="00B53423" w:rsidRDefault="001407B8" w:rsidP="0015232B">
      <w:pPr>
        <w:pStyle w:val="Heading3"/>
        <w:keepNext w:val="0"/>
        <w:spacing w:before="120" w:after="120"/>
        <w:ind w:hanging="1080"/>
      </w:pPr>
      <w:r w:rsidRPr="00B53423">
        <w:t xml:space="preserve">The charges have been worked out on the assumption that the wheeling expenses at 11 kV voltage level shall be 80% of the average wheeling charges determined for the Wheeling function of all Distribution Licensees and that for wheeling at voltages above 11 kV shall be 50% of the average wheeling charges. Further, as detailed in the Tariff Order of UPPTCL for FY 2014-15, the Commission has considered the transmission open access charges for short term open access at the same level as approved for Long term open access. </w:t>
      </w:r>
      <w:r w:rsidRPr="00B53423">
        <w:rPr>
          <w:lang w:val="en-US"/>
        </w:rPr>
        <w:t xml:space="preserve">Due to substantial use of short-term Open Access, the </w:t>
      </w:r>
      <w:proofErr w:type="gramStart"/>
      <w:r w:rsidRPr="00B53423">
        <w:rPr>
          <w:lang w:val="en-US"/>
        </w:rPr>
        <w:t>basis</w:t>
      </w:r>
      <w:proofErr w:type="gramEnd"/>
      <w:r w:rsidRPr="00B53423">
        <w:rPr>
          <w:lang w:val="en-US"/>
        </w:rPr>
        <w:t xml:space="preserve"> on which the short-term Open Access Charges are being levied in the country have undergone change. This could be observed from the Central Electricity Regulatory Commission (Sharing of Inter State Transmission Charges and Losses) Regulations, 2010 wherein the transmission charges for long-term, medium-term and short-term Designated ISTS customer of the transmission system </w:t>
      </w:r>
      <w:r w:rsidR="004604CE" w:rsidRPr="00B53423">
        <w:rPr>
          <w:lang w:val="en-US"/>
        </w:rPr>
        <w:t>is</w:t>
      </w:r>
      <w:r w:rsidRPr="00B53423">
        <w:rPr>
          <w:lang w:val="en-US"/>
        </w:rPr>
        <w:t xml:space="preserve"> same.</w:t>
      </w:r>
      <w:r w:rsidR="004604CE" w:rsidRPr="00B53423">
        <w:rPr>
          <w:lang w:val="en-US"/>
        </w:rPr>
        <w:t xml:space="preserve"> </w:t>
      </w:r>
      <w:r w:rsidR="004604CE" w:rsidRPr="00B53423">
        <w:rPr>
          <w:rFonts w:cs="Arial"/>
          <w:bCs w:val="0"/>
          <w:szCs w:val="26"/>
          <w:lang w:val="en-US"/>
        </w:rPr>
        <w:t xml:space="preserve">In view of the same the Commission </w:t>
      </w:r>
      <w:r w:rsidR="004604CE" w:rsidRPr="00B53423">
        <w:rPr>
          <w:rFonts w:cs="Arial"/>
          <w:bCs w:val="0"/>
          <w:szCs w:val="26"/>
        </w:rPr>
        <w:t>has approved the short term distribution wheeling charges same as long term wheeling charges</w:t>
      </w:r>
      <w:proofErr w:type="gramStart"/>
      <w:r w:rsidR="004604CE" w:rsidRPr="00B53423">
        <w:rPr>
          <w:rFonts w:cs="Arial"/>
          <w:bCs w:val="0"/>
          <w:szCs w:val="26"/>
        </w:rPr>
        <w:t>.</w:t>
      </w:r>
      <w:r w:rsidRPr="00B53423">
        <w:t>.</w:t>
      </w:r>
      <w:proofErr w:type="gramEnd"/>
    </w:p>
    <w:p w:rsidR="001407B8" w:rsidRPr="00B53423" w:rsidRDefault="001407B8" w:rsidP="0015232B">
      <w:pPr>
        <w:pStyle w:val="ListParagraph"/>
      </w:pPr>
    </w:p>
    <w:p w:rsidR="001407B8" w:rsidRPr="00B53423" w:rsidRDefault="001407B8" w:rsidP="0015232B">
      <w:pPr>
        <w:spacing w:before="0" w:after="120" w:line="240" w:lineRule="auto"/>
        <w:jc w:val="center"/>
        <w:rPr>
          <w:rFonts w:cstheme="minorHAnsi"/>
          <w:b/>
        </w:rPr>
      </w:pPr>
      <w:bookmarkStart w:id="916" w:name="_Toc399626438"/>
      <w:r w:rsidRPr="00B53423">
        <w:rPr>
          <w:rFonts w:cstheme="minorHAnsi"/>
          <w:b/>
        </w:rPr>
        <w:t xml:space="preserve">Table </w:t>
      </w:r>
      <w:r w:rsidR="005D68E7" w:rsidRPr="00B53423">
        <w:rPr>
          <w:rFonts w:cstheme="minorHAnsi"/>
          <w:b/>
        </w:rPr>
        <w:fldChar w:fldCharType="begin"/>
      </w:r>
      <w:r w:rsidR="00095176" w:rsidRPr="00B53423">
        <w:rPr>
          <w:rFonts w:cstheme="minorHAnsi"/>
          <w:b/>
        </w:rPr>
        <w:instrText xml:space="preserve"> STYLEREF 1 \s </w:instrText>
      </w:r>
      <w:r w:rsidR="005D68E7" w:rsidRPr="00B53423">
        <w:rPr>
          <w:rFonts w:cstheme="minorHAnsi"/>
          <w:b/>
        </w:rPr>
        <w:fldChar w:fldCharType="separate"/>
      </w:r>
      <w:r w:rsidR="00847C1B">
        <w:rPr>
          <w:rFonts w:cstheme="minorHAnsi"/>
          <w:b/>
          <w:noProof/>
        </w:rPr>
        <w:t>10</w:t>
      </w:r>
      <w:r w:rsidR="005D68E7" w:rsidRPr="00B53423">
        <w:rPr>
          <w:rFonts w:cstheme="minorHAnsi"/>
          <w:b/>
        </w:rPr>
        <w:fldChar w:fldCharType="end"/>
      </w:r>
      <w:r w:rsidR="00095176" w:rsidRPr="00B53423">
        <w:rPr>
          <w:rFonts w:cstheme="minorHAnsi"/>
          <w:b/>
        </w:rPr>
        <w:noBreakHyphen/>
      </w:r>
      <w:r w:rsidR="005D68E7" w:rsidRPr="00B53423">
        <w:rPr>
          <w:rFonts w:cstheme="minorHAnsi"/>
          <w:b/>
        </w:rPr>
        <w:fldChar w:fldCharType="begin"/>
      </w:r>
      <w:r w:rsidR="00095176" w:rsidRPr="00B53423">
        <w:rPr>
          <w:rFonts w:cstheme="minorHAnsi"/>
          <w:b/>
        </w:rPr>
        <w:instrText xml:space="preserve"> SEQ Table \* ARABIC \s 1 </w:instrText>
      </w:r>
      <w:r w:rsidR="005D68E7" w:rsidRPr="00B53423">
        <w:rPr>
          <w:rFonts w:cstheme="minorHAnsi"/>
          <w:b/>
        </w:rPr>
        <w:fldChar w:fldCharType="separate"/>
      </w:r>
      <w:r w:rsidR="00847C1B">
        <w:rPr>
          <w:rFonts w:cstheme="minorHAnsi"/>
          <w:b/>
          <w:noProof/>
        </w:rPr>
        <w:t>3</w:t>
      </w:r>
      <w:r w:rsidR="005D68E7" w:rsidRPr="00B53423">
        <w:rPr>
          <w:rFonts w:cstheme="minorHAnsi"/>
          <w:b/>
        </w:rPr>
        <w:fldChar w:fldCharType="end"/>
      </w:r>
      <w:r w:rsidR="00095176" w:rsidRPr="00B53423">
        <w:rPr>
          <w:rFonts w:cstheme="minorHAnsi"/>
          <w:b/>
        </w:rPr>
        <w:t>:</w:t>
      </w:r>
      <w:r w:rsidRPr="00B53423">
        <w:rPr>
          <w:rFonts w:cstheme="minorHAnsi"/>
          <w:b/>
        </w:rPr>
        <w:t xml:space="preserve"> APPROVED VOLTAGE-WISE WHEELING CHARGES FOR FY 2014-15</w:t>
      </w:r>
      <w:bookmarkEnd w:id="916"/>
    </w:p>
    <w:tbl>
      <w:tblPr>
        <w:tblW w:w="840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47"/>
        <w:gridCol w:w="4846"/>
        <w:gridCol w:w="1344"/>
        <w:gridCol w:w="1366"/>
      </w:tblGrid>
      <w:tr w:rsidR="001407B8" w:rsidRPr="00C20E39" w:rsidTr="001655C0">
        <w:trPr>
          <w:trHeight w:val="504"/>
          <w:tblHeader/>
          <w:jc w:val="center"/>
        </w:trPr>
        <w:tc>
          <w:tcPr>
            <w:tcW w:w="847" w:type="dxa"/>
            <w:shd w:val="clear" w:color="000000" w:fill="DCE6F1"/>
            <w:noWrap/>
            <w:vAlign w:val="center"/>
            <w:hideMark/>
          </w:tcPr>
          <w:p w:rsidR="001407B8" w:rsidRPr="00C20E39" w:rsidRDefault="001407B8" w:rsidP="0015232B">
            <w:pPr>
              <w:spacing w:before="0" w:line="240" w:lineRule="auto"/>
              <w:jc w:val="center"/>
              <w:rPr>
                <w:rFonts w:cs="Arial"/>
                <w:b/>
                <w:bCs/>
                <w:color w:val="000000"/>
                <w:kern w:val="32"/>
                <w:lang w:val="en-US"/>
              </w:rPr>
            </w:pPr>
            <w:r w:rsidRPr="00C20E39">
              <w:rPr>
                <w:b/>
                <w:bCs/>
                <w:color w:val="000000"/>
                <w:sz w:val="22"/>
                <w:szCs w:val="22"/>
                <w:lang w:val="en-US"/>
              </w:rPr>
              <w:t>S. No.</w:t>
            </w:r>
          </w:p>
        </w:tc>
        <w:tc>
          <w:tcPr>
            <w:tcW w:w="4846" w:type="dxa"/>
            <w:shd w:val="clear" w:color="000000" w:fill="DCE6F1"/>
            <w:noWrap/>
            <w:vAlign w:val="center"/>
            <w:hideMark/>
          </w:tcPr>
          <w:p w:rsidR="001407B8" w:rsidRPr="00C20E39" w:rsidRDefault="001407B8" w:rsidP="0015232B">
            <w:pPr>
              <w:spacing w:before="0" w:line="240" w:lineRule="auto"/>
              <w:jc w:val="center"/>
              <w:rPr>
                <w:rFonts w:cs="Arial"/>
                <w:b/>
                <w:bCs/>
                <w:color w:val="000000"/>
                <w:kern w:val="32"/>
                <w:lang w:val="en-US"/>
              </w:rPr>
            </w:pPr>
            <w:r w:rsidRPr="00C20E39">
              <w:rPr>
                <w:b/>
                <w:bCs/>
                <w:color w:val="000000"/>
                <w:sz w:val="22"/>
                <w:szCs w:val="22"/>
                <w:lang w:val="en-US"/>
              </w:rPr>
              <w:t>Particulars</w:t>
            </w:r>
          </w:p>
        </w:tc>
        <w:tc>
          <w:tcPr>
            <w:tcW w:w="1344" w:type="dxa"/>
            <w:shd w:val="clear" w:color="000000" w:fill="DCE6F1"/>
            <w:vAlign w:val="center"/>
            <w:hideMark/>
          </w:tcPr>
          <w:p w:rsidR="001407B8" w:rsidRPr="00C20E39" w:rsidRDefault="001407B8" w:rsidP="0015232B">
            <w:pPr>
              <w:spacing w:before="0" w:line="240" w:lineRule="auto"/>
              <w:jc w:val="center"/>
              <w:rPr>
                <w:rFonts w:cs="Arial"/>
                <w:b/>
                <w:bCs/>
                <w:color w:val="000000"/>
                <w:kern w:val="32"/>
                <w:lang w:val="en-US"/>
              </w:rPr>
            </w:pPr>
            <w:r w:rsidRPr="00C20E39">
              <w:rPr>
                <w:b/>
                <w:bCs/>
                <w:color w:val="000000"/>
                <w:sz w:val="22"/>
                <w:szCs w:val="22"/>
                <w:lang w:val="en-US"/>
              </w:rPr>
              <w:t>Units</w:t>
            </w:r>
          </w:p>
        </w:tc>
        <w:tc>
          <w:tcPr>
            <w:tcW w:w="1366" w:type="dxa"/>
            <w:shd w:val="clear" w:color="000000" w:fill="DCE6F1"/>
            <w:vAlign w:val="center"/>
            <w:hideMark/>
          </w:tcPr>
          <w:p w:rsidR="001407B8" w:rsidRPr="00C20E39" w:rsidRDefault="001407B8" w:rsidP="0015232B">
            <w:pPr>
              <w:spacing w:before="0" w:line="240" w:lineRule="auto"/>
              <w:jc w:val="center"/>
              <w:rPr>
                <w:rFonts w:cs="Arial"/>
                <w:b/>
                <w:bCs/>
                <w:color w:val="000000"/>
                <w:kern w:val="32"/>
                <w:lang w:val="en-US"/>
              </w:rPr>
            </w:pPr>
            <w:r w:rsidRPr="00C20E39">
              <w:rPr>
                <w:b/>
                <w:bCs/>
                <w:color w:val="000000"/>
                <w:sz w:val="22"/>
                <w:szCs w:val="22"/>
                <w:lang w:val="en-US"/>
              </w:rPr>
              <w:t>Approved FY 2014-15</w:t>
            </w:r>
          </w:p>
        </w:tc>
      </w:tr>
      <w:tr w:rsidR="001407B8" w:rsidRPr="00C20E39" w:rsidTr="001655C0">
        <w:trPr>
          <w:trHeight w:val="296"/>
          <w:jc w:val="center"/>
        </w:trPr>
        <w:tc>
          <w:tcPr>
            <w:tcW w:w="847" w:type="dxa"/>
            <w:shd w:val="clear" w:color="auto" w:fill="auto"/>
            <w:noWrap/>
            <w:vAlign w:val="center"/>
            <w:hideMark/>
          </w:tcPr>
          <w:p w:rsidR="001407B8" w:rsidRPr="00C20E39" w:rsidRDefault="001407B8" w:rsidP="0015232B">
            <w:pPr>
              <w:spacing w:before="0" w:line="240" w:lineRule="auto"/>
              <w:jc w:val="center"/>
              <w:rPr>
                <w:rFonts w:cs="Arial"/>
                <w:b/>
                <w:bCs/>
                <w:color w:val="333399"/>
                <w:kern w:val="32"/>
                <w:lang w:val="en-US"/>
              </w:rPr>
            </w:pPr>
            <w:r w:rsidRPr="00C20E39">
              <w:rPr>
                <w:sz w:val="22"/>
                <w:szCs w:val="22"/>
                <w:lang w:val="en-US"/>
              </w:rPr>
              <w:t>1</w:t>
            </w:r>
          </w:p>
        </w:tc>
        <w:tc>
          <w:tcPr>
            <w:tcW w:w="4846" w:type="dxa"/>
            <w:shd w:val="clear" w:color="auto" w:fill="auto"/>
            <w:vAlign w:val="center"/>
            <w:hideMark/>
          </w:tcPr>
          <w:p w:rsidR="001407B8" w:rsidRPr="00C20E39" w:rsidRDefault="001407B8" w:rsidP="0015232B">
            <w:pPr>
              <w:spacing w:before="0" w:line="240" w:lineRule="auto"/>
              <w:jc w:val="left"/>
              <w:rPr>
                <w:rFonts w:cs="Arial"/>
                <w:b/>
                <w:bCs/>
                <w:color w:val="333399"/>
                <w:kern w:val="32"/>
                <w:lang w:val="en-US"/>
              </w:rPr>
            </w:pPr>
            <w:r w:rsidRPr="00C20E39">
              <w:rPr>
                <w:sz w:val="22"/>
                <w:szCs w:val="22"/>
                <w:lang w:val="en-US"/>
              </w:rPr>
              <w:t>Connected at 11 kV</w:t>
            </w:r>
          </w:p>
        </w:tc>
        <w:tc>
          <w:tcPr>
            <w:tcW w:w="1344" w:type="dxa"/>
            <w:shd w:val="clear" w:color="auto" w:fill="auto"/>
            <w:vAlign w:val="center"/>
            <w:hideMark/>
          </w:tcPr>
          <w:p w:rsidR="001407B8" w:rsidRPr="00C20E39" w:rsidRDefault="001407B8" w:rsidP="0015232B">
            <w:pPr>
              <w:spacing w:before="0" w:line="240" w:lineRule="auto"/>
              <w:jc w:val="center"/>
              <w:rPr>
                <w:lang w:val="en-US"/>
              </w:rPr>
            </w:pPr>
          </w:p>
        </w:tc>
        <w:tc>
          <w:tcPr>
            <w:tcW w:w="1366" w:type="dxa"/>
            <w:shd w:val="clear" w:color="auto" w:fill="auto"/>
            <w:noWrap/>
            <w:vAlign w:val="center"/>
            <w:hideMark/>
          </w:tcPr>
          <w:p w:rsidR="001407B8" w:rsidRPr="00C20E39" w:rsidRDefault="001407B8" w:rsidP="0015232B">
            <w:pPr>
              <w:spacing w:before="0" w:line="240" w:lineRule="auto"/>
              <w:jc w:val="center"/>
              <w:rPr>
                <w:color w:val="000000"/>
                <w:lang w:val="en-US"/>
              </w:rPr>
            </w:pPr>
          </w:p>
        </w:tc>
      </w:tr>
      <w:tr w:rsidR="00621767" w:rsidRPr="00C20E39" w:rsidTr="00C20E39">
        <w:trPr>
          <w:trHeight w:val="296"/>
          <w:jc w:val="center"/>
        </w:trPr>
        <w:tc>
          <w:tcPr>
            <w:tcW w:w="847" w:type="dxa"/>
            <w:shd w:val="clear" w:color="auto" w:fill="auto"/>
            <w:noWrap/>
            <w:vAlign w:val="center"/>
            <w:hideMark/>
          </w:tcPr>
          <w:p w:rsidR="00621767" w:rsidRPr="00C20E39" w:rsidRDefault="00621767" w:rsidP="0015232B">
            <w:pPr>
              <w:spacing w:before="0" w:line="240" w:lineRule="auto"/>
              <w:jc w:val="center"/>
              <w:rPr>
                <w:lang w:val="en-US"/>
              </w:rPr>
            </w:pPr>
            <w:r w:rsidRPr="00C20E39">
              <w:rPr>
                <w:sz w:val="22"/>
                <w:szCs w:val="22"/>
                <w:lang w:val="en-US"/>
              </w:rPr>
              <w:t>I</w:t>
            </w:r>
          </w:p>
        </w:tc>
        <w:tc>
          <w:tcPr>
            <w:tcW w:w="4846" w:type="dxa"/>
            <w:shd w:val="clear" w:color="auto" w:fill="auto"/>
            <w:vAlign w:val="center"/>
            <w:hideMark/>
          </w:tcPr>
          <w:p w:rsidR="00621767" w:rsidRPr="00C20E39" w:rsidRDefault="00621767" w:rsidP="0015232B">
            <w:pPr>
              <w:spacing w:before="0" w:line="240" w:lineRule="auto"/>
              <w:jc w:val="left"/>
              <w:rPr>
                <w:lang w:val="en-US"/>
              </w:rPr>
            </w:pPr>
            <w:r w:rsidRPr="00C20E39">
              <w:rPr>
                <w:sz w:val="22"/>
                <w:szCs w:val="22"/>
                <w:lang w:val="en-US"/>
              </w:rPr>
              <w:t>Long Term (@ 80% of Average Wheeling Charge)</w:t>
            </w:r>
          </w:p>
        </w:tc>
        <w:tc>
          <w:tcPr>
            <w:tcW w:w="1344" w:type="dxa"/>
            <w:shd w:val="clear" w:color="auto" w:fill="auto"/>
            <w:vAlign w:val="center"/>
            <w:hideMark/>
          </w:tcPr>
          <w:p w:rsidR="00621767" w:rsidRPr="00C20E39" w:rsidRDefault="00621767" w:rsidP="0015232B">
            <w:pPr>
              <w:spacing w:before="0" w:line="240" w:lineRule="auto"/>
              <w:jc w:val="center"/>
              <w:rPr>
                <w:lang w:val="en-US"/>
              </w:rPr>
            </w:pPr>
            <w:r w:rsidRPr="00C20E39">
              <w:rPr>
                <w:sz w:val="22"/>
                <w:szCs w:val="22"/>
                <w:lang w:val="en-US"/>
              </w:rPr>
              <w:t>Rs./kWh</w:t>
            </w:r>
          </w:p>
        </w:tc>
        <w:tc>
          <w:tcPr>
            <w:tcW w:w="1366" w:type="dxa"/>
            <w:shd w:val="clear" w:color="auto" w:fill="auto"/>
            <w:noWrap/>
            <w:vAlign w:val="center"/>
            <w:hideMark/>
          </w:tcPr>
          <w:p w:rsidR="00621767" w:rsidRPr="00C20E39" w:rsidRDefault="008E5045" w:rsidP="00C20E39">
            <w:pPr>
              <w:spacing w:before="0" w:line="240" w:lineRule="auto"/>
              <w:jc w:val="right"/>
            </w:pPr>
            <w:r w:rsidRPr="00C20E39">
              <w:rPr>
                <w:rFonts w:cs="Calibri"/>
                <w:color w:val="000000"/>
                <w:sz w:val="22"/>
                <w:szCs w:val="22"/>
              </w:rPr>
              <w:t>0.51</w:t>
            </w:r>
            <w:r w:rsidR="004604CE" w:rsidRPr="00C20E39">
              <w:rPr>
                <w:rFonts w:cs="Calibri"/>
                <w:color w:val="000000"/>
                <w:sz w:val="22"/>
                <w:szCs w:val="22"/>
              </w:rPr>
              <w:t>7</w:t>
            </w:r>
          </w:p>
        </w:tc>
      </w:tr>
      <w:tr w:rsidR="00621767" w:rsidRPr="00C20E39" w:rsidTr="00C20E39">
        <w:trPr>
          <w:trHeight w:val="296"/>
          <w:jc w:val="center"/>
        </w:trPr>
        <w:tc>
          <w:tcPr>
            <w:tcW w:w="847" w:type="dxa"/>
            <w:shd w:val="clear" w:color="auto" w:fill="auto"/>
            <w:noWrap/>
            <w:vAlign w:val="center"/>
            <w:hideMark/>
          </w:tcPr>
          <w:p w:rsidR="00621767" w:rsidRPr="00C20E39" w:rsidRDefault="00621767" w:rsidP="0015232B">
            <w:pPr>
              <w:spacing w:before="0" w:line="240" w:lineRule="auto"/>
              <w:jc w:val="center"/>
              <w:rPr>
                <w:lang w:val="en-US"/>
              </w:rPr>
            </w:pPr>
            <w:r w:rsidRPr="00C20E39">
              <w:rPr>
                <w:sz w:val="22"/>
                <w:szCs w:val="22"/>
                <w:lang w:val="en-US"/>
              </w:rPr>
              <w:t>II</w:t>
            </w:r>
          </w:p>
        </w:tc>
        <w:tc>
          <w:tcPr>
            <w:tcW w:w="4846" w:type="dxa"/>
            <w:shd w:val="clear" w:color="auto" w:fill="auto"/>
            <w:vAlign w:val="center"/>
            <w:hideMark/>
          </w:tcPr>
          <w:p w:rsidR="00621767" w:rsidRPr="00C20E39" w:rsidRDefault="00621767" w:rsidP="0015232B">
            <w:pPr>
              <w:spacing w:before="0" w:line="240" w:lineRule="auto"/>
              <w:jc w:val="left"/>
              <w:rPr>
                <w:lang w:val="en-US"/>
              </w:rPr>
            </w:pPr>
            <w:r w:rsidRPr="00C20E39">
              <w:rPr>
                <w:sz w:val="22"/>
                <w:szCs w:val="22"/>
                <w:lang w:val="en-US"/>
              </w:rPr>
              <w:t>Short Term (@ 80% of Average Wheeling Charge)</w:t>
            </w:r>
          </w:p>
        </w:tc>
        <w:tc>
          <w:tcPr>
            <w:tcW w:w="1344" w:type="dxa"/>
            <w:shd w:val="clear" w:color="auto" w:fill="auto"/>
            <w:vAlign w:val="center"/>
            <w:hideMark/>
          </w:tcPr>
          <w:p w:rsidR="00621767" w:rsidRPr="00C20E39" w:rsidRDefault="00621767" w:rsidP="0015232B">
            <w:pPr>
              <w:spacing w:before="0" w:line="240" w:lineRule="auto"/>
              <w:jc w:val="center"/>
              <w:rPr>
                <w:lang w:val="en-US"/>
              </w:rPr>
            </w:pPr>
            <w:r w:rsidRPr="00C20E39">
              <w:rPr>
                <w:sz w:val="22"/>
                <w:szCs w:val="22"/>
                <w:lang w:val="en-US"/>
              </w:rPr>
              <w:t>Rs./kWh</w:t>
            </w:r>
          </w:p>
        </w:tc>
        <w:tc>
          <w:tcPr>
            <w:tcW w:w="1366" w:type="dxa"/>
            <w:shd w:val="clear" w:color="auto" w:fill="auto"/>
            <w:noWrap/>
            <w:vAlign w:val="center"/>
            <w:hideMark/>
          </w:tcPr>
          <w:p w:rsidR="00621767" w:rsidRPr="00C20E39" w:rsidRDefault="008E5045" w:rsidP="00C20E39">
            <w:pPr>
              <w:spacing w:before="0" w:line="240" w:lineRule="auto"/>
              <w:jc w:val="right"/>
            </w:pPr>
            <w:r w:rsidRPr="00C20E39">
              <w:rPr>
                <w:rFonts w:cs="Calibri"/>
                <w:color w:val="000000"/>
                <w:sz w:val="22"/>
                <w:szCs w:val="22"/>
              </w:rPr>
              <w:t>0.51</w:t>
            </w:r>
            <w:r w:rsidR="004604CE" w:rsidRPr="00C20E39">
              <w:rPr>
                <w:rFonts w:cs="Calibri"/>
                <w:color w:val="000000"/>
                <w:sz w:val="22"/>
                <w:szCs w:val="22"/>
              </w:rPr>
              <w:t>7</w:t>
            </w:r>
          </w:p>
        </w:tc>
      </w:tr>
      <w:tr w:rsidR="00621767" w:rsidRPr="00C20E39" w:rsidTr="00C20E39">
        <w:trPr>
          <w:trHeight w:val="296"/>
          <w:jc w:val="center"/>
        </w:trPr>
        <w:tc>
          <w:tcPr>
            <w:tcW w:w="847" w:type="dxa"/>
            <w:shd w:val="clear" w:color="auto" w:fill="auto"/>
            <w:noWrap/>
            <w:vAlign w:val="center"/>
            <w:hideMark/>
          </w:tcPr>
          <w:p w:rsidR="00621767" w:rsidRPr="00C20E39" w:rsidRDefault="00621767" w:rsidP="0015232B">
            <w:pPr>
              <w:spacing w:before="0" w:line="240" w:lineRule="auto"/>
              <w:jc w:val="center"/>
              <w:rPr>
                <w:lang w:val="en-US"/>
              </w:rPr>
            </w:pPr>
            <w:r w:rsidRPr="00C20E39">
              <w:rPr>
                <w:sz w:val="22"/>
                <w:szCs w:val="22"/>
                <w:lang w:val="en-US"/>
              </w:rPr>
              <w:t>2</w:t>
            </w:r>
          </w:p>
        </w:tc>
        <w:tc>
          <w:tcPr>
            <w:tcW w:w="4846" w:type="dxa"/>
            <w:shd w:val="clear" w:color="auto" w:fill="auto"/>
            <w:vAlign w:val="center"/>
            <w:hideMark/>
          </w:tcPr>
          <w:p w:rsidR="00621767" w:rsidRPr="00C20E39" w:rsidRDefault="00621767" w:rsidP="0015232B">
            <w:pPr>
              <w:spacing w:before="0" w:line="240" w:lineRule="auto"/>
              <w:jc w:val="left"/>
              <w:rPr>
                <w:lang w:val="en-US"/>
              </w:rPr>
            </w:pPr>
            <w:r w:rsidRPr="00C20E39">
              <w:rPr>
                <w:sz w:val="22"/>
                <w:szCs w:val="22"/>
                <w:lang w:val="en-US"/>
              </w:rPr>
              <w:t>Connected above 11 kV</w:t>
            </w:r>
          </w:p>
        </w:tc>
        <w:tc>
          <w:tcPr>
            <w:tcW w:w="1344" w:type="dxa"/>
            <w:shd w:val="clear" w:color="auto" w:fill="auto"/>
            <w:vAlign w:val="center"/>
            <w:hideMark/>
          </w:tcPr>
          <w:p w:rsidR="00621767" w:rsidRPr="00C20E39" w:rsidRDefault="00621767" w:rsidP="0015232B">
            <w:pPr>
              <w:spacing w:before="0" w:line="240" w:lineRule="auto"/>
              <w:jc w:val="center"/>
              <w:rPr>
                <w:lang w:val="en-US"/>
              </w:rPr>
            </w:pPr>
          </w:p>
        </w:tc>
        <w:tc>
          <w:tcPr>
            <w:tcW w:w="1366" w:type="dxa"/>
            <w:shd w:val="clear" w:color="auto" w:fill="auto"/>
            <w:noWrap/>
            <w:vAlign w:val="center"/>
            <w:hideMark/>
          </w:tcPr>
          <w:p w:rsidR="00621767" w:rsidRPr="00C20E39" w:rsidRDefault="008E5045" w:rsidP="00C20E39">
            <w:pPr>
              <w:spacing w:before="0" w:line="240" w:lineRule="auto"/>
              <w:jc w:val="right"/>
            </w:pPr>
            <w:r w:rsidRPr="00C20E39">
              <w:rPr>
                <w:rFonts w:cs="Calibri"/>
                <w:color w:val="000000"/>
                <w:sz w:val="22"/>
                <w:szCs w:val="22"/>
              </w:rPr>
              <w:t> </w:t>
            </w:r>
          </w:p>
        </w:tc>
      </w:tr>
      <w:tr w:rsidR="00621767" w:rsidRPr="00C20E39" w:rsidTr="00C20E39">
        <w:trPr>
          <w:trHeight w:val="296"/>
          <w:jc w:val="center"/>
        </w:trPr>
        <w:tc>
          <w:tcPr>
            <w:tcW w:w="847" w:type="dxa"/>
            <w:shd w:val="clear" w:color="auto" w:fill="auto"/>
            <w:noWrap/>
            <w:vAlign w:val="center"/>
            <w:hideMark/>
          </w:tcPr>
          <w:p w:rsidR="00621767" w:rsidRPr="00C20E39" w:rsidRDefault="00621767" w:rsidP="0015232B">
            <w:pPr>
              <w:spacing w:before="0" w:line="240" w:lineRule="auto"/>
              <w:jc w:val="center"/>
              <w:rPr>
                <w:lang w:val="en-US"/>
              </w:rPr>
            </w:pPr>
            <w:r w:rsidRPr="00C20E39">
              <w:rPr>
                <w:sz w:val="22"/>
                <w:szCs w:val="22"/>
                <w:lang w:val="en-US"/>
              </w:rPr>
              <w:t>I</w:t>
            </w:r>
          </w:p>
        </w:tc>
        <w:tc>
          <w:tcPr>
            <w:tcW w:w="4846" w:type="dxa"/>
            <w:shd w:val="clear" w:color="auto" w:fill="auto"/>
            <w:vAlign w:val="center"/>
            <w:hideMark/>
          </w:tcPr>
          <w:p w:rsidR="00621767" w:rsidRPr="00C20E39" w:rsidRDefault="00621767" w:rsidP="0015232B">
            <w:pPr>
              <w:spacing w:before="0" w:line="240" w:lineRule="auto"/>
              <w:jc w:val="left"/>
              <w:rPr>
                <w:lang w:val="en-US"/>
              </w:rPr>
            </w:pPr>
            <w:r w:rsidRPr="00C20E39">
              <w:rPr>
                <w:sz w:val="22"/>
                <w:szCs w:val="22"/>
                <w:lang w:val="en-US"/>
              </w:rPr>
              <w:t>Long Term (@ 50% of Average Wheeling Charge)</w:t>
            </w:r>
          </w:p>
        </w:tc>
        <w:tc>
          <w:tcPr>
            <w:tcW w:w="1344" w:type="dxa"/>
            <w:shd w:val="clear" w:color="auto" w:fill="auto"/>
            <w:hideMark/>
          </w:tcPr>
          <w:p w:rsidR="00621767" w:rsidRPr="00C20E39" w:rsidRDefault="00621767" w:rsidP="0015232B">
            <w:pPr>
              <w:spacing w:before="0" w:line="240" w:lineRule="auto"/>
              <w:jc w:val="center"/>
              <w:rPr>
                <w:lang w:val="en-US"/>
              </w:rPr>
            </w:pPr>
            <w:r w:rsidRPr="00C20E39">
              <w:rPr>
                <w:sz w:val="22"/>
                <w:szCs w:val="22"/>
                <w:lang w:val="en-US"/>
              </w:rPr>
              <w:t>Rs./kWh</w:t>
            </w:r>
          </w:p>
        </w:tc>
        <w:tc>
          <w:tcPr>
            <w:tcW w:w="1366" w:type="dxa"/>
            <w:shd w:val="clear" w:color="auto" w:fill="auto"/>
            <w:noWrap/>
            <w:vAlign w:val="center"/>
            <w:hideMark/>
          </w:tcPr>
          <w:p w:rsidR="00621767" w:rsidRPr="00C20E39" w:rsidRDefault="008E5045" w:rsidP="00C20E39">
            <w:pPr>
              <w:spacing w:before="0" w:line="240" w:lineRule="auto"/>
              <w:jc w:val="right"/>
            </w:pPr>
            <w:r w:rsidRPr="00C20E39">
              <w:rPr>
                <w:rFonts w:cs="Calibri"/>
                <w:color w:val="000000"/>
                <w:sz w:val="22"/>
                <w:szCs w:val="22"/>
              </w:rPr>
              <w:t>0.32</w:t>
            </w:r>
            <w:r w:rsidR="004604CE" w:rsidRPr="00C20E39">
              <w:rPr>
                <w:rFonts w:cs="Calibri"/>
                <w:color w:val="000000"/>
                <w:sz w:val="22"/>
                <w:szCs w:val="22"/>
              </w:rPr>
              <w:t>3</w:t>
            </w:r>
          </w:p>
        </w:tc>
      </w:tr>
      <w:tr w:rsidR="00621767" w:rsidRPr="00C20E39" w:rsidTr="00C20E39">
        <w:trPr>
          <w:trHeight w:val="296"/>
          <w:jc w:val="center"/>
        </w:trPr>
        <w:tc>
          <w:tcPr>
            <w:tcW w:w="847" w:type="dxa"/>
            <w:shd w:val="clear" w:color="auto" w:fill="auto"/>
            <w:noWrap/>
            <w:vAlign w:val="center"/>
            <w:hideMark/>
          </w:tcPr>
          <w:p w:rsidR="00621767" w:rsidRPr="00C20E39" w:rsidRDefault="00621767" w:rsidP="0015232B">
            <w:pPr>
              <w:spacing w:before="0" w:line="240" w:lineRule="auto"/>
              <w:jc w:val="center"/>
              <w:rPr>
                <w:lang w:val="en-US"/>
              </w:rPr>
            </w:pPr>
            <w:r w:rsidRPr="00C20E39">
              <w:rPr>
                <w:sz w:val="22"/>
                <w:szCs w:val="22"/>
                <w:lang w:val="en-US"/>
              </w:rPr>
              <w:t>II</w:t>
            </w:r>
          </w:p>
        </w:tc>
        <w:tc>
          <w:tcPr>
            <w:tcW w:w="4846" w:type="dxa"/>
            <w:shd w:val="clear" w:color="auto" w:fill="auto"/>
            <w:vAlign w:val="center"/>
            <w:hideMark/>
          </w:tcPr>
          <w:p w:rsidR="00621767" w:rsidRPr="00C20E39" w:rsidRDefault="00621767" w:rsidP="0015232B">
            <w:pPr>
              <w:spacing w:before="0" w:line="240" w:lineRule="auto"/>
              <w:jc w:val="left"/>
              <w:rPr>
                <w:lang w:val="en-US"/>
              </w:rPr>
            </w:pPr>
            <w:r w:rsidRPr="00C20E39">
              <w:rPr>
                <w:sz w:val="22"/>
                <w:szCs w:val="22"/>
                <w:lang w:val="en-US"/>
              </w:rPr>
              <w:t>Short Term (@ 50% of Average Wheeling Charge)</w:t>
            </w:r>
          </w:p>
        </w:tc>
        <w:tc>
          <w:tcPr>
            <w:tcW w:w="1344" w:type="dxa"/>
            <w:shd w:val="clear" w:color="auto" w:fill="auto"/>
            <w:hideMark/>
          </w:tcPr>
          <w:p w:rsidR="00621767" w:rsidRPr="00C20E39" w:rsidRDefault="00621767" w:rsidP="0015232B">
            <w:pPr>
              <w:spacing w:before="0" w:line="240" w:lineRule="auto"/>
              <w:jc w:val="center"/>
              <w:rPr>
                <w:lang w:val="en-US"/>
              </w:rPr>
            </w:pPr>
            <w:r w:rsidRPr="00C20E39">
              <w:rPr>
                <w:sz w:val="22"/>
                <w:szCs w:val="22"/>
                <w:lang w:val="en-US"/>
              </w:rPr>
              <w:t>Rs./kWh</w:t>
            </w:r>
          </w:p>
        </w:tc>
        <w:tc>
          <w:tcPr>
            <w:tcW w:w="1366" w:type="dxa"/>
            <w:shd w:val="clear" w:color="auto" w:fill="auto"/>
            <w:noWrap/>
            <w:vAlign w:val="center"/>
            <w:hideMark/>
          </w:tcPr>
          <w:p w:rsidR="00621767" w:rsidRPr="00C20E39" w:rsidRDefault="008E5045" w:rsidP="00C20E39">
            <w:pPr>
              <w:spacing w:before="0" w:line="240" w:lineRule="auto"/>
              <w:jc w:val="right"/>
            </w:pPr>
            <w:r w:rsidRPr="00C20E39">
              <w:rPr>
                <w:rFonts w:cs="Calibri"/>
                <w:color w:val="000000"/>
                <w:sz w:val="22"/>
                <w:szCs w:val="22"/>
              </w:rPr>
              <w:t>0.32</w:t>
            </w:r>
            <w:r w:rsidR="004604CE" w:rsidRPr="00C20E39">
              <w:rPr>
                <w:rFonts w:cs="Calibri"/>
                <w:color w:val="000000"/>
                <w:sz w:val="22"/>
                <w:szCs w:val="22"/>
              </w:rPr>
              <w:t>3</w:t>
            </w:r>
          </w:p>
        </w:tc>
      </w:tr>
    </w:tbl>
    <w:p w:rsidR="001407B8" w:rsidRPr="00B53423" w:rsidRDefault="001407B8" w:rsidP="0015232B">
      <w:pPr>
        <w:spacing w:before="0"/>
      </w:pPr>
    </w:p>
    <w:p w:rsidR="008E5045" w:rsidRPr="00B53423" w:rsidRDefault="005E3624" w:rsidP="0015232B">
      <w:pPr>
        <w:pStyle w:val="Heading3"/>
        <w:keepNext w:val="0"/>
        <w:spacing w:before="120" w:after="120"/>
        <w:ind w:hanging="1080"/>
      </w:pPr>
      <w:r w:rsidRPr="00B53423">
        <w:rPr>
          <w:rFonts w:cs="Arial"/>
          <w:bCs w:val="0"/>
          <w:szCs w:val="26"/>
        </w:rPr>
        <w:t>In addition to the payment of wheeling charges, the customers also have to bear the wheeling losses in kind. The Commission has been seeking voltage level loss data from the utility but the same has not been forthcoming. Further, it is also logical that the open access customers have to bear only the technical losses in the system, and should not be asked to bear any part of the commercial losses</w:t>
      </w:r>
      <w:r w:rsidR="001407B8" w:rsidRPr="00B53423">
        <w:t>.</w:t>
      </w:r>
    </w:p>
    <w:p w:rsidR="008E5045" w:rsidRPr="00B53423" w:rsidRDefault="008E5045" w:rsidP="0015232B">
      <w:pPr>
        <w:pStyle w:val="Heading3"/>
        <w:keepNext w:val="0"/>
        <w:numPr>
          <w:ilvl w:val="0"/>
          <w:numId w:val="0"/>
        </w:numPr>
        <w:spacing w:before="120" w:after="120"/>
        <w:ind w:left="720"/>
      </w:pPr>
    </w:p>
    <w:p w:rsidR="008E5045" w:rsidRPr="00B53423" w:rsidRDefault="005E3624" w:rsidP="0015232B">
      <w:pPr>
        <w:pStyle w:val="Heading3"/>
        <w:keepNext w:val="0"/>
        <w:spacing w:before="120" w:after="120"/>
        <w:ind w:hanging="1080"/>
      </w:pPr>
      <w:r w:rsidRPr="00B53423">
        <w:rPr>
          <w:rFonts w:cs="Arial"/>
          <w:bCs w:val="0"/>
          <w:szCs w:val="26"/>
        </w:rPr>
        <w:t>The Commission has estimated that the technical losses at 11 kV voltage level would be in the range of 8% to 9%. As regard the technical losses above 11 kV voltage levels and up to 132 kV, the Petitioner vide letter dated 2</w:t>
      </w:r>
      <w:r w:rsidRPr="00B53423">
        <w:rPr>
          <w:rFonts w:cs="Arial"/>
          <w:bCs w:val="0"/>
          <w:szCs w:val="26"/>
          <w:vertAlign w:val="superscript"/>
        </w:rPr>
        <w:t xml:space="preserve">nd </w:t>
      </w:r>
      <w:r w:rsidRPr="00B53423">
        <w:rPr>
          <w:rFonts w:cs="Arial"/>
          <w:bCs w:val="0"/>
          <w:szCs w:val="26"/>
        </w:rPr>
        <w:t>July, 2014 submitted that the losses at higher voltage levels is around 4% to 5%. Hence, the Commission has decided that the wheeling loss applicable for Open Access transactions entailing drawl at 11 kV voltage level shall be 8%, and that for drawl at voltages above 11 kV voltage level shall be 4%</w:t>
      </w:r>
      <w:r w:rsidR="001407B8" w:rsidRPr="00B53423">
        <w:t>.</w:t>
      </w:r>
    </w:p>
    <w:p w:rsidR="008E5045" w:rsidRPr="00B53423" w:rsidRDefault="008E5045" w:rsidP="0015232B">
      <w:pPr>
        <w:pStyle w:val="Heading3"/>
        <w:keepNext w:val="0"/>
        <w:numPr>
          <w:ilvl w:val="0"/>
          <w:numId w:val="0"/>
        </w:numPr>
        <w:spacing w:before="120" w:after="120"/>
        <w:ind w:left="720"/>
      </w:pPr>
    </w:p>
    <w:p w:rsidR="008E5045" w:rsidRPr="00B53423" w:rsidRDefault="001407B8" w:rsidP="0015232B">
      <w:pPr>
        <w:pStyle w:val="Heading3"/>
        <w:keepNext w:val="0"/>
        <w:spacing w:before="120" w:after="120"/>
        <w:ind w:hanging="1080"/>
      </w:pPr>
      <w:r w:rsidRPr="00B53423">
        <w:t>The open access charges and the losses to be borne by the Open Access customers may be reviewed by the Commission on submission of the relevant information by the Licensee.</w:t>
      </w:r>
    </w:p>
    <w:p w:rsidR="008E5045" w:rsidRPr="00B53423" w:rsidRDefault="008E5045" w:rsidP="0015232B">
      <w:pPr>
        <w:pStyle w:val="Heading3"/>
        <w:keepNext w:val="0"/>
        <w:numPr>
          <w:ilvl w:val="0"/>
          <w:numId w:val="0"/>
        </w:numPr>
        <w:spacing w:before="120" w:after="120"/>
        <w:ind w:left="720"/>
      </w:pPr>
    </w:p>
    <w:p w:rsidR="008E5045" w:rsidRPr="00B53423" w:rsidRDefault="001407B8" w:rsidP="0015232B">
      <w:pPr>
        <w:pStyle w:val="Heading3"/>
        <w:keepNext w:val="0"/>
        <w:spacing w:before="120" w:after="120"/>
        <w:ind w:hanging="1080"/>
      </w:pPr>
      <w:r w:rsidRPr="00B53423">
        <w:t xml:space="preserve">The wheeling charges determined above shall not be payable if the Open Access customer is availing supply directly from the </w:t>
      </w:r>
      <w:r w:rsidR="005E3624" w:rsidRPr="00B53423">
        <w:t>S</w:t>
      </w:r>
      <w:r w:rsidRPr="00B53423">
        <w:t>tate transmission network.</w:t>
      </w:r>
    </w:p>
    <w:p w:rsidR="005B31C0" w:rsidRPr="00B53423" w:rsidRDefault="005B31C0" w:rsidP="0015232B">
      <w:pPr>
        <w:pStyle w:val="ListParagraph"/>
      </w:pPr>
    </w:p>
    <w:p w:rsidR="008E5045" w:rsidRPr="00B53423" w:rsidRDefault="001407B8" w:rsidP="0015232B">
      <w:pPr>
        <w:pStyle w:val="Heading2"/>
        <w:keepNext w:val="0"/>
        <w:autoSpaceDE w:val="0"/>
        <w:autoSpaceDN w:val="0"/>
        <w:adjustRightInd w:val="0"/>
        <w:spacing w:before="120" w:after="120"/>
        <w:ind w:left="720" w:hanging="1080"/>
        <w:contextualSpacing/>
      </w:pPr>
      <w:bookmarkStart w:id="917" w:name="_Toc399507443"/>
      <w:bookmarkStart w:id="918" w:name="_Toc399507626"/>
      <w:bookmarkStart w:id="919" w:name="_Toc399507806"/>
      <w:bookmarkStart w:id="920" w:name="_Toc399507985"/>
      <w:bookmarkStart w:id="921" w:name="_Toc399508153"/>
      <w:bookmarkStart w:id="922" w:name="_Toc399514187"/>
      <w:bookmarkStart w:id="923" w:name="_Toc399514367"/>
      <w:bookmarkStart w:id="924" w:name="_Toc399514535"/>
      <w:bookmarkStart w:id="925" w:name="_Toc399626244"/>
      <w:bookmarkEnd w:id="917"/>
      <w:bookmarkEnd w:id="918"/>
      <w:bookmarkEnd w:id="919"/>
      <w:bookmarkEnd w:id="920"/>
      <w:bookmarkEnd w:id="921"/>
      <w:bookmarkEnd w:id="922"/>
      <w:bookmarkEnd w:id="923"/>
      <w:bookmarkEnd w:id="924"/>
      <w:r w:rsidRPr="00B53423">
        <w:t>CROSS SUBSIDY SURCHARGE</w:t>
      </w:r>
      <w:bookmarkEnd w:id="925"/>
    </w:p>
    <w:p w:rsidR="008E5045" w:rsidRPr="00B53423" w:rsidRDefault="001407B8" w:rsidP="0015232B">
      <w:pPr>
        <w:pStyle w:val="Heading3"/>
        <w:keepNext w:val="0"/>
        <w:spacing w:before="120" w:after="120"/>
        <w:ind w:hanging="1080"/>
      </w:pPr>
      <w:r w:rsidRPr="00B53423">
        <w:t>As regards the Cross Subsidy Surcharge, Regulation 6.6 of the Distribution Tariff Regulations, 2006 specifies as follows:</w:t>
      </w:r>
    </w:p>
    <w:p w:rsidR="001407B8" w:rsidRPr="00B53423" w:rsidRDefault="001407B8" w:rsidP="0015232B">
      <w:pPr>
        <w:spacing w:before="0"/>
      </w:pPr>
    </w:p>
    <w:p w:rsidR="001407B8" w:rsidRPr="00B53423" w:rsidRDefault="001407B8" w:rsidP="0015232B">
      <w:pPr>
        <w:autoSpaceDE w:val="0"/>
        <w:autoSpaceDN w:val="0"/>
        <w:adjustRightInd w:val="0"/>
        <w:spacing w:line="312" w:lineRule="auto"/>
        <w:ind w:left="720" w:firstLine="720"/>
        <w:rPr>
          <w:rFonts w:cstheme="minorHAnsi"/>
          <w:b/>
          <w:bCs/>
          <w:i/>
        </w:rPr>
      </w:pPr>
      <w:r w:rsidRPr="00B53423">
        <w:rPr>
          <w:rFonts w:cstheme="minorHAnsi"/>
          <w:b/>
          <w:bCs/>
          <w:i/>
        </w:rPr>
        <w:t>“6.6 Surcharge</w:t>
      </w:r>
    </w:p>
    <w:p w:rsidR="001407B8" w:rsidRPr="00B53423" w:rsidRDefault="001407B8" w:rsidP="0015232B">
      <w:pPr>
        <w:autoSpaceDE w:val="0"/>
        <w:autoSpaceDN w:val="0"/>
        <w:adjustRightInd w:val="0"/>
        <w:spacing w:line="312" w:lineRule="auto"/>
        <w:ind w:left="1440"/>
        <w:rPr>
          <w:rFonts w:cstheme="minorHAnsi"/>
          <w:i/>
        </w:rPr>
      </w:pPr>
      <w:r w:rsidRPr="00B53423">
        <w:rPr>
          <w:rFonts w:cstheme="minorHAnsi"/>
          <w:i/>
        </w:rPr>
        <w:t>1. Till such time the cross subsidies are eliminated, the open access consumer shall pay to the distribution licensee a cross subsidy surcharge in addition to wheeling charges. Surcharge to be levied on the open access consumer shall be determined by the Commission keeping in view the loss of cross-subsidy from the consumers or category of consumers who have opted for open access to take supply from a person other than the incumbent distribution licensee.</w:t>
      </w:r>
    </w:p>
    <w:p w:rsidR="001407B8" w:rsidRPr="00B53423" w:rsidRDefault="001407B8" w:rsidP="0015232B">
      <w:pPr>
        <w:autoSpaceDE w:val="0"/>
        <w:autoSpaceDN w:val="0"/>
        <w:adjustRightInd w:val="0"/>
        <w:spacing w:line="312" w:lineRule="auto"/>
        <w:ind w:left="1440"/>
        <w:rPr>
          <w:rFonts w:cstheme="minorHAnsi"/>
          <w:i/>
        </w:rPr>
      </w:pPr>
      <w:r w:rsidRPr="00B53423">
        <w:rPr>
          <w:rFonts w:cstheme="minorHAnsi"/>
          <w:i/>
        </w:rPr>
        <w:t>2. When open access is allowed the surcharge for the purpose of sections 38, 39, 40 and sub-section 2 of section 42 would be computed as the difference between (i) the tariff applicable to the relevant category of consumers and (ii) the cost of the distribution licensee to supply electricity to the consumers of the applicable class. In case of a consumer opting for open access, the distribution licensee could be in a position to discontinue purchase of power at the margin in the merit order. Accordingly, the cost of supply to the consumer for this purpose may be computed as the aggregate of (a) the weighted average of power purchase costs (inclusive of fixed and variable charges) of top 5% power at the margin, excluding liquid fuel based generation, in the merit order approved by the UPERC adjusted for average loss compensation of the relevant voltage level and (b) the transmission and distribution wheeling charges as determined in accordance with the UPERC Terms and Conditions for Determination of Distribution and Transmission Tariff Regulations as amended from time to time.</w:t>
      </w:r>
    </w:p>
    <w:p w:rsidR="001407B8" w:rsidRPr="00B53423" w:rsidRDefault="001407B8" w:rsidP="0015232B">
      <w:pPr>
        <w:autoSpaceDE w:val="0"/>
        <w:autoSpaceDN w:val="0"/>
        <w:adjustRightInd w:val="0"/>
        <w:spacing w:line="312" w:lineRule="auto"/>
        <w:ind w:left="720" w:firstLine="720"/>
        <w:rPr>
          <w:rFonts w:cstheme="minorHAnsi"/>
          <w:i/>
        </w:rPr>
      </w:pPr>
      <w:r w:rsidRPr="00B53423">
        <w:rPr>
          <w:rFonts w:cstheme="minorHAnsi"/>
          <w:i/>
        </w:rPr>
        <w:t>Cross Subsidy Surcharge formula:</w:t>
      </w:r>
    </w:p>
    <w:p w:rsidR="001407B8" w:rsidRPr="00B53423" w:rsidRDefault="001407B8" w:rsidP="0015232B">
      <w:pPr>
        <w:autoSpaceDE w:val="0"/>
        <w:autoSpaceDN w:val="0"/>
        <w:adjustRightInd w:val="0"/>
        <w:spacing w:line="312" w:lineRule="auto"/>
        <w:ind w:left="720" w:firstLine="720"/>
        <w:rPr>
          <w:rFonts w:cstheme="minorHAnsi"/>
          <w:b/>
          <w:i/>
        </w:rPr>
      </w:pPr>
      <w:r w:rsidRPr="00B53423">
        <w:rPr>
          <w:rFonts w:cstheme="minorHAnsi"/>
          <w:b/>
          <w:i/>
        </w:rPr>
        <w:t>S = T – [C (1+ L / 100) + D]</w:t>
      </w:r>
    </w:p>
    <w:p w:rsidR="001407B8" w:rsidRPr="00B53423" w:rsidRDefault="001407B8" w:rsidP="0015232B">
      <w:pPr>
        <w:autoSpaceDE w:val="0"/>
        <w:autoSpaceDN w:val="0"/>
        <w:adjustRightInd w:val="0"/>
        <w:spacing w:line="312" w:lineRule="auto"/>
        <w:ind w:left="720" w:firstLine="720"/>
        <w:rPr>
          <w:rFonts w:cstheme="minorHAnsi"/>
          <w:i/>
        </w:rPr>
      </w:pPr>
      <w:r w:rsidRPr="00B53423">
        <w:rPr>
          <w:rFonts w:cstheme="minorHAnsi"/>
          <w:i/>
        </w:rPr>
        <w:t>Where</w:t>
      </w:r>
    </w:p>
    <w:p w:rsidR="001407B8" w:rsidRPr="00B53423" w:rsidRDefault="001407B8" w:rsidP="0015232B">
      <w:pPr>
        <w:autoSpaceDE w:val="0"/>
        <w:autoSpaceDN w:val="0"/>
        <w:adjustRightInd w:val="0"/>
        <w:spacing w:line="312" w:lineRule="auto"/>
        <w:ind w:left="720" w:firstLine="720"/>
        <w:rPr>
          <w:rFonts w:cstheme="minorHAnsi"/>
          <w:i/>
        </w:rPr>
      </w:pPr>
      <w:r w:rsidRPr="00B53423">
        <w:rPr>
          <w:rFonts w:cstheme="minorHAnsi"/>
          <w:i/>
        </w:rPr>
        <w:t>S is the cross subsidy surcharge</w:t>
      </w:r>
    </w:p>
    <w:p w:rsidR="001407B8" w:rsidRPr="00B53423" w:rsidRDefault="001407B8" w:rsidP="0015232B">
      <w:pPr>
        <w:autoSpaceDE w:val="0"/>
        <w:autoSpaceDN w:val="0"/>
        <w:adjustRightInd w:val="0"/>
        <w:spacing w:line="312" w:lineRule="auto"/>
        <w:ind w:left="720" w:firstLine="720"/>
        <w:rPr>
          <w:rFonts w:cstheme="minorHAnsi"/>
          <w:i/>
        </w:rPr>
      </w:pPr>
      <w:r w:rsidRPr="00B53423">
        <w:rPr>
          <w:rFonts w:cstheme="minorHAnsi"/>
          <w:i/>
        </w:rPr>
        <w:t>T is the Tariff payable by the relevant category of consumers;</w:t>
      </w:r>
    </w:p>
    <w:p w:rsidR="001407B8" w:rsidRPr="00B53423" w:rsidRDefault="001407B8" w:rsidP="0015232B">
      <w:pPr>
        <w:autoSpaceDE w:val="0"/>
        <w:autoSpaceDN w:val="0"/>
        <w:adjustRightInd w:val="0"/>
        <w:spacing w:line="312" w:lineRule="auto"/>
        <w:ind w:left="1440"/>
        <w:rPr>
          <w:rFonts w:cstheme="minorHAnsi"/>
          <w:i/>
        </w:rPr>
      </w:pPr>
      <w:r w:rsidRPr="00B53423">
        <w:rPr>
          <w:rFonts w:cstheme="minorHAnsi"/>
          <w:i/>
        </w:rPr>
        <w:t>C is the Weighted average cost of power purchase of top 5% at the margin excluding liquid fuel based generation and renewable power</w:t>
      </w:r>
    </w:p>
    <w:p w:rsidR="001407B8" w:rsidRPr="00B53423" w:rsidRDefault="001407B8" w:rsidP="0015232B">
      <w:pPr>
        <w:autoSpaceDE w:val="0"/>
        <w:autoSpaceDN w:val="0"/>
        <w:adjustRightInd w:val="0"/>
        <w:spacing w:line="312" w:lineRule="auto"/>
        <w:ind w:left="720" w:firstLine="720"/>
        <w:rPr>
          <w:rFonts w:cstheme="minorHAnsi"/>
          <w:i/>
        </w:rPr>
      </w:pPr>
      <w:r w:rsidRPr="00B53423">
        <w:rPr>
          <w:rFonts w:cstheme="minorHAnsi"/>
          <w:i/>
        </w:rPr>
        <w:t>D is the Wheeling charges for transmission and distribution of power.</w:t>
      </w:r>
    </w:p>
    <w:p w:rsidR="008E5045" w:rsidRPr="00B53423" w:rsidRDefault="001407B8" w:rsidP="0015232B">
      <w:pPr>
        <w:autoSpaceDE w:val="0"/>
        <w:autoSpaceDN w:val="0"/>
        <w:adjustRightInd w:val="0"/>
        <w:spacing w:line="312" w:lineRule="auto"/>
        <w:ind w:left="1440"/>
        <w:rPr>
          <w:rFonts w:cstheme="minorHAnsi"/>
          <w:i/>
        </w:rPr>
      </w:pPr>
      <w:r w:rsidRPr="00B53423">
        <w:rPr>
          <w:rFonts w:cstheme="minorHAnsi"/>
          <w:i/>
        </w:rPr>
        <w:t>L is the system Losses for the applicable voltage level, expressed as a percentage</w:t>
      </w:r>
    </w:p>
    <w:p w:rsidR="001407B8" w:rsidRPr="00B53423" w:rsidRDefault="001407B8" w:rsidP="0015232B">
      <w:pPr>
        <w:autoSpaceDE w:val="0"/>
        <w:autoSpaceDN w:val="0"/>
        <w:adjustRightInd w:val="0"/>
        <w:spacing w:line="312" w:lineRule="auto"/>
        <w:ind w:left="1440"/>
        <w:rPr>
          <w:rFonts w:cstheme="minorHAnsi"/>
          <w:i/>
        </w:rPr>
      </w:pPr>
      <w:r w:rsidRPr="00B53423">
        <w:rPr>
          <w:rFonts w:cstheme="minorHAnsi"/>
          <w:i/>
        </w:rPr>
        <w:t>The cross-subsidy surcharge shall be brought down progressively and, as far as possible, at a linear rate to a maximum of 20% of its opening level by the year 2010-11.</w:t>
      </w:r>
    </w:p>
    <w:p w:rsidR="001407B8" w:rsidRPr="00B53423" w:rsidRDefault="001407B8" w:rsidP="0015232B">
      <w:pPr>
        <w:autoSpaceDE w:val="0"/>
        <w:autoSpaceDN w:val="0"/>
        <w:adjustRightInd w:val="0"/>
        <w:spacing w:line="312" w:lineRule="auto"/>
        <w:ind w:left="1440"/>
        <w:rPr>
          <w:rFonts w:cstheme="minorHAnsi"/>
          <w:i/>
        </w:rPr>
      </w:pPr>
      <w:r w:rsidRPr="00B53423">
        <w:rPr>
          <w:rFonts w:cstheme="minorHAnsi"/>
          <w:i/>
        </w:rPr>
        <w:t>…</w:t>
      </w:r>
    </w:p>
    <w:p w:rsidR="001407B8" w:rsidRPr="00B53423" w:rsidRDefault="001407B8" w:rsidP="0015232B">
      <w:pPr>
        <w:spacing w:before="0"/>
        <w:ind w:left="1440"/>
      </w:pPr>
      <w:r w:rsidRPr="00B53423">
        <w:rPr>
          <w:rFonts w:cstheme="minorHAnsi"/>
          <w:i/>
        </w:rPr>
        <w:t>5. However, in order to facilitate open access, the Commission may adopt a procedure different from the procedure stated above for the calculation of cross subsidy surcharge consistent with the provisions of the EA 2003 and the spirit of the tariff policy after considering the view points of licensee and the open access customer.”</w:t>
      </w:r>
    </w:p>
    <w:p w:rsidR="001407B8" w:rsidRPr="00B53423" w:rsidRDefault="001407B8" w:rsidP="0015232B">
      <w:pPr>
        <w:spacing w:before="0"/>
      </w:pPr>
    </w:p>
    <w:p w:rsidR="008E5045" w:rsidRPr="00B53423" w:rsidRDefault="001407B8" w:rsidP="0015232B">
      <w:pPr>
        <w:pStyle w:val="Heading3"/>
        <w:keepNext w:val="0"/>
        <w:spacing w:before="120" w:after="120"/>
        <w:ind w:hanging="1080"/>
      </w:pPr>
      <w:r w:rsidRPr="00B53423">
        <w:t>In the Previous Tariff Order dated 31</w:t>
      </w:r>
      <w:r w:rsidRPr="00B53423">
        <w:rPr>
          <w:vertAlign w:val="superscript"/>
        </w:rPr>
        <w:t>st</w:t>
      </w:r>
      <w:r w:rsidRPr="00B53423">
        <w:t xml:space="preserve"> May, 2013, the Commission had computed the Cross Subsidy Surcharge as zero using the above formula. The relevant extract of the Commission’s Order for FY 2013-14 is reproduced below:</w:t>
      </w:r>
    </w:p>
    <w:p w:rsidR="001407B8" w:rsidRPr="00B53423" w:rsidRDefault="001407B8" w:rsidP="0015232B">
      <w:pPr>
        <w:autoSpaceDE w:val="0"/>
        <w:autoSpaceDN w:val="0"/>
        <w:adjustRightInd w:val="0"/>
        <w:spacing w:line="312" w:lineRule="auto"/>
        <w:ind w:left="1440"/>
        <w:rPr>
          <w:rFonts w:cstheme="minorHAnsi"/>
          <w:i/>
        </w:rPr>
      </w:pPr>
      <w:r w:rsidRPr="00B53423">
        <w:rPr>
          <w:rFonts w:cstheme="minorHAnsi"/>
          <w:i/>
        </w:rPr>
        <w:t xml:space="preserve"> “5.3.3 The Commission has computed the cross subsidy surcharge for the relevant consumer categories using the following formula:</w:t>
      </w:r>
    </w:p>
    <w:p w:rsidR="001407B8" w:rsidRPr="00B53423" w:rsidRDefault="001407B8" w:rsidP="0015232B">
      <w:pPr>
        <w:autoSpaceDE w:val="0"/>
        <w:autoSpaceDN w:val="0"/>
        <w:adjustRightInd w:val="0"/>
        <w:spacing w:line="312" w:lineRule="auto"/>
        <w:ind w:left="1440"/>
        <w:rPr>
          <w:rFonts w:cstheme="minorHAnsi"/>
          <w:i/>
        </w:rPr>
      </w:pPr>
      <w:r w:rsidRPr="00B53423">
        <w:rPr>
          <w:rFonts w:cstheme="minorHAnsi"/>
          <w:i/>
        </w:rPr>
        <w:t>S = T – [C (1+ L / 100) + D]</w:t>
      </w:r>
    </w:p>
    <w:p w:rsidR="001407B8" w:rsidRPr="00B53423" w:rsidRDefault="001407B8" w:rsidP="0015232B">
      <w:pPr>
        <w:autoSpaceDE w:val="0"/>
        <w:autoSpaceDN w:val="0"/>
        <w:adjustRightInd w:val="0"/>
        <w:spacing w:line="312" w:lineRule="auto"/>
        <w:ind w:left="1440"/>
        <w:rPr>
          <w:rFonts w:cstheme="minorHAnsi"/>
          <w:i/>
        </w:rPr>
      </w:pPr>
      <w:r w:rsidRPr="00B53423">
        <w:rPr>
          <w:rFonts w:cstheme="minorHAnsi"/>
          <w:i/>
        </w:rPr>
        <w:t>Where</w:t>
      </w:r>
    </w:p>
    <w:p w:rsidR="001407B8" w:rsidRPr="00B53423" w:rsidRDefault="001407B8" w:rsidP="0015232B">
      <w:pPr>
        <w:autoSpaceDE w:val="0"/>
        <w:autoSpaceDN w:val="0"/>
        <w:adjustRightInd w:val="0"/>
        <w:spacing w:line="312" w:lineRule="auto"/>
        <w:ind w:left="1440"/>
        <w:rPr>
          <w:rFonts w:cstheme="minorHAnsi"/>
          <w:i/>
        </w:rPr>
      </w:pPr>
      <w:r w:rsidRPr="00B53423">
        <w:rPr>
          <w:rFonts w:cstheme="minorHAnsi"/>
          <w:i/>
        </w:rPr>
        <w:t>S is the cross subsidy surcharge</w:t>
      </w:r>
    </w:p>
    <w:p w:rsidR="001407B8" w:rsidRPr="00B53423" w:rsidRDefault="001407B8" w:rsidP="0015232B">
      <w:pPr>
        <w:autoSpaceDE w:val="0"/>
        <w:autoSpaceDN w:val="0"/>
        <w:adjustRightInd w:val="0"/>
        <w:spacing w:line="312" w:lineRule="auto"/>
        <w:ind w:left="1440"/>
        <w:rPr>
          <w:rFonts w:cstheme="minorHAnsi"/>
          <w:i/>
        </w:rPr>
      </w:pPr>
      <w:r w:rsidRPr="00B53423">
        <w:rPr>
          <w:rFonts w:cstheme="minorHAnsi"/>
          <w:i/>
        </w:rPr>
        <w:t>T is the Tariff payable by the relevant category of consumers;</w:t>
      </w:r>
    </w:p>
    <w:p w:rsidR="001407B8" w:rsidRPr="00B53423" w:rsidRDefault="001407B8" w:rsidP="0015232B">
      <w:pPr>
        <w:autoSpaceDE w:val="0"/>
        <w:autoSpaceDN w:val="0"/>
        <w:adjustRightInd w:val="0"/>
        <w:spacing w:line="312" w:lineRule="auto"/>
        <w:ind w:left="1440"/>
        <w:rPr>
          <w:rFonts w:cstheme="minorHAnsi"/>
          <w:i/>
        </w:rPr>
      </w:pPr>
      <w:r w:rsidRPr="00B53423">
        <w:rPr>
          <w:rFonts w:cstheme="minorHAnsi"/>
          <w:i/>
        </w:rPr>
        <w:t>C is the Weighted average cost of power purchase of top 5% at the margin excluding liquid fuel based generation and renewable power. In case of UP, this works out to Rs. 6.59 /kWh considering the cost of marginal power purchase sources of Anta, Auraiya, Dadri Gas and Rosa Power Project II.</w:t>
      </w:r>
    </w:p>
    <w:p w:rsidR="001407B8" w:rsidRPr="00B53423" w:rsidRDefault="001407B8" w:rsidP="0015232B">
      <w:pPr>
        <w:autoSpaceDE w:val="0"/>
        <w:autoSpaceDN w:val="0"/>
        <w:adjustRightInd w:val="0"/>
        <w:spacing w:line="312" w:lineRule="auto"/>
        <w:ind w:left="1440"/>
        <w:rPr>
          <w:rFonts w:cstheme="minorHAnsi"/>
          <w:i/>
        </w:rPr>
      </w:pPr>
      <w:r w:rsidRPr="00B53423">
        <w:rPr>
          <w:rFonts w:cstheme="minorHAnsi"/>
          <w:i/>
        </w:rPr>
        <w:t>D is the average wheeling charges for transmission and distribution of power which is Rs. 0.6</w:t>
      </w:r>
      <w:r w:rsidR="005E3624" w:rsidRPr="00B53423">
        <w:rPr>
          <w:rFonts w:cstheme="minorHAnsi"/>
          <w:i/>
        </w:rPr>
        <w:t>44</w:t>
      </w:r>
      <w:r w:rsidRPr="00B53423">
        <w:rPr>
          <w:rFonts w:cstheme="minorHAnsi"/>
          <w:i/>
        </w:rPr>
        <w:t xml:space="preserve"> /kWh </w:t>
      </w:r>
    </w:p>
    <w:p w:rsidR="001407B8" w:rsidRPr="00B53423" w:rsidRDefault="001407B8" w:rsidP="0015232B">
      <w:pPr>
        <w:autoSpaceDE w:val="0"/>
        <w:autoSpaceDN w:val="0"/>
        <w:adjustRightInd w:val="0"/>
        <w:spacing w:line="312" w:lineRule="auto"/>
        <w:ind w:left="1440"/>
        <w:rPr>
          <w:i/>
        </w:rPr>
      </w:pPr>
      <w:r w:rsidRPr="00B53423">
        <w:rPr>
          <w:rFonts w:cstheme="minorHAnsi"/>
          <w:i/>
        </w:rPr>
        <w:t>L is the system losses for the applicable voltage level, expressed as a percentage, which is computed as 23%.</w:t>
      </w:r>
    </w:p>
    <w:p w:rsidR="001407B8" w:rsidRPr="00B53423" w:rsidRDefault="001407B8" w:rsidP="0015232B">
      <w:pPr>
        <w:autoSpaceDE w:val="0"/>
        <w:autoSpaceDN w:val="0"/>
        <w:adjustRightInd w:val="0"/>
        <w:spacing w:line="312" w:lineRule="auto"/>
        <w:ind w:left="1440"/>
        <w:rPr>
          <w:i/>
        </w:rPr>
      </w:pPr>
      <w:r w:rsidRPr="00B53423">
        <w:rPr>
          <w:i/>
        </w:rPr>
        <w:t xml:space="preserve">5.3.4 </w:t>
      </w:r>
      <w:proofErr w:type="gramStart"/>
      <w:r w:rsidRPr="00B53423">
        <w:rPr>
          <w:i/>
        </w:rPr>
        <w:t>The</w:t>
      </w:r>
      <w:proofErr w:type="gramEnd"/>
      <w:r w:rsidRPr="00B53423">
        <w:rPr>
          <w:i/>
        </w:rPr>
        <w:t xml:space="preserve"> cross subsidy surcharge computed by Commission for relevant categories works out to be Nil.”</w:t>
      </w:r>
    </w:p>
    <w:p w:rsidR="001407B8" w:rsidRPr="00B53423" w:rsidRDefault="001407B8" w:rsidP="0015232B">
      <w:pPr>
        <w:spacing w:before="0"/>
      </w:pPr>
    </w:p>
    <w:p w:rsidR="008E5045" w:rsidRPr="00B53423" w:rsidRDefault="007521F5" w:rsidP="0015232B">
      <w:pPr>
        <w:pStyle w:val="Heading3"/>
        <w:keepNext w:val="0"/>
        <w:spacing w:before="120" w:after="120"/>
        <w:ind w:hanging="1080"/>
      </w:pPr>
      <w:r w:rsidRPr="00B53423">
        <w:rPr>
          <w:rFonts w:cs="Arial"/>
          <w:bCs w:val="0"/>
        </w:rPr>
        <w:t>The Petitioner, in a separate Petition, submitted that the Cross Subsidy Surcharge computed as per the formula specified in the Regulations would always work out to be zero for the Licensees of the State of Uttar Pradesh, because the weighted average power purchase cost of top 5% at margin after adding the intra-State transmission tariff and distribution losses comes out to be more than the average realization from the HT category. The Petitioner further submitted that a zero Cross Subsidy Surcharge implies that the present tariff structure does not have cross subsidy, which is incorrect</w:t>
      </w:r>
      <w:r w:rsidR="001407B8" w:rsidRPr="00B53423">
        <w:t>.</w:t>
      </w:r>
    </w:p>
    <w:p w:rsidR="008E5045" w:rsidRPr="00B53423" w:rsidRDefault="008E5045" w:rsidP="0015232B">
      <w:pPr>
        <w:pStyle w:val="Heading3"/>
        <w:keepNext w:val="0"/>
        <w:numPr>
          <w:ilvl w:val="0"/>
          <w:numId w:val="0"/>
        </w:numPr>
        <w:spacing w:before="120" w:after="120"/>
        <w:ind w:left="720"/>
      </w:pPr>
    </w:p>
    <w:p w:rsidR="008E5045" w:rsidRPr="00B53423" w:rsidRDefault="001407B8" w:rsidP="0015232B">
      <w:pPr>
        <w:pStyle w:val="Heading3"/>
        <w:keepNext w:val="0"/>
        <w:spacing w:before="120" w:after="120"/>
        <w:ind w:hanging="1080"/>
      </w:pPr>
      <w:r w:rsidRPr="00B53423">
        <w:t>It may further be noted that in the absence of the voltage-wise losses, the Commission in its Tariff Order dated 31</w:t>
      </w:r>
      <w:r w:rsidR="008E5045" w:rsidRPr="00B53423">
        <w:t>st</w:t>
      </w:r>
      <w:r w:rsidRPr="00B53423">
        <w:t xml:space="preserve"> May, 2013, considered “L”, i.e., the system losses as the total losses for the entire Distribution System, which resulted in “nil” Cross Subsidy Surcharge.</w:t>
      </w:r>
    </w:p>
    <w:p w:rsidR="008E5045" w:rsidRPr="00B53423" w:rsidRDefault="008E5045" w:rsidP="0015232B">
      <w:pPr>
        <w:pStyle w:val="Heading3"/>
        <w:keepNext w:val="0"/>
        <w:numPr>
          <w:ilvl w:val="0"/>
          <w:numId w:val="0"/>
        </w:numPr>
        <w:spacing w:before="120" w:after="120"/>
        <w:ind w:left="720"/>
      </w:pPr>
    </w:p>
    <w:p w:rsidR="008E5045" w:rsidRPr="00B53423" w:rsidRDefault="007521F5" w:rsidP="0015232B">
      <w:pPr>
        <w:pStyle w:val="Heading3"/>
        <w:keepNext w:val="0"/>
        <w:spacing w:before="120" w:after="120"/>
        <w:ind w:hanging="1080"/>
      </w:pPr>
      <w:r w:rsidRPr="00B53423">
        <w:rPr>
          <w:rFonts w:cs="Arial"/>
          <w:bCs w:val="0"/>
        </w:rPr>
        <w:t>As a result, the Distribution Licensees have been resisting open access, due to the fear of losing their high paying consumers without getting any Cross Subsidy Surcharge for the same. The Commission, in its In-house Paper, based on the assumption that the power purchase, which could be avoided in case of migration of a consumer to open access is the short-term power purchase and not the long-term power purchase for which the Licensees have signed the PPAs and is liable to pay the fixed charges, proposed to compute Cross Subsidy Surcharge considering “C” (cost of power) as Rs. 5 per kWh, which is the weighted average rate of short-term power purchase as submitted by the Petitioner. The Commission considered the Losses for the consumers connected at High Voltage network as 7.80%. The Petitioner also agreed with the Commission’s approach, as the computed CSS was working out to Rs. 1.47 / kWh for consumers of HV-2 category at loss level of around 7.80%. The Petitioner, in its letter dated 2</w:t>
      </w:r>
      <w:r w:rsidRPr="00B53423">
        <w:rPr>
          <w:rFonts w:cs="Arial"/>
          <w:bCs w:val="0"/>
          <w:vertAlign w:val="superscript"/>
        </w:rPr>
        <w:t>nd</w:t>
      </w:r>
      <w:r w:rsidRPr="00B53423">
        <w:rPr>
          <w:rFonts w:cs="Arial"/>
          <w:bCs w:val="0"/>
        </w:rPr>
        <w:t xml:space="preserve"> July, 2014, submitted that the actual loss level would be around 4% to 5%</w:t>
      </w:r>
      <w:r w:rsidR="001407B8" w:rsidRPr="00B53423">
        <w:t xml:space="preserve">.  </w:t>
      </w:r>
    </w:p>
    <w:p w:rsidR="008E5045" w:rsidRPr="00B53423" w:rsidRDefault="008E5045" w:rsidP="0015232B">
      <w:pPr>
        <w:pStyle w:val="Heading3"/>
        <w:keepNext w:val="0"/>
        <w:numPr>
          <w:ilvl w:val="0"/>
          <w:numId w:val="0"/>
        </w:numPr>
        <w:spacing w:before="120" w:after="120"/>
        <w:ind w:left="720"/>
      </w:pPr>
    </w:p>
    <w:p w:rsidR="008E5045" w:rsidRPr="00B53423" w:rsidRDefault="001407B8" w:rsidP="0015232B">
      <w:pPr>
        <w:pStyle w:val="Heading3"/>
        <w:keepNext w:val="0"/>
        <w:spacing w:before="120" w:after="120"/>
        <w:ind w:hanging="1080"/>
      </w:pPr>
      <w:r w:rsidRPr="00B53423">
        <w:t>The Commission has gone through the submissions made by the Distribution Licensee.  However, as the approach proposed in the In-house Paper would be in variation to the approach specified in the Regulations, the Commission has computed the Cross Subsidy Surcharge in accordance with the methodology specified in Clause 6.6 of Distribution Tariff Regulations, 2006.</w:t>
      </w:r>
    </w:p>
    <w:p w:rsidR="001407B8" w:rsidRPr="00B53423" w:rsidRDefault="001407B8" w:rsidP="0015232B">
      <w:pPr>
        <w:spacing w:before="0"/>
      </w:pPr>
    </w:p>
    <w:p w:rsidR="008E5045" w:rsidRPr="00B53423" w:rsidRDefault="007521F5" w:rsidP="0015232B">
      <w:pPr>
        <w:pStyle w:val="Heading3"/>
        <w:keepNext w:val="0"/>
        <w:spacing w:before="120" w:after="120"/>
        <w:ind w:hanging="1080"/>
      </w:pPr>
      <w:r w:rsidRPr="00B53423">
        <w:rPr>
          <w:rFonts w:cs="Arial"/>
          <w:bCs w:val="0"/>
        </w:rPr>
        <w:t>As per Clause 6.6, the Cross Subsidy Surcharge is to be computed based on the difference between (i) the tariff applicable to the relevant category of consumers and (ii) the cost of the Distribution Licensee to supply electricity to the consumers of the applicable class. In case of a consumer opting for open access, the Distribution Licensee could be in a position to discontinue purchase of power at the margin in the merit order. Accordingly, the Commission has computed the cost of supply to the consumer for this purpose as the aggregate of (a) the weighted average of power purchase costs (inclusive of fixed and variable charges) of top 5% power at the margin, excluding renewable and liquid fuel based generation, adjusted for average loss compensation of the relevant voltage level, and (b) the distribution wheeling charges as determined in the preceding section</w:t>
      </w:r>
      <w:r w:rsidR="001407B8" w:rsidRPr="00B53423">
        <w:t>.</w:t>
      </w:r>
    </w:p>
    <w:p w:rsidR="008E5045" w:rsidRPr="00B53423" w:rsidRDefault="008E5045" w:rsidP="0015232B">
      <w:pPr>
        <w:pStyle w:val="Heading3"/>
        <w:keepNext w:val="0"/>
        <w:numPr>
          <w:ilvl w:val="0"/>
          <w:numId w:val="0"/>
        </w:numPr>
        <w:spacing w:before="120" w:after="120"/>
        <w:ind w:left="720"/>
      </w:pPr>
    </w:p>
    <w:p w:rsidR="008E5045" w:rsidRPr="00B53423" w:rsidRDefault="001407B8" w:rsidP="0015232B">
      <w:pPr>
        <w:pStyle w:val="Heading3"/>
        <w:keepNext w:val="0"/>
        <w:spacing w:before="120" w:after="120"/>
        <w:ind w:hanging="1080"/>
      </w:pPr>
      <w:r w:rsidRPr="00B53423">
        <w:t>The Commission has computed the Cross Subsidy Surcharge for the relevant consumer categories using the following formula:</w:t>
      </w:r>
    </w:p>
    <w:p w:rsidR="001407B8" w:rsidRPr="00B53423" w:rsidRDefault="001407B8" w:rsidP="0015232B">
      <w:pPr>
        <w:spacing w:before="0"/>
      </w:pPr>
    </w:p>
    <w:p w:rsidR="001407B8" w:rsidRPr="00B53423" w:rsidRDefault="001407B8" w:rsidP="0015232B">
      <w:pPr>
        <w:ind w:left="993"/>
      </w:pPr>
      <w:r w:rsidRPr="00B53423">
        <w:t>S = T – [C (1+ L / 100) + D]</w:t>
      </w:r>
    </w:p>
    <w:p w:rsidR="001407B8" w:rsidRPr="00B53423" w:rsidRDefault="001407B8" w:rsidP="0015232B">
      <w:pPr>
        <w:ind w:left="993"/>
      </w:pPr>
      <w:r w:rsidRPr="00B53423">
        <w:t>Where</w:t>
      </w:r>
    </w:p>
    <w:p w:rsidR="001407B8" w:rsidRPr="00B53423" w:rsidRDefault="001407B8" w:rsidP="0015232B">
      <w:pPr>
        <w:ind w:left="993"/>
      </w:pPr>
      <w:r w:rsidRPr="00B53423">
        <w:t>S is the cross subsidy surcharge</w:t>
      </w:r>
    </w:p>
    <w:p w:rsidR="001407B8" w:rsidRPr="00B53423" w:rsidRDefault="001407B8" w:rsidP="0015232B">
      <w:pPr>
        <w:ind w:left="993"/>
      </w:pPr>
      <w:r w:rsidRPr="00B53423">
        <w:t>T is the Tariff payable by the relevant category of consumers;</w:t>
      </w:r>
    </w:p>
    <w:p w:rsidR="001407B8" w:rsidRPr="00B53423" w:rsidRDefault="001407B8" w:rsidP="0015232B">
      <w:pPr>
        <w:ind w:left="993"/>
      </w:pPr>
      <w:r w:rsidRPr="00B53423">
        <w:t>C is the Weighted average cost of power purchase of top 5% at the margin excluding liquid fuel based generation and renewable power. In case of UP, this works out to Rs. 6.38 / kWh considering the cost of marginal power purchase sources of Bajaj Hindustan, Harduaganj and Rosa Power Project I.</w:t>
      </w:r>
    </w:p>
    <w:p w:rsidR="001407B8" w:rsidRPr="00B53423" w:rsidRDefault="001407B8" w:rsidP="0015232B">
      <w:pPr>
        <w:ind w:left="993"/>
      </w:pPr>
      <w:r w:rsidRPr="00B53423">
        <w:t xml:space="preserve">D is the wheeling charges. </w:t>
      </w:r>
    </w:p>
    <w:p w:rsidR="001407B8" w:rsidRPr="00B53423" w:rsidRDefault="001407B8" w:rsidP="0015232B">
      <w:pPr>
        <w:ind w:left="993"/>
      </w:pPr>
      <w:r w:rsidRPr="00B53423">
        <w:t>L is the system losses for the applicable voltage level, expressed as a percentage, which is considered as 4% for HT Categories (above 11 KV) and 8% for HT Categories (at 11 KV).</w:t>
      </w:r>
    </w:p>
    <w:p w:rsidR="001407B8" w:rsidRPr="00B53423" w:rsidRDefault="001407B8" w:rsidP="0015232B">
      <w:pPr>
        <w:pStyle w:val="Heading3"/>
        <w:keepNext w:val="0"/>
        <w:numPr>
          <w:ilvl w:val="2"/>
          <w:numId w:val="0"/>
        </w:numPr>
        <w:ind w:left="720" w:hanging="720"/>
      </w:pPr>
    </w:p>
    <w:p w:rsidR="008E5045" w:rsidRPr="00B53423" w:rsidRDefault="001407B8" w:rsidP="0015232B">
      <w:pPr>
        <w:pStyle w:val="Heading3"/>
        <w:keepNext w:val="0"/>
        <w:spacing w:before="120" w:after="120"/>
        <w:ind w:hanging="1080"/>
      </w:pPr>
      <w:r w:rsidRPr="00B53423">
        <w:t>The cost of the Distribution Licensee to supply electricity to the consumers of the HV-2 category (above 11 KV) and HV-2 category (at 11 KV) is working out as shown in the Table below:</w:t>
      </w:r>
    </w:p>
    <w:p w:rsidR="001407B8" w:rsidRPr="00B53423" w:rsidRDefault="001407B8" w:rsidP="0015232B">
      <w:pPr>
        <w:spacing w:before="0"/>
      </w:pPr>
    </w:p>
    <w:p w:rsidR="001407B8" w:rsidRPr="00B53423" w:rsidRDefault="001407B8" w:rsidP="0015232B">
      <w:pPr>
        <w:spacing w:before="0"/>
        <w:rPr>
          <w:b/>
        </w:rPr>
      </w:pPr>
      <w:bookmarkStart w:id="926" w:name="_Toc399626439"/>
      <w:r w:rsidRPr="00B53423">
        <w:rPr>
          <w:rFonts w:cstheme="minorHAnsi"/>
          <w:b/>
        </w:rPr>
        <w:t xml:space="preserve">Table </w:t>
      </w:r>
      <w:r w:rsidR="005D68E7" w:rsidRPr="00B53423">
        <w:rPr>
          <w:rFonts w:cstheme="minorHAnsi"/>
          <w:b/>
        </w:rPr>
        <w:fldChar w:fldCharType="begin"/>
      </w:r>
      <w:r w:rsidR="00095176" w:rsidRPr="00B53423">
        <w:rPr>
          <w:rFonts w:cstheme="minorHAnsi"/>
          <w:b/>
        </w:rPr>
        <w:instrText xml:space="preserve"> STYLEREF 1 \s </w:instrText>
      </w:r>
      <w:r w:rsidR="005D68E7" w:rsidRPr="00B53423">
        <w:rPr>
          <w:rFonts w:cstheme="minorHAnsi"/>
          <w:b/>
        </w:rPr>
        <w:fldChar w:fldCharType="separate"/>
      </w:r>
      <w:r w:rsidR="00847C1B">
        <w:rPr>
          <w:rFonts w:cstheme="minorHAnsi"/>
          <w:b/>
          <w:noProof/>
        </w:rPr>
        <w:t>10</w:t>
      </w:r>
      <w:r w:rsidR="005D68E7" w:rsidRPr="00B53423">
        <w:rPr>
          <w:rFonts w:cstheme="minorHAnsi"/>
          <w:b/>
        </w:rPr>
        <w:fldChar w:fldCharType="end"/>
      </w:r>
      <w:r w:rsidR="00095176" w:rsidRPr="00B53423">
        <w:rPr>
          <w:rFonts w:cstheme="minorHAnsi"/>
          <w:b/>
        </w:rPr>
        <w:noBreakHyphen/>
      </w:r>
      <w:r w:rsidR="005D68E7" w:rsidRPr="00B53423">
        <w:rPr>
          <w:rFonts w:cstheme="minorHAnsi"/>
          <w:b/>
        </w:rPr>
        <w:fldChar w:fldCharType="begin"/>
      </w:r>
      <w:r w:rsidR="00095176" w:rsidRPr="00B53423">
        <w:rPr>
          <w:rFonts w:cstheme="minorHAnsi"/>
          <w:b/>
        </w:rPr>
        <w:instrText xml:space="preserve"> SEQ Table \* ARABIC \s 1 </w:instrText>
      </w:r>
      <w:r w:rsidR="005D68E7" w:rsidRPr="00B53423">
        <w:rPr>
          <w:rFonts w:cstheme="minorHAnsi"/>
          <w:b/>
        </w:rPr>
        <w:fldChar w:fldCharType="separate"/>
      </w:r>
      <w:r w:rsidR="00847C1B">
        <w:rPr>
          <w:rFonts w:cstheme="minorHAnsi"/>
          <w:b/>
          <w:noProof/>
        </w:rPr>
        <w:t>4</w:t>
      </w:r>
      <w:r w:rsidR="005D68E7" w:rsidRPr="00B53423">
        <w:rPr>
          <w:rFonts w:cstheme="minorHAnsi"/>
          <w:b/>
        </w:rPr>
        <w:fldChar w:fldCharType="end"/>
      </w:r>
      <w:r w:rsidR="00095176" w:rsidRPr="00B53423">
        <w:rPr>
          <w:rFonts w:cstheme="minorHAnsi"/>
          <w:b/>
        </w:rPr>
        <w:t>:</w:t>
      </w:r>
      <w:r w:rsidR="00095176">
        <w:rPr>
          <w:rFonts w:cstheme="minorHAnsi"/>
          <w:b/>
        </w:rPr>
        <w:t xml:space="preserve"> </w:t>
      </w:r>
      <w:r w:rsidRPr="00B53423">
        <w:rPr>
          <w:b/>
        </w:rPr>
        <w:t>COST OF SUPPLY APPROVED BY THE COMMISSION FOR FY 2014-15</w:t>
      </w:r>
      <w:bookmarkEnd w:id="926"/>
    </w:p>
    <w:tbl>
      <w:tblPr>
        <w:tblW w:w="9860" w:type="dxa"/>
        <w:tblInd w:w="103" w:type="dxa"/>
        <w:tblLook w:val="04A0"/>
      </w:tblPr>
      <w:tblGrid>
        <w:gridCol w:w="815"/>
        <w:gridCol w:w="2929"/>
        <w:gridCol w:w="1524"/>
        <w:gridCol w:w="2052"/>
        <w:gridCol w:w="1317"/>
        <w:gridCol w:w="1223"/>
      </w:tblGrid>
      <w:tr w:rsidR="001407B8" w:rsidRPr="00B53423" w:rsidTr="007521F5">
        <w:trPr>
          <w:trHeight w:val="465"/>
          <w:tblHeader/>
        </w:trPr>
        <w:tc>
          <w:tcPr>
            <w:tcW w:w="815" w:type="dxa"/>
            <w:tcBorders>
              <w:top w:val="dotted" w:sz="4" w:space="0" w:color="auto"/>
              <w:left w:val="dotted" w:sz="4" w:space="0" w:color="auto"/>
              <w:bottom w:val="dotted" w:sz="4" w:space="0" w:color="auto"/>
              <w:right w:val="dotted" w:sz="4" w:space="0" w:color="auto"/>
            </w:tcBorders>
            <w:shd w:val="clear" w:color="000000" w:fill="DCE6F1"/>
            <w:vAlign w:val="center"/>
            <w:hideMark/>
          </w:tcPr>
          <w:p w:rsidR="001407B8" w:rsidRPr="00B53423" w:rsidRDefault="001407B8" w:rsidP="0015232B">
            <w:pPr>
              <w:spacing w:before="0" w:line="240" w:lineRule="auto"/>
              <w:jc w:val="center"/>
              <w:rPr>
                <w:b/>
                <w:bCs/>
                <w:color w:val="000000"/>
                <w:lang w:val="en-US"/>
              </w:rPr>
            </w:pPr>
            <w:r w:rsidRPr="00B53423">
              <w:rPr>
                <w:b/>
                <w:bCs/>
                <w:color w:val="000000"/>
                <w:lang w:val="en-US"/>
              </w:rPr>
              <w:t>S No.</w:t>
            </w:r>
          </w:p>
        </w:tc>
        <w:tc>
          <w:tcPr>
            <w:tcW w:w="2929" w:type="dxa"/>
            <w:tcBorders>
              <w:top w:val="dotted" w:sz="4" w:space="0" w:color="auto"/>
              <w:left w:val="nil"/>
              <w:bottom w:val="dotted" w:sz="4" w:space="0" w:color="auto"/>
              <w:right w:val="dotted" w:sz="4" w:space="0" w:color="auto"/>
            </w:tcBorders>
            <w:shd w:val="clear" w:color="000000" w:fill="DCE6F1"/>
            <w:vAlign w:val="center"/>
            <w:hideMark/>
          </w:tcPr>
          <w:p w:rsidR="001407B8" w:rsidRPr="00B53423" w:rsidRDefault="001407B8" w:rsidP="0015232B">
            <w:pPr>
              <w:spacing w:before="0" w:line="240" w:lineRule="auto"/>
              <w:jc w:val="center"/>
              <w:rPr>
                <w:b/>
                <w:bCs/>
                <w:color w:val="000000"/>
                <w:lang w:val="en-US"/>
              </w:rPr>
            </w:pPr>
            <w:r w:rsidRPr="00B53423">
              <w:rPr>
                <w:b/>
                <w:bCs/>
                <w:color w:val="000000"/>
                <w:lang w:val="en-US"/>
              </w:rPr>
              <w:t>Categories</w:t>
            </w:r>
          </w:p>
        </w:tc>
        <w:tc>
          <w:tcPr>
            <w:tcW w:w="1524" w:type="dxa"/>
            <w:tcBorders>
              <w:top w:val="dotted" w:sz="4" w:space="0" w:color="auto"/>
              <w:left w:val="nil"/>
              <w:bottom w:val="dotted" w:sz="4" w:space="0" w:color="auto"/>
              <w:right w:val="dotted" w:sz="4" w:space="0" w:color="auto"/>
            </w:tcBorders>
            <w:shd w:val="clear" w:color="000000" w:fill="DCE6F1"/>
            <w:vAlign w:val="center"/>
            <w:hideMark/>
          </w:tcPr>
          <w:p w:rsidR="001407B8" w:rsidRPr="00B53423" w:rsidRDefault="001407B8" w:rsidP="0015232B">
            <w:pPr>
              <w:spacing w:before="0" w:line="240" w:lineRule="auto"/>
              <w:jc w:val="center"/>
              <w:rPr>
                <w:b/>
                <w:bCs/>
                <w:color w:val="000000"/>
                <w:lang w:val="en-US"/>
              </w:rPr>
            </w:pPr>
            <w:r w:rsidRPr="00B53423">
              <w:rPr>
                <w:b/>
                <w:bCs/>
                <w:color w:val="000000"/>
                <w:lang w:val="en-US"/>
              </w:rPr>
              <w:t>Wheeling Charge (D)</w:t>
            </w:r>
          </w:p>
        </w:tc>
        <w:tc>
          <w:tcPr>
            <w:tcW w:w="2052" w:type="dxa"/>
            <w:tcBorders>
              <w:top w:val="dotted" w:sz="4" w:space="0" w:color="auto"/>
              <w:left w:val="nil"/>
              <w:bottom w:val="dotted" w:sz="4" w:space="0" w:color="auto"/>
              <w:right w:val="dotted" w:sz="4" w:space="0" w:color="auto"/>
            </w:tcBorders>
            <w:shd w:val="clear" w:color="000000" w:fill="DCE6F1"/>
            <w:vAlign w:val="center"/>
            <w:hideMark/>
          </w:tcPr>
          <w:p w:rsidR="001407B8" w:rsidRPr="00B53423" w:rsidRDefault="001407B8" w:rsidP="0015232B">
            <w:pPr>
              <w:spacing w:before="0" w:line="240" w:lineRule="auto"/>
              <w:jc w:val="center"/>
              <w:rPr>
                <w:b/>
                <w:bCs/>
                <w:color w:val="000000"/>
                <w:lang w:val="en-US"/>
              </w:rPr>
            </w:pPr>
            <w:r w:rsidRPr="00B53423">
              <w:rPr>
                <w:b/>
                <w:bCs/>
                <w:color w:val="000000"/>
                <w:lang w:val="en-US"/>
              </w:rPr>
              <w:t>Wt. Avg. Power Purchase Cost (C)</w:t>
            </w:r>
          </w:p>
        </w:tc>
        <w:tc>
          <w:tcPr>
            <w:tcW w:w="1317" w:type="dxa"/>
            <w:tcBorders>
              <w:top w:val="dotted" w:sz="4" w:space="0" w:color="auto"/>
              <w:left w:val="nil"/>
              <w:bottom w:val="dotted" w:sz="4" w:space="0" w:color="auto"/>
              <w:right w:val="dotted" w:sz="4" w:space="0" w:color="auto"/>
            </w:tcBorders>
            <w:shd w:val="clear" w:color="000000" w:fill="DCE6F1"/>
            <w:vAlign w:val="center"/>
            <w:hideMark/>
          </w:tcPr>
          <w:p w:rsidR="001407B8" w:rsidRPr="00B53423" w:rsidRDefault="001407B8" w:rsidP="0015232B">
            <w:pPr>
              <w:spacing w:before="0" w:line="240" w:lineRule="auto"/>
              <w:jc w:val="center"/>
              <w:rPr>
                <w:b/>
                <w:bCs/>
                <w:color w:val="000000"/>
                <w:lang w:val="en-US"/>
              </w:rPr>
            </w:pPr>
            <w:r w:rsidRPr="00B53423">
              <w:rPr>
                <w:b/>
                <w:bCs/>
                <w:color w:val="000000"/>
                <w:lang w:val="en-US"/>
              </w:rPr>
              <w:t>System Loss (L)</w:t>
            </w:r>
          </w:p>
        </w:tc>
        <w:tc>
          <w:tcPr>
            <w:tcW w:w="1223" w:type="dxa"/>
            <w:tcBorders>
              <w:top w:val="dotted" w:sz="4" w:space="0" w:color="auto"/>
              <w:left w:val="nil"/>
              <w:bottom w:val="dotted" w:sz="4" w:space="0" w:color="auto"/>
              <w:right w:val="dotted" w:sz="4" w:space="0" w:color="auto"/>
            </w:tcBorders>
            <w:shd w:val="clear" w:color="000000" w:fill="DCE6F1"/>
            <w:vAlign w:val="center"/>
            <w:hideMark/>
          </w:tcPr>
          <w:p w:rsidR="001407B8" w:rsidRPr="00B53423" w:rsidRDefault="001407B8" w:rsidP="0015232B">
            <w:pPr>
              <w:spacing w:before="0" w:line="240" w:lineRule="auto"/>
              <w:jc w:val="center"/>
              <w:rPr>
                <w:b/>
                <w:bCs/>
                <w:color w:val="000000"/>
                <w:lang w:val="en-US"/>
              </w:rPr>
            </w:pPr>
            <w:r w:rsidRPr="00B53423">
              <w:rPr>
                <w:b/>
                <w:bCs/>
                <w:color w:val="000000"/>
                <w:lang w:val="en-US"/>
              </w:rPr>
              <w:t>Total Cost</w:t>
            </w:r>
          </w:p>
        </w:tc>
      </w:tr>
      <w:tr w:rsidR="007521F5" w:rsidRPr="00B53423" w:rsidTr="007521F5">
        <w:trPr>
          <w:trHeight w:val="300"/>
        </w:trPr>
        <w:tc>
          <w:tcPr>
            <w:tcW w:w="815" w:type="dxa"/>
            <w:tcBorders>
              <w:top w:val="nil"/>
              <w:left w:val="dotted" w:sz="4" w:space="0" w:color="auto"/>
              <w:bottom w:val="dotted" w:sz="4" w:space="0" w:color="auto"/>
              <w:right w:val="dotted" w:sz="4" w:space="0" w:color="auto"/>
            </w:tcBorders>
            <w:shd w:val="clear" w:color="auto" w:fill="auto"/>
            <w:vAlign w:val="bottom"/>
            <w:hideMark/>
          </w:tcPr>
          <w:p w:rsidR="007521F5" w:rsidRPr="00B53423" w:rsidRDefault="007521F5" w:rsidP="0015232B">
            <w:pPr>
              <w:spacing w:before="0" w:line="240" w:lineRule="auto"/>
              <w:jc w:val="center"/>
              <w:rPr>
                <w:bCs/>
                <w:color w:val="000000"/>
                <w:lang w:val="en-US"/>
              </w:rPr>
            </w:pPr>
            <w:r w:rsidRPr="00B53423">
              <w:rPr>
                <w:bCs/>
                <w:color w:val="000000"/>
                <w:lang w:val="en-US"/>
              </w:rPr>
              <w:t>1</w:t>
            </w:r>
          </w:p>
        </w:tc>
        <w:tc>
          <w:tcPr>
            <w:tcW w:w="2929" w:type="dxa"/>
            <w:tcBorders>
              <w:top w:val="nil"/>
              <w:left w:val="nil"/>
              <w:bottom w:val="dotted" w:sz="4" w:space="0" w:color="auto"/>
              <w:right w:val="dotted" w:sz="4" w:space="0" w:color="auto"/>
            </w:tcBorders>
            <w:shd w:val="clear" w:color="auto" w:fill="auto"/>
            <w:vAlign w:val="bottom"/>
            <w:hideMark/>
          </w:tcPr>
          <w:p w:rsidR="007521F5" w:rsidRPr="00B53423" w:rsidRDefault="007521F5" w:rsidP="0015232B">
            <w:pPr>
              <w:spacing w:before="0" w:line="240" w:lineRule="auto"/>
              <w:jc w:val="left"/>
              <w:rPr>
                <w:bCs/>
                <w:color w:val="000000"/>
                <w:lang w:val="en-US"/>
              </w:rPr>
            </w:pPr>
            <w:r w:rsidRPr="00B53423">
              <w:rPr>
                <w:bCs/>
                <w:color w:val="000000"/>
                <w:lang w:val="en-US"/>
              </w:rPr>
              <w:t>HV Categories above 11 KV</w:t>
            </w:r>
          </w:p>
        </w:tc>
        <w:tc>
          <w:tcPr>
            <w:tcW w:w="1524" w:type="dxa"/>
            <w:tcBorders>
              <w:top w:val="nil"/>
              <w:left w:val="nil"/>
              <w:bottom w:val="dotted" w:sz="4" w:space="0" w:color="auto"/>
              <w:right w:val="dotted" w:sz="4" w:space="0" w:color="auto"/>
            </w:tcBorders>
            <w:shd w:val="clear" w:color="auto" w:fill="auto"/>
            <w:vAlign w:val="bottom"/>
            <w:hideMark/>
          </w:tcPr>
          <w:p w:rsidR="007521F5" w:rsidRPr="00B53423" w:rsidRDefault="00BC60A3" w:rsidP="0015232B">
            <w:pPr>
              <w:spacing w:before="0" w:line="240" w:lineRule="auto"/>
              <w:jc w:val="right"/>
              <w:rPr>
                <w:bCs/>
                <w:color w:val="000000"/>
              </w:rPr>
            </w:pPr>
            <w:r w:rsidRPr="00B53423">
              <w:rPr>
                <w:rFonts w:cs="Calibri"/>
                <w:b/>
                <w:bCs/>
                <w:color w:val="000000"/>
                <w:sz w:val="22"/>
                <w:szCs w:val="22"/>
              </w:rPr>
              <w:t>0.323</w:t>
            </w:r>
          </w:p>
        </w:tc>
        <w:tc>
          <w:tcPr>
            <w:tcW w:w="2052" w:type="dxa"/>
            <w:tcBorders>
              <w:top w:val="nil"/>
              <w:left w:val="nil"/>
              <w:bottom w:val="dotted" w:sz="4" w:space="0" w:color="auto"/>
              <w:right w:val="dotted" w:sz="4" w:space="0" w:color="auto"/>
            </w:tcBorders>
            <w:shd w:val="clear" w:color="auto" w:fill="auto"/>
            <w:vAlign w:val="bottom"/>
            <w:hideMark/>
          </w:tcPr>
          <w:p w:rsidR="007521F5" w:rsidRPr="00B53423" w:rsidRDefault="00BC60A3" w:rsidP="0015232B">
            <w:pPr>
              <w:spacing w:before="0" w:line="240" w:lineRule="auto"/>
              <w:jc w:val="right"/>
              <w:rPr>
                <w:bCs/>
                <w:color w:val="000000"/>
              </w:rPr>
            </w:pPr>
            <w:r w:rsidRPr="00B53423">
              <w:rPr>
                <w:rFonts w:cs="Calibri"/>
                <w:b/>
                <w:bCs/>
                <w:color w:val="000000"/>
                <w:sz w:val="22"/>
                <w:szCs w:val="22"/>
              </w:rPr>
              <w:t>6.376</w:t>
            </w:r>
          </w:p>
        </w:tc>
        <w:tc>
          <w:tcPr>
            <w:tcW w:w="1317" w:type="dxa"/>
            <w:tcBorders>
              <w:top w:val="nil"/>
              <w:left w:val="nil"/>
              <w:bottom w:val="dotted" w:sz="4" w:space="0" w:color="auto"/>
              <w:right w:val="dotted" w:sz="4" w:space="0" w:color="auto"/>
            </w:tcBorders>
            <w:shd w:val="clear" w:color="auto" w:fill="auto"/>
            <w:vAlign w:val="bottom"/>
            <w:hideMark/>
          </w:tcPr>
          <w:p w:rsidR="007521F5" w:rsidRPr="00B53423" w:rsidRDefault="00BC60A3" w:rsidP="0015232B">
            <w:pPr>
              <w:spacing w:before="0" w:line="240" w:lineRule="auto"/>
              <w:jc w:val="right"/>
              <w:rPr>
                <w:bCs/>
                <w:color w:val="000000"/>
              </w:rPr>
            </w:pPr>
            <w:r w:rsidRPr="00B53423">
              <w:rPr>
                <w:rFonts w:cs="Calibri"/>
                <w:b/>
                <w:bCs/>
                <w:color w:val="000000"/>
                <w:sz w:val="22"/>
                <w:szCs w:val="22"/>
              </w:rPr>
              <w:t>4.00%</w:t>
            </w:r>
          </w:p>
        </w:tc>
        <w:tc>
          <w:tcPr>
            <w:tcW w:w="1223" w:type="dxa"/>
            <w:tcBorders>
              <w:top w:val="nil"/>
              <w:left w:val="nil"/>
              <w:bottom w:val="dotted" w:sz="4" w:space="0" w:color="auto"/>
              <w:right w:val="dotted" w:sz="4" w:space="0" w:color="auto"/>
            </w:tcBorders>
            <w:shd w:val="clear" w:color="auto" w:fill="auto"/>
            <w:vAlign w:val="bottom"/>
            <w:hideMark/>
          </w:tcPr>
          <w:p w:rsidR="007521F5" w:rsidRPr="00B53423" w:rsidRDefault="00BC60A3" w:rsidP="0015232B">
            <w:pPr>
              <w:spacing w:before="0" w:line="240" w:lineRule="auto"/>
              <w:jc w:val="right"/>
              <w:rPr>
                <w:bCs/>
                <w:color w:val="000000"/>
              </w:rPr>
            </w:pPr>
            <w:r w:rsidRPr="00B53423">
              <w:rPr>
                <w:rFonts w:cs="Calibri"/>
                <w:b/>
                <w:bCs/>
                <w:color w:val="000000"/>
                <w:sz w:val="22"/>
                <w:szCs w:val="22"/>
              </w:rPr>
              <w:t>6.955</w:t>
            </w:r>
          </w:p>
        </w:tc>
      </w:tr>
      <w:tr w:rsidR="007521F5" w:rsidRPr="00B53423" w:rsidTr="007521F5">
        <w:trPr>
          <w:trHeight w:val="300"/>
        </w:trPr>
        <w:tc>
          <w:tcPr>
            <w:tcW w:w="815" w:type="dxa"/>
            <w:tcBorders>
              <w:top w:val="nil"/>
              <w:left w:val="dotted" w:sz="4" w:space="0" w:color="auto"/>
              <w:bottom w:val="dotted" w:sz="4" w:space="0" w:color="auto"/>
              <w:right w:val="dotted" w:sz="4" w:space="0" w:color="auto"/>
            </w:tcBorders>
            <w:shd w:val="clear" w:color="auto" w:fill="auto"/>
            <w:vAlign w:val="bottom"/>
            <w:hideMark/>
          </w:tcPr>
          <w:p w:rsidR="007521F5" w:rsidRPr="00B53423" w:rsidRDefault="007521F5" w:rsidP="0015232B">
            <w:pPr>
              <w:spacing w:before="0" w:line="240" w:lineRule="auto"/>
              <w:jc w:val="center"/>
              <w:rPr>
                <w:bCs/>
                <w:color w:val="000000"/>
                <w:lang w:val="en-US"/>
              </w:rPr>
            </w:pPr>
            <w:r w:rsidRPr="00B53423">
              <w:rPr>
                <w:bCs/>
                <w:color w:val="000000"/>
                <w:lang w:val="en-US"/>
              </w:rPr>
              <w:t>2</w:t>
            </w:r>
          </w:p>
        </w:tc>
        <w:tc>
          <w:tcPr>
            <w:tcW w:w="2929" w:type="dxa"/>
            <w:tcBorders>
              <w:top w:val="nil"/>
              <w:left w:val="nil"/>
              <w:bottom w:val="dotted" w:sz="4" w:space="0" w:color="auto"/>
              <w:right w:val="dotted" w:sz="4" w:space="0" w:color="auto"/>
            </w:tcBorders>
            <w:shd w:val="clear" w:color="auto" w:fill="auto"/>
            <w:vAlign w:val="bottom"/>
            <w:hideMark/>
          </w:tcPr>
          <w:p w:rsidR="007521F5" w:rsidRPr="00B53423" w:rsidRDefault="007521F5" w:rsidP="0015232B">
            <w:pPr>
              <w:spacing w:before="0" w:line="240" w:lineRule="auto"/>
              <w:jc w:val="left"/>
              <w:rPr>
                <w:bCs/>
                <w:color w:val="000000"/>
                <w:lang w:val="en-US"/>
              </w:rPr>
            </w:pPr>
            <w:r w:rsidRPr="00B53423">
              <w:rPr>
                <w:bCs/>
                <w:color w:val="000000"/>
                <w:lang w:val="en-US"/>
              </w:rPr>
              <w:t>HV Categories at 11 KV</w:t>
            </w:r>
          </w:p>
        </w:tc>
        <w:tc>
          <w:tcPr>
            <w:tcW w:w="1524" w:type="dxa"/>
            <w:tcBorders>
              <w:top w:val="nil"/>
              <w:left w:val="nil"/>
              <w:bottom w:val="dotted" w:sz="4" w:space="0" w:color="auto"/>
              <w:right w:val="dotted" w:sz="4" w:space="0" w:color="auto"/>
            </w:tcBorders>
            <w:shd w:val="clear" w:color="auto" w:fill="auto"/>
            <w:vAlign w:val="bottom"/>
            <w:hideMark/>
          </w:tcPr>
          <w:p w:rsidR="007521F5" w:rsidRPr="00B53423" w:rsidRDefault="00BC60A3" w:rsidP="0015232B">
            <w:pPr>
              <w:spacing w:before="0" w:line="240" w:lineRule="auto"/>
              <w:jc w:val="right"/>
              <w:rPr>
                <w:bCs/>
                <w:color w:val="000000"/>
              </w:rPr>
            </w:pPr>
            <w:r w:rsidRPr="00B53423">
              <w:rPr>
                <w:rFonts w:cs="Calibri"/>
                <w:b/>
                <w:bCs/>
                <w:color w:val="000000"/>
                <w:sz w:val="22"/>
                <w:szCs w:val="22"/>
              </w:rPr>
              <w:t>0.517</w:t>
            </w:r>
          </w:p>
        </w:tc>
        <w:tc>
          <w:tcPr>
            <w:tcW w:w="2052" w:type="dxa"/>
            <w:tcBorders>
              <w:top w:val="nil"/>
              <w:left w:val="nil"/>
              <w:bottom w:val="dotted" w:sz="4" w:space="0" w:color="auto"/>
              <w:right w:val="dotted" w:sz="4" w:space="0" w:color="auto"/>
            </w:tcBorders>
            <w:shd w:val="clear" w:color="auto" w:fill="auto"/>
            <w:vAlign w:val="bottom"/>
            <w:hideMark/>
          </w:tcPr>
          <w:p w:rsidR="007521F5" w:rsidRPr="00B53423" w:rsidRDefault="00BC60A3" w:rsidP="0015232B">
            <w:pPr>
              <w:spacing w:before="0" w:line="240" w:lineRule="auto"/>
              <w:jc w:val="right"/>
              <w:rPr>
                <w:bCs/>
                <w:color w:val="000000"/>
              </w:rPr>
            </w:pPr>
            <w:r w:rsidRPr="00B53423">
              <w:rPr>
                <w:rFonts w:cs="Calibri"/>
                <w:b/>
                <w:bCs/>
                <w:color w:val="000000"/>
                <w:sz w:val="22"/>
                <w:szCs w:val="22"/>
              </w:rPr>
              <w:t>6.376</w:t>
            </w:r>
          </w:p>
        </w:tc>
        <w:tc>
          <w:tcPr>
            <w:tcW w:w="1317" w:type="dxa"/>
            <w:tcBorders>
              <w:top w:val="nil"/>
              <w:left w:val="nil"/>
              <w:bottom w:val="dotted" w:sz="4" w:space="0" w:color="auto"/>
              <w:right w:val="dotted" w:sz="4" w:space="0" w:color="auto"/>
            </w:tcBorders>
            <w:shd w:val="clear" w:color="auto" w:fill="auto"/>
            <w:vAlign w:val="bottom"/>
            <w:hideMark/>
          </w:tcPr>
          <w:p w:rsidR="007521F5" w:rsidRPr="00B53423" w:rsidRDefault="00BC60A3" w:rsidP="0015232B">
            <w:pPr>
              <w:spacing w:before="0" w:line="240" w:lineRule="auto"/>
              <w:jc w:val="right"/>
              <w:rPr>
                <w:bCs/>
                <w:color w:val="000000"/>
              </w:rPr>
            </w:pPr>
            <w:r w:rsidRPr="00B53423">
              <w:rPr>
                <w:rFonts w:cs="Calibri"/>
                <w:b/>
                <w:bCs/>
                <w:color w:val="000000"/>
                <w:sz w:val="22"/>
                <w:szCs w:val="22"/>
              </w:rPr>
              <w:t>8.00%</w:t>
            </w:r>
          </w:p>
        </w:tc>
        <w:tc>
          <w:tcPr>
            <w:tcW w:w="1223" w:type="dxa"/>
            <w:tcBorders>
              <w:top w:val="nil"/>
              <w:left w:val="nil"/>
              <w:bottom w:val="dotted" w:sz="4" w:space="0" w:color="auto"/>
              <w:right w:val="dotted" w:sz="4" w:space="0" w:color="auto"/>
            </w:tcBorders>
            <w:shd w:val="clear" w:color="auto" w:fill="auto"/>
            <w:vAlign w:val="bottom"/>
            <w:hideMark/>
          </w:tcPr>
          <w:p w:rsidR="007521F5" w:rsidRPr="00B53423" w:rsidRDefault="00BC60A3" w:rsidP="0015232B">
            <w:pPr>
              <w:spacing w:before="0" w:line="240" w:lineRule="auto"/>
              <w:jc w:val="right"/>
              <w:rPr>
                <w:bCs/>
                <w:color w:val="000000"/>
              </w:rPr>
            </w:pPr>
            <w:r w:rsidRPr="00B53423">
              <w:rPr>
                <w:rFonts w:cs="Calibri"/>
                <w:b/>
                <w:bCs/>
                <w:color w:val="000000"/>
                <w:sz w:val="22"/>
                <w:szCs w:val="22"/>
              </w:rPr>
              <w:t>7.403</w:t>
            </w:r>
          </w:p>
        </w:tc>
      </w:tr>
    </w:tbl>
    <w:p w:rsidR="001407B8" w:rsidRPr="00B53423" w:rsidRDefault="001407B8" w:rsidP="0015232B">
      <w:pPr>
        <w:spacing w:before="0"/>
      </w:pPr>
    </w:p>
    <w:p w:rsidR="008E5045" w:rsidRPr="00B53423" w:rsidRDefault="001407B8" w:rsidP="0015232B">
      <w:pPr>
        <w:pStyle w:val="Heading3"/>
        <w:keepNext w:val="0"/>
        <w:spacing w:before="120" w:after="120"/>
        <w:ind w:hanging="1080"/>
      </w:pPr>
      <w:r w:rsidRPr="00B53423">
        <w:t>The impact of migration / shifting of consumers from the network of the incumbent Distribution Licensee on the consumer mix and revenues of a particular Distribution Licensee shall be reviewed by the Commission from time to time as may be considered appropriate.</w:t>
      </w:r>
    </w:p>
    <w:p w:rsidR="008E5045" w:rsidRPr="00B53423" w:rsidRDefault="008E5045" w:rsidP="0015232B">
      <w:pPr>
        <w:pStyle w:val="Heading3"/>
        <w:keepNext w:val="0"/>
        <w:numPr>
          <w:ilvl w:val="0"/>
          <w:numId w:val="0"/>
        </w:numPr>
        <w:spacing w:before="120" w:after="120"/>
        <w:ind w:left="993"/>
      </w:pPr>
    </w:p>
    <w:p w:rsidR="008E5045" w:rsidRPr="00B53423" w:rsidRDefault="001407B8" w:rsidP="0015232B">
      <w:pPr>
        <w:pStyle w:val="Heading3"/>
        <w:keepNext w:val="0"/>
        <w:spacing w:before="120" w:after="120"/>
        <w:ind w:hanging="1080"/>
      </w:pPr>
      <w:r w:rsidRPr="00B53423">
        <w:t xml:space="preserve">The Commission has approved levy of Regulatory Surcharge for recovery of cumulative regulatory asset created for the Licensee, which is a part of the tariff charged to different consumer categories. Hence, the Cross Subsidy Surcharge has been computed by subtracting the avoidable cost of supply for the Open Access consumers from the tariff applicable for the relevant consumer, which also includes the applicable Regulatory Surcharge. </w:t>
      </w:r>
    </w:p>
    <w:p w:rsidR="008E5045" w:rsidRPr="00B53423" w:rsidRDefault="008E5045" w:rsidP="0015232B">
      <w:pPr>
        <w:pStyle w:val="Heading3"/>
        <w:keepNext w:val="0"/>
        <w:numPr>
          <w:ilvl w:val="0"/>
          <w:numId w:val="0"/>
        </w:numPr>
        <w:spacing w:before="120" w:after="120"/>
        <w:ind w:left="720"/>
      </w:pPr>
    </w:p>
    <w:p w:rsidR="008E5045" w:rsidRPr="00B53423" w:rsidRDefault="001407B8" w:rsidP="0015232B">
      <w:pPr>
        <w:pStyle w:val="Heading3"/>
        <w:keepNext w:val="0"/>
        <w:spacing w:before="120" w:after="120"/>
        <w:ind w:hanging="1080"/>
      </w:pPr>
      <w:r w:rsidRPr="00B53423">
        <w:t>The category-wise Cross Subsidy Surcharge approved by the Commission for FY 2014-15 is as given in the Table below:</w:t>
      </w:r>
    </w:p>
    <w:p w:rsidR="001407B8" w:rsidRPr="00B53423" w:rsidRDefault="001407B8" w:rsidP="0015232B">
      <w:pPr>
        <w:spacing w:before="0"/>
      </w:pPr>
    </w:p>
    <w:p w:rsidR="001407B8" w:rsidRPr="00B53423" w:rsidRDefault="001407B8" w:rsidP="0015232B">
      <w:pPr>
        <w:spacing w:before="0"/>
        <w:ind w:firstLine="720"/>
        <w:jc w:val="center"/>
        <w:rPr>
          <w:b/>
        </w:rPr>
      </w:pPr>
      <w:bookmarkStart w:id="927" w:name="_Toc399626440"/>
      <w:r w:rsidRPr="00B53423">
        <w:rPr>
          <w:rFonts w:cstheme="minorHAnsi"/>
          <w:b/>
        </w:rPr>
        <w:t xml:space="preserve">Table </w:t>
      </w:r>
      <w:r w:rsidR="005D68E7" w:rsidRPr="00B53423">
        <w:rPr>
          <w:rFonts w:cstheme="minorHAnsi"/>
          <w:b/>
        </w:rPr>
        <w:fldChar w:fldCharType="begin"/>
      </w:r>
      <w:r w:rsidR="00095176" w:rsidRPr="00B53423">
        <w:rPr>
          <w:rFonts w:cstheme="minorHAnsi"/>
          <w:b/>
        </w:rPr>
        <w:instrText xml:space="preserve"> STYLEREF 1 \s </w:instrText>
      </w:r>
      <w:r w:rsidR="005D68E7" w:rsidRPr="00B53423">
        <w:rPr>
          <w:rFonts w:cstheme="minorHAnsi"/>
          <w:b/>
        </w:rPr>
        <w:fldChar w:fldCharType="separate"/>
      </w:r>
      <w:r w:rsidR="00847C1B">
        <w:rPr>
          <w:rFonts w:cstheme="minorHAnsi"/>
          <w:b/>
          <w:noProof/>
        </w:rPr>
        <w:t>10</w:t>
      </w:r>
      <w:r w:rsidR="005D68E7" w:rsidRPr="00B53423">
        <w:rPr>
          <w:rFonts w:cstheme="minorHAnsi"/>
          <w:b/>
        </w:rPr>
        <w:fldChar w:fldCharType="end"/>
      </w:r>
      <w:r w:rsidR="00095176" w:rsidRPr="00B53423">
        <w:rPr>
          <w:rFonts w:cstheme="minorHAnsi"/>
          <w:b/>
        </w:rPr>
        <w:noBreakHyphen/>
      </w:r>
      <w:r w:rsidR="005D68E7" w:rsidRPr="00B53423">
        <w:rPr>
          <w:rFonts w:cstheme="minorHAnsi"/>
          <w:b/>
        </w:rPr>
        <w:fldChar w:fldCharType="begin"/>
      </w:r>
      <w:r w:rsidR="00095176" w:rsidRPr="00B53423">
        <w:rPr>
          <w:rFonts w:cstheme="minorHAnsi"/>
          <w:b/>
        </w:rPr>
        <w:instrText xml:space="preserve"> SEQ Table \* ARABIC \s 1 </w:instrText>
      </w:r>
      <w:r w:rsidR="005D68E7" w:rsidRPr="00B53423">
        <w:rPr>
          <w:rFonts w:cstheme="minorHAnsi"/>
          <w:b/>
        </w:rPr>
        <w:fldChar w:fldCharType="separate"/>
      </w:r>
      <w:r w:rsidR="00847C1B">
        <w:rPr>
          <w:rFonts w:cstheme="minorHAnsi"/>
          <w:b/>
          <w:noProof/>
        </w:rPr>
        <w:t>5</w:t>
      </w:r>
      <w:r w:rsidR="005D68E7" w:rsidRPr="00B53423">
        <w:rPr>
          <w:rFonts w:cstheme="minorHAnsi"/>
          <w:b/>
        </w:rPr>
        <w:fldChar w:fldCharType="end"/>
      </w:r>
      <w:r w:rsidR="00095176" w:rsidRPr="00B53423">
        <w:rPr>
          <w:rFonts w:cstheme="minorHAnsi"/>
          <w:b/>
        </w:rPr>
        <w:t>:</w:t>
      </w:r>
      <w:r w:rsidR="00095176">
        <w:rPr>
          <w:rFonts w:cstheme="minorHAnsi"/>
          <w:b/>
        </w:rPr>
        <w:t xml:space="preserve"> </w:t>
      </w:r>
      <w:r w:rsidRPr="00B53423">
        <w:rPr>
          <w:b/>
        </w:rPr>
        <w:t>CROSS SUBSIDY SURCHARGE APROVED BY THE COMMISSISON FOR FY 2014-15</w:t>
      </w:r>
      <w:bookmarkEnd w:id="927"/>
    </w:p>
    <w:tbl>
      <w:tblPr>
        <w:tblW w:w="9860"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60"/>
        <w:gridCol w:w="2825"/>
        <w:gridCol w:w="1260"/>
        <w:gridCol w:w="1800"/>
        <w:gridCol w:w="1530"/>
        <w:gridCol w:w="1485"/>
      </w:tblGrid>
      <w:tr w:rsidR="001407B8" w:rsidRPr="00B53423" w:rsidTr="001655C0">
        <w:trPr>
          <w:trHeight w:val="710"/>
          <w:tblHeader/>
        </w:trPr>
        <w:tc>
          <w:tcPr>
            <w:tcW w:w="960" w:type="dxa"/>
            <w:shd w:val="clear" w:color="000000" w:fill="DCE6F1"/>
            <w:vAlign w:val="center"/>
            <w:hideMark/>
          </w:tcPr>
          <w:p w:rsidR="001407B8" w:rsidRPr="00B53423" w:rsidRDefault="001407B8" w:rsidP="0015232B">
            <w:pPr>
              <w:spacing w:before="0" w:line="240" w:lineRule="auto"/>
              <w:jc w:val="center"/>
              <w:rPr>
                <w:rFonts w:cs="Calibri"/>
                <w:b/>
                <w:bCs/>
                <w:color w:val="000000"/>
                <w:lang w:val="en-US"/>
              </w:rPr>
            </w:pPr>
            <w:r w:rsidRPr="00B53423">
              <w:rPr>
                <w:rFonts w:cs="Calibri"/>
                <w:b/>
                <w:bCs/>
                <w:color w:val="000000"/>
                <w:lang w:val="en-US"/>
              </w:rPr>
              <w:t>S No.</w:t>
            </w:r>
          </w:p>
        </w:tc>
        <w:tc>
          <w:tcPr>
            <w:tcW w:w="2825" w:type="dxa"/>
            <w:shd w:val="clear" w:color="000000" w:fill="DCE6F1"/>
            <w:vAlign w:val="center"/>
            <w:hideMark/>
          </w:tcPr>
          <w:p w:rsidR="001407B8" w:rsidRPr="00B53423" w:rsidRDefault="001407B8" w:rsidP="0015232B">
            <w:pPr>
              <w:spacing w:before="0" w:line="240" w:lineRule="auto"/>
              <w:jc w:val="center"/>
              <w:rPr>
                <w:rFonts w:cs="Calibri"/>
                <w:b/>
                <w:bCs/>
                <w:color w:val="000000"/>
                <w:lang w:val="en-US"/>
              </w:rPr>
            </w:pPr>
            <w:r w:rsidRPr="00B53423">
              <w:rPr>
                <w:rFonts w:cs="Calibri"/>
                <w:b/>
                <w:bCs/>
                <w:color w:val="000000"/>
                <w:lang w:val="en-US"/>
              </w:rPr>
              <w:t>Categories</w:t>
            </w:r>
          </w:p>
        </w:tc>
        <w:tc>
          <w:tcPr>
            <w:tcW w:w="1260" w:type="dxa"/>
            <w:shd w:val="clear" w:color="000000" w:fill="DCE6F1"/>
            <w:vAlign w:val="center"/>
            <w:hideMark/>
          </w:tcPr>
          <w:p w:rsidR="001407B8" w:rsidRPr="00B53423" w:rsidRDefault="001407B8" w:rsidP="0015232B">
            <w:pPr>
              <w:spacing w:before="0" w:line="240" w:lineRule="auto"/>
              <w:jc w:val="center"/>
              <w:rPr>
                <w:rFonts w:cs="Calibri"/>
                <w:b/>
                <w:bCs/>
                <w:color w:val="000000"/>
                <w:lang w:val="en-US"/>
              </w:rPr>
            </w:pPr>
            <w:r w:rsidRPr="00B53423">
              <w:rPr>
                <w:rFonts w:cs="Calibri"/>
                <w:b/>
                <w:bCs/>
                <w:color w:val="000000"/>
                <w:lang w:val="en-US"/>
              </w:rPr>
              <w:t>Average Billing Rate</w:t>
            </w:r>
          </w:p>
        </w:tc>
        <w:tc>
          <w:tcPr>
            <w:tcW w:w="1800" w:type="dxa"/>
            <w:shd w:val="clear" w:color="000000" w:fill="DCE6F1"/>
            <w:vAlign w:val="center"/>
            <w:hideMark/>
          </w:tcPr>
          <w:p w:rsidR="001407B8" w:rsidRPr="00B53423" w:rsidRDefault="001407B8" w:rsidP="0015232B">
            <w:pPr>
              <w:spacing w:before="0" w:line="240" w:lineRule="auto"/>
              <w:jc w:val="center"/>
              <w:rPr>
                <w:rFonts w:cs="Calibri"/>
                <w:b/>
                <w:bCs/>
                <w:color w:val="000000"/>
                <w:lang w:val="en-US"/>
              </w:rPr>
            </w:pPr>
            <w:r w:rsidRPr="00B53423">
              <w:rPr>
                <w:rFonts w:cs="Calibri"/>
                <w:b/>
                <w:bCs/>
                <w:color w:val="000000"/>
                <w:lang w:val="en-US"/>
              </w:rPr>
              <w:t>Average Billing Rate (inclusive of Regulatory Surcharge) "T"</w:t>
            </w:r>
          </w:p>
        </w:tc>
        <w:tc>
          <w:tcPr>
            <w:tcW w:w="1530" w:type="dxa"/>
            <w:shd w:val="clear" w:color="000000" w:fill="DCE6F1"/>
            <w:vAlign w:val="center"/>
            <w:hideMark/>
          </w:tcPr>
          <w:p w:rsidR="001407B8" w:rsidRPr="00B53423" w:rsidRDefault="001407B8" w:rsidP="0015232B">
            <w:pPr>
              <w:spacing w:before="0" w:line="240" w:lineRule="auto"/>
              <w:jc w:val="center"/>
              <w:rPr>
                <w:rFonts w:cs="Calibri"/>
                <w:b/>
                <w:bCs/>
                <w:color w:val="000000"/>
                <w:lang w:val="en-US"/>
              </w:rPr>
            </w:pPr>
            <w:r w:rsidRPr="00B53423">
              <w:rPr>
                <w:rFonts w:cs="Calibri"/>
                <w:b/>
                <w:bCs/>
                <w:color w:val="000000"/>
                <w:lang w:val="en-US"/>
              </w:rPr>
              <w:t>Cost of Supply for computing CSS</w:t>
            </w:r>
          </w:p>
        </w:tc>
        <w:tc>
          <w:tcPr>
            <w:tcW w:w="1485" w:type="dxa"/>
            <w:shd w:val="clear" w:color="000000" w:fill="DCE6F1"/>
            <w:vAlign w:val="center"/>
            <w:hideMark/>
          </w:tcPr>
          <w:p w:rsidR="001407B8" w:rsidRPr="00B53423" w:rsidRDefault="001407B8" w:rsidP="0015232B">
            <w:pPr>
              <w:spacing w:before="0" w:line="240" w:lineRule="auto"/>
              <w:jc w:val="center"/>
              <w:rPr>
                <w:rFonts w:cs="Calibri"/>
                <w:b/>
                <w:bCs/>
                <w:color w:val="000000"/>
                <w:lang w:val="en-US"/>
              </w:rPr>
            </w:pPr>
            <w:r w:rsidRPr="00B53423">
              <w:rPr>
                <w:rFonts w:cs="Calibri"/>
                <w:b/>
                <w:bCs/>
                <w:color w:val="000000"/>
                <w:lang w:val="en-US"/>
              </w:rPr>
              <w:t>Cross Subsidy Surcharge "CSS"</w:t>
            </w:r>
          </w:p>
        </w:tc>
      </w:tr>
      <w:tr w:rsidR="007521F5" w:rsidRPr="00B53423" w:rsidTr="001655C0">
        <w:trPr>
          <w:trHeight w:val="225"/>
        </w:trPr>
        <w:tc>
          <w:tcPr>
            <w:tcW w:w="960" w:type="dxa"/>
            <w:shd w:val="clear" w:color="auto" w:fill="auto"/>
            <w:vAlign w:val="bottom"/>
            <w:hideMark/>
          </w:tcPr>
          <w:p w:rsidR="007521F5" w:rsidRPr="00B53423" w:rsidRDefault="007521F5" w:rsidP="0015232B">
            <w:pPr>
              <w:spacing w:before="0" w:line="240" w:lineRule="auto"/>
              <w:jc w:val="center"/>
              <w:rPr>
                <w:rFonts w:cs="Calibri"/>
                <w:color w:val="000000"/>
                <w:lang w:val="en-US"/>
              </w:rPr>
            </w:pPr>
            <w:r w:rsidRPr="00B53423">
              <w:rPr>
                <w:rFonts w:cs="Calibri"/>
                <w:color w:val="000000"/>
                <w:lang w:val="en-US"/>
              </w:rPr>
              <w:t>1</w:t>
            </w:r>
          </w:p>
        </w:tc>
        <w:tc>
          <w:tcPr>
            <w:tcW w:w="2825" w:type="dxa"/>
            <w:shd w:val="clear" w:color="auto" w:fill="auto"/>
            <w:vAlign w:val="bottom"/>
            <w:hideMark/>
          </w:tcPr>
          <w:p w:rsidR="007521F5" w:rsidRPr="00B53423" w:rsidRDefault="007521F5" w:rsidP="0015232B">
            <w:pPr>
              <w:spacing w:before="0" w:line="240" w:lineRule="auto"/>
              <w:jc w:val="left"/>
              <w:rPr>
                <w:rFonts w:cs="Calibri"/>
                <w:color w:val="000000"/>
                <w:lang w:val="en-US"/>
              </w:rPr>
            </w:pPr>
            <w:r w:rsidRPr="00B53423">
              <w:rPr>
                <w:rFonts w:cs="Calibri"/>
                <w:color w:val="000000"/>
                <w:lang w:val="en-US"/>
              </w:rPr>
              <w:t>HV-1 (Supply at 11 kV)</w:t>
            </w:r>
          </w:p>
        </w:tc>
        <w:tc>
          <w:tcPr>
            <w:tcW w:w="1260" w:type="dxa"/>
            <w:shd w:val="clear" w:color="auto" w:fill="auto"/>
            <w:vAlign w:val="bottom"/>
            <w:hideMark/>
          </w:tcPr>
          <w:p w:rsidR="007521F5" w:rsidRPr="00B53423" w:rsidRDefault="00BC60A3" w:rsidP="0015232B">
            <w:pPr>
              <w:spacing w:before="0" w:line="240" w:lineRule="auto"/>
              <w:ind w:right="224"/>
              <w:jc w:val="right"/>
              <w:rPr>
                <w:rFonts w:cs="Calibri"/>
                <w:color w:val="000000"/>
                <w:lang w:val="en-US"/>
              </w:rPr>
            </w:pPr>
            <w:r w:rsidRPr="00B53423">
              <w:rPr>
                <w:rFonts w:cs="Calibri"/>
                <w:color w:val="000000"/>
                <w:sz w:val="22"/>
                <w:szCs w:val="22"/>
              </w:rPr>
              <w:t>7.85</w:t>
            </w:r>
          </w:p>
        </w:tc>
        <w:tc>
          <w:tcPr>
            <w:tcW w:w="1800" w:type="dxa"/>
            <w:shd w:val="clear" w:color="auto" w:fill="auto"/>
            <w:noWrap/>
            <w:vAlign w:val="bottom"/>
            <w:hideMark/>
          </w:tcPr>
          <w:p w:rsidR="007521F5" w:rsidRPr="00B53423" w:rsidRDefault="00BC60A3" w:rsidP="0015232B">
            <w:pPr>
              <w:spacing w:before="0" w:line="240" w:lineRule="auto"/>
              <w:ind w:right="522"/>
              <w:jc w:val="right"/>
              <w:rPr>
                <w:rFonts w:cs="Calibri"/>
                <w:color w:val="000000"/>
                <w:lang w:val="en-US"/>
              </w:rPr>
            </w:pPr>
            <w:r w:rsidRPr="00B53423">
              <w:rPr>
                <w:rFonts w:cs="Calibri"/>
                <w:color w:val="000000"/>
                <w:sz w:val="22"/>
                <w:szCs w:val="22"/>
              </w:rPr>
              <w:t>7.85</w:t>
            </w:r>
          </w:p>
        </w:tc>
        <w:tc>
          <w:tcPr>
            <w:tcW w:w="1530" w:type="dxa"/>
            <w:shd w:val="clear" w:color="auto" w:fill="auto"/>
            <w:vAlign w:val="bottom"/>
            <w:hideMark/>
          </w:tcPr>
          <w:p w:rsidR="007521F5" w:rsidRPr="00B53423" w:rsidRDefault="00BC60A3" w:rsidP="0015232B">
            <w:pPr>
              <w:spacing w:before="0" w:line="240" w:lineRule="auto"/>
              <w:ind w:right="342"/>
              <w:jc w:val="right"/>
              <w:rPr>
                <w:rFonts w:cs="Calibri"/>
                <w:color w:val="000000"/>
                <w:lang w:val="en-US"/>
              </w:rPr>
            </w:pPr>
            <w:r w:rsidRPr="00B53423">
              <w:rPr>
                <w:rFonts w:cs="Calibri"/>
                <w:color w:val="000000"/>
                <w:sz w:val="22"/>
                <w:szCs w:val="22"/>
              </w:rPr>
              <w:t>7.403</w:t>
            </w:r>
          </w:p>
        </w:tc>
        <w:tc>
          <w:tcPr>
            <w:tcW w:w="1485" w:type="dxa"/>
            <w:shd w:val="clear" w:color="auto" w:fill="auto"/>
            <w:vAlign w:val="bottom"/>
            <w:hideMark/>
          </w:tcPr>
          <w:p w:rsidR="007521F5" w:rsidRPr="00B53423" w:rsidRDefault="00BC60A3" w:rsidP="0015232B">
            <w:pPr>
              <w:spacing w:before="0" w:line="240" w:lineRule="auto"/>
              <w:ind w:right="297"/>
              <w:jc w:val="right"/>
              <w:rPr>
                <w:rFonts w:cs="Calibri"/>
                <w:color w:val="000000"/>
                <w:lang w:val="en-US"/>
              </w:rPr>
            </w:pPr>
            <w:r w:rsidRPr="00B53423">
              <w:rPr>
                <w:rFonts w:cs="Calibri"/>
                <w:color w:val="000000"/>
                <w:sz w:val="22"/>
                <w:szCs w:val="22"/>
              </w:rPr>
              <w:t>0.45</w:t>
            </w:r>
          </w:p>
        </w:tc>
      </w:tr>
      <w:tr w:rsidR="007521F5" w:rsidRPr="00B53423" w:rsidTr="001655C0">
        <w:trPr>
          <w:trHeight w:val="225"/>
        </w:trPr>
        <w:tc>
          <w:tcPr>
            <w:tcW w:w="960" w:type="dxa"/>
            <w:shd w:val="clear" w:color="auto" w:fill="auto"/>
            <w:vAlign w:val="bottom"/>
            <w:hideMark/>
          </w:tcPr>
          <w:p w:rsidR="007521F5" w:rsidRPr="00B53423" w:rsidRDefault="007521F5" w:rsidP="0015232B">
            <w:pPr>
              <w:spacing w:before="0" w:line="240" w:lineRule="auto"/>
              <w:jc w:val="center"/>
              <w:rPr>
                <w:rFonts w:cs="Calibri"/>
                <w:color w:val="000000"/>
                <w:lang w:val="en-US"/>
              </w:rPr>
            </w:pPr>
            <w:r w:rsidRPr="00B53423">
              <w:rPr>
                <w:rFonts w:cs="Calibri"/>
                <w:color w:val="000000"/>
                <w:lang w:val="en-US"/>
              </w:rPr>
              <w:t>2</w:t>
            </w:r>
          </w:p>
        </w:tc>
        <w:tc>
          <w:tcPr>
            <w:tcW w:w="2825" w:type="dxa"/>
            <w:shd w:val="clear" w:color="auto" w:fill="auto"/>
            <w:vAlign w:val="bottom"/>
            <w:hideMark/>
          </w:tcPr>
          <w:p w:rsidR="007521F5" w:rsidRPr="00B53423" w:rsidRDefault="007521F5" w:rsidP="0015232B">
            <w:pPr>
              <w:spacing w:before="0" w:line="240" w:lineRule="auto"/>
              <w:jc w:val="left"/>
              <w:rPr>
                <w:rFonts w:cs="Calibri"/>
                <w:color w:val="000000"/>
                <w:lang w:val="en-US"/>
              </w:rPr>
            </w:pPr>
            <w:r w:rsidRPr="00B53423">
              <w:rPr>
                <w:rFonts w:cs="Calibri"/>
                <w:color w:val="000000"/>
                <w:lang w:val="en-US"/>
              </w:rPr>
              <w:t>HV-1 (Supply above 11 kV)</w:t>
            </w:r>
          </w:p>
        </w:tc>
        <w:tc>
          <w:tcPr>
            <w:tcW w:w="1260" w:type="dxa"/>
            <w:shd w:val="clear" w:color="auto" w:fill="auto"/>
            <w:vAlign w:val="bottom"/>
            <w:hideMark/>
          </w:tcPr>
          <w:p w:rsidR="007521F5" w:rsidRPr="00B53423" w:rsidRDefault="00BC60A3" w:rsidP="0015232B">
            <w:pPr>
              <w:spacing w:before="0" w:line="240" w:lineRule="auto"/>
              <w:ind w:right="224"/>
              <w:jc w:val="right"/>
              <w:rPr>
                <w:rFonts w:cs="Calibri"/>
                <w:color w:val="000000"/>
                <w:lang w:val="en-US"/>
              </w:rPr>
            </w:pPr>
            <w:r w:rsidRPr="00B53423">
              <w:rPr>
                <w:rFonts w:cs="Calibri"/>
                <w:color w:val="000000"/>
                <w:sz w:val="22"/>
                <w:szCs w:val="22"/>
              </w:rPr>
              <w:t>7.57</w:t>
            </w:r>
          </w:p>
        </w:tc>
        <w:tc>
          <w:tcPr>
            <w:tcW w:w="1800" w:type="dxa"/>
            <w:shd w:val="clear" w:color="auto" w:fill="auto"/>
            <w:noWrap/>
            <w:vAlign w:val="bottom"/>
            <w:hideMark/>
          </w:tcPr>
          <w:p w:rsidR="007521F5" w:rsidRPr="00B53423" w:rsidRDefault="00BC60A3" w:rsidP="0015232B">
            <w:pPr>
              <w:spacing w:before="0" w:line="240" w:lineRule="auto"/>
              <w:ind w:right="522"/>
              <w:jc w:val="right"/>
              <w:rPr>
                <w:rFonts w:cs="Calibri"/>
                <w:color w:val="000000"/>
                <w:lang w:val="en-US"/>
              </w:rPr>
            </w:pPr>
            <w:r w:rsidRPr="00B53423">
              <w:rPr>
                <w:rFonts w:cs="Calibri"/>
                <w:color w:val="000000"/>
                <w:sz w:val="22"/>
                <w:szCs w:val="22"/>
              </w:rPr>
              <w:t>7.57</w:t>
            </w:r>
          </w:p>
        </w:tc>
        <w:tc>
          <w:tcPr>
            <w:tcW w:w="1530" w:type="dxa"/>
            <w:shd w:val="clear" w:color="auto" w:fill="auto"/>
            <w:vAlign w:val="bottom"/>
            <w:hideMark/>
          </w:tcPr>
          <w:p w:rsidR="007521F5" w:rsidRPr="00B53423" w:rsidRDefault="00BC60A3" w:rsidP="0015232B">
            <w:pPr>
              <w:spacing w:before="0" w:line="240" w:lineRule="auto"/>
              <w:ind w:right="342"/>
              <w:jc w:val="right"/>
              <w:rPr>
                <w:rFonts w:cs="Calibri"/>
                <w:color w:val="000000"/>
                <w:lang w:val="en-US"/>
              </w:rPr>
            </w:pPr>
            <w:r w:rsidRPr="00B53423">
              <w:rPr>
                <w:rFonts w:cs="Calibri"/>
                <w:color w:val="000000"/>
                <w:sz w:val="22"/>
                <w:szCs w:val="22"/>
              </w:rPr>
              <w:t>6.955</w:t>
            </w:r>
          </w:p>
        </w:tc>
        <w:tc>
          <w:tcPr>
            <w:tcW w:w="1485" w:type="dxa"/>
            <w:shd w:val="clear" w:color="auto" w:fill="auto"/>
            <w:vAlign w:val="bottom"/>
            <w:hideMark/>
          </w:tcPr>
          <w:p w:rsidR="007521F5" w:rsidRPr="00B53423" w:rsidRDefault="00BC60A3" w:rsidP="0015232B">
            <w:pPr>
              <w:spacing w:before="0" w:line="240" w:lineRule="auto"/>
              <w:ind w:right="297"/>
              <w:jc w:val="right"/>
              <w:rPr>
                <w:rFonts w:cs="Calibri"/>
                <w:color w:val="000000"/>
                <w:lang w:val="en-US"/>
              </w:rPr>
            </w:pPr>
            <w:r w:rsidRPr="00B53423">
              <w:rPr>
                <w:rFonts w:cs="Calibri"/>
                <w:color w:val="000000"/>
                <w:sz w:val="22"/>
                <w:szCs w:val="22"/>
              </w:rPr>
              <w:t>0.62</w:t>
            </w:r>
          </w:p>
        </w:tc>
      </w:tr>
      <w:tr w:rsidR="007521F5" w:rsidRPr="00B53423" w:rsidTr="001655C0">
        <w:trPr>
          <w:trHeight w:val="225"/>
        </w:trPr>
        <w:tc>
          <w:tcPr>
            <w:tcW w:w="960" w:type="dxa"/>
            <w:shd w:val="clear" w:color="auto" w:fill="auto"/>
            <w:vAlign w:val="bottom"/>
            <w:hideMark/>
          </w:tcPr>
          <w:p w:rsidR="007521F5" w:rsidRPr="00B53423" w:rsidRDefault="007521F5" w:rsidP="0015232B">
            <w:pPr>
              <w:spacing w:before="0" w:line="240" w:lineRule="auto"/>
              <w:jc w:val="center"/>
              <w:rPr>
                <w:rFonts w:cs="Calibri"/>
                <w:color w:val="000000"/>
                <w:lang w:val="en-US"/>
              </w:rPr>
            </w:pPr>
            <w:r w:rsidRPr="00B53423">
              <w:rPr>
                <w:rFonts w:cs="Calibri"/>
                <w:color w:val="000000"/>
                <w:lang w:val="en-US"/>
              </w:rPr>
              <w:t>3</w:t>
            </w:r>
          </w:p>
        </w:tc>
        <w:tc>
          <w:tcPr>
            <w:tcW w:w="2825" w:type="dxa"/>
            <w:shd w:val="clear" w:color="auto" w:fill="auto"/>
            <w:vAlign w:val="bottom"/>
            <w:hideMark/>
          </w:tcPr>
          <w:p w:rsidR="007521F5" w:rsidRPr="00B53423" w:rsidRDefault="007521F5" w:rsidP="0015232B">
            <w:pPr>
              <w:spacing w:before="0" w:line="240" w:lineRule="auto"/>
              <w:jc w:val="left"/>
              <w:rPr>
                <w:rFonts w:cs="Calibri"/>
                <w:color w:val="000000"/>
                <w:lang w:val="en-US"/>
              </w:rPr>
            </w:pPr>
            <w:r w:rsidRPr="00B53423">
              <w:rPr>
                <w:rFonts w:cs="Calibri"/>
                <w:color w:val="000000"/>
                <w:lang w:val="en-US"/>
              </w:rPr>
              <w:t>HV-2 (Supply at 11 kV)</w:t>
            </w:r>
          </w:p>
        </w:tc>
        <w:tc>
          <w:tcPr>
            <w:tcW w:w="1260" w:type="dxa"/>
            <w:shd w:val="clear" w:color="auto" w:fill="auto"/>
            <w:vAlign w:val="bottom"/>
            <w:hideMark/>
          </w:tcPr>
          <w:p w:rsidR="007521F5" w:rsidRPr="00B53423" w:rsidRDefault="00BC60A3" w:rsidP="0015232B">
            <w:pPr>
              <w:spacing w:before="0" w:line="240" w:lineRule="auto"/>
              <w:ind w:right="224"/>
              <w:jc w:val="right"/>
              <w:rPr>
                <w:rFonts w:cs="Calibri"/>
                <w:color w:val="000000"/>
                <w:lang w:val="en-US"/>
              </w:rPr>
            </w:pPr>
            <w:r w:rsidRPr="00B53423">
              <w:rPr>
                <w:rFonts w:cs="Calibri"/>
                <w:color w:val="000000"/>
                <w:sz w:val="22"/>
                <w:szCs w:val="22"/>
              </w:rPr>
              <w:t>7.35</w:t>
            </w:r>
          </w:p>
        </w:tc>
        <w:tc>
          <w:tcPr>
            <w:tcW w:w="1800" w:type="dxa"/>
            <w:shd w:val="clear" w:color="auto" w:fill="auto"/>
            <w:noWrap/>
            <w:vAlign w:val="bottom"/>
            <w:hideMark/>
          </w:tcPr>
          <w:p w:rsidR="007521F5" w:rsidRPr="00B53423" w:rsidRDefault="00BC60A3" w:rsidP="0015232B">
            <w:pPr>
              <w:spacing w:before="0" w:line="240" w:lineRule="auto"/>
              <w:ind w:right="522"/>
              <w:jc w:val="right"/>
              <w:rPr>
                <w:rFonts w:cs="Calibri"/>
                <w:color w:val="000000"/>
                <w:lang w:val="en-US"/>
              </w:rPr>
            </w:pPr>
            <w:r w:rsidRPr="00B53423">
              <w:rPr>
                <w:rFonts w:cs="Calibri"/>
                <w:color w:val="000000"/>
                <w:sz w:val="22"/>
                <w:szCs w:val="22"/>
              </w:rPr>
              <w:t>7.35</w:t>
            </w:r>
          </w:p>
        </w:tc>
        <w:tc>
          <w:tcPr>
            <w:tcW w:w="1530" w:type="dxa"/>
            <w:shd w:val="clear" w:color="auto" w:fill="auto"/>
            <w:noWrap/>
            <w:vAlign w:val="bottom"/>
            <w:hideMark/>
          </w:tcPr>
          <w:p w:rsidR="007521F5" w:rsidRPr="00B53423" w:rsidRDefault="00BC60A3" w:rsidP="0015232B">
            <w:pPr>
              <w:spacing w:before="0" w:line="240" w:lineRule="auto"/>
              <w:ind w:right="342"/>
              <w:jc w:val="right"/>
              <w:rPr>
                <w:rFonts w:cs="Calibri"/>
                <w:color w:val="000000"/>
                <w:lang w:val="en-US"/>
              </w:rPr>
            </w:pPr>
            <w:r w:rsidRPr="00B53423">
              <w:rPr>
                <w:rFonts w:cs="Calibri"/>
                <w:color w:val="000000"/>
                <w:sz w:val="22"/>
                <w:szCs w:val="22"/>
              </w:rPr>
              <w:t>7.403</w:t>
            </w:r>
          </w:p>
        </w:tc>
        <w:tc>
          <w:tcPr>
            <w:tcW w:w="1485" w:type="dxa"/>
            <w:shd w:val="clear" w:color="auto" w:fill="auto"/>
            <w:vAlign w:val="bottom"/>
            <w:hideMark/>
          </w:tcPr>
          <w:p w:rsidR="007521F5" w:rsidRPr="00B53423" w:rsidRDefault="00FE2231" w:rsidP="0015232B">
            <w:pPr>
              <w:spacing w:before="0" w:line="240" w:lineRule="auto"/>
              <w:ind w:right="297"/>
              <w:jc w:val="right"/>
              <w:rPr>
                <w:rFonts w:cs="Calibri"/>
                <w:color w:val="000000"/>
                <w:lang w:val="en-US"/>
              </w:rPr>
            </w:pPr>
            <w:r w:rsidRPr="00B53423">
              <w:rPr>
                <w:rFonts w:cs="Calibri"/>
                <w:color w:val="000000"/>
              </w:rPr>
              <w:t>Nil</w:t>
            </w:r>
          </w:p>
        </w:tc>
      </w:tr>
      <w:tr w:rsidR="007521F5" w:rsidRPr="00B53423" w:rsidTr="001655C0">
        <w:trPr>
          <w:trHeight w:val="225"/>
        </w:trPr>
        <w:tc>
          <w:tcPr>
            <w:tcW w:w="960" w:type="dxa"/>
            <w:shd w:val="clear" w:color="auto" w:fill="auto"/>
            <w:vAlign w:val="bottom"/>
            <w:hideMark/>
          </w:tcPr>
          <w:p w:rsidR="007521F5" w:rsidRPr="00B53423" w:rsidRDefault="007521F5" w:rsidP="0015232B">
            <w:pPr>
              <w:spacing w:before="0" w:line="240" w:lineRule="auto"/>
              <w:jc w:val="center"/>
              <w:rPr>
                <w:rFonts w:cs="Calibri"/>
                <w:color w:val="000000"/>
                <w:lang w:val="en-US"/>
              </w:rPr>
            </w:pPr>
            <w:r w:rsidRPr="00B53423">
              <w:rPr>
                <w:rFonts w:cs="Calibri"/>
                <w:color w:val="000000"/>
                <w:lang w:val="en-US"/>
              </w:rPr>
              <w:t>4</w:t>
            </w:r>
          </w:p>
        </w:tc>
        <w:tc>
          <w:tcPr>
            <w:tcW w:w="2825" w:type="dxa"/>
            <w:shd w:val="clear" w:color="auto" w:fill="auto"/>
            <w:vAlign w:val="bottom"/>
            <w:hideMark/>
          </w:tcPr>
          <w:p w:rsidR="007521F5" w:rsidRPr="00B53423" w:rsidRDefault="007521F5" w:rsidP="0015232B">
            <w:pPr>
              <w:spacing w:before="0" w:line="240" w:lineRule="auto"/>
              <w:jc w:val="left"/>
              <w:rPr>
                <w:rFonts w:cs="Calibri"/>
                <w:color w:val="000000"/>
                <w:lang w:val="en-US"/>
              </w:rPr>
            </w:pPr>
            <w:r w:rsidRPr="00B53423">
              <w:rPr>
                <w:rFonts w:cs="Calibri"/>
                <w:color w:val="000000"/>
                <w:lang w:val="en-US"/>
              </w:rPr>
              <w:t>HV-2 (Supply above 11 kV )</w:t>
            </w:r>
          </w:p>
        </w:tc>
        <w:tc>
          <w:tcPr>
            <w:tcW w:w="1260" w:type="dxa"/>
            <w:shd w:val="clear" w:color="auto" w:fill="auto"/>
            <w:vAlign w:val="bottom"/>
            <w:hideMark/>
          </w:tcPr>
          <w:p w:rsidR="007521F5" w:rsidRPr="00B53423" w:rsidRDefault="00BC60A3" w:rsidP="0015232B">
            <w:pPr>
              <w:spacing w:before="0" w:line="240" w:lineRule="auto"/>
              <w:ind w:right="224"/>
              <w:jc w:val="right"/>
              <w:rPr>
                <w:rFonts w:cs="Calibri"/>
                <w:color w:val="000000"/>
                <w:lang w:val="en-US"/>
              </w:rPr>
            </w:pPr>
            <w:r w:rsidRPr="00B53423">
              <w:rPr>
                <w:rFonts w:cs="Calibri"/>
                <w:color w:val="000000"/>
                <w:sz w:val="22"/>
                <w:szCs w:val="22"/>
              </w:rPr>
              <w:t>7.33</w:t>
            </w:r>
          </w:p>
        </w:tc>
        <w:tc>
          <w:tcPr>
            <w:tcW w:w="1800" w:type="dxa"/>
            <w:shd w:val="clear" w:color="auto" w:fill="auto"/>
            <w:noWrap/>
            <w:vAlign w:val="bottom"/>
            <w:hideMark/>
          </w:tcPr>
          <w:p w:rsidR="007521F5" w:rsidRPr="00B53423" w:rsidRDefault="00BC60A3" w:rsidP="0015232B">
            <w:pPr>
              <w:spacing w:before="0" w:line="240" w:lineRule="auto"/>
              <w:ind w:right="522"/>
              <w:jc w:val="right"/>
              <w:rPr>
                <w:rFonts w:cs="Calibri"/>
                <w:color w:val="000000"/>
                <w:lang w:val="en-US"/>
              </w:rPr>
            </w:pPr>
            <w:r w:rsidRPr="00B53423">
              <w:rPr>
                <w:rFonts w:cs="Calibri"/>
                <w:color w:val="000000"/>
                <w:sz w:val="22"/>
                <w:szCs w:val="22"/>
              </w:rPr>
              <w:t>7.33</w:t>
            </w:r>
          </w:p>
        </w:tc>
        <w:tc>
          <w:tcPr>
            <w:tcW w:w="1530" w:type="dxa"/>
            <w:shd w:val="clear" w:color="auto" w:fill="auto"/>
            <w:noWrap/>
            <w:vAlign w:val="bottom"/>
            <w:hideMark/>
          </w:tcPr>
          <w:p w:rsidR="007521F5" w:rsidRPr="00B53423" w:rsidRDefault="00BC60A3" w:rsidP="0015232B">
            <w:pPr>
              <w:spacing w:before="0" w:line="240" w:lineRule="auto"/>
              <w:ind w:right="342"/>
              <w:jc w:val="right"/>
              <w:rPr>
                <w:rFonts w:cs="Calibri"/>
                <w:color w:val="000000"/>
                <w:lang w:val="en-US"/>
              </w:rPr>
            </w:pPr>
            <w:r w:rsidRPr="00B53423">
              <w:rPr>
                <w:rFonts w:cs="Calibri"/>
                <w:color w:val="000000"/>
                <w:sz w:val="22"/>
                <w:szCs w:val="22"/>
              </w:rPr>
              <w:t>6.955</w:t>
            </w:r>
          </w:p>
        </w:tc>
        <w:tc>
          <w:tcPr>
            <w:tcW w:w="1485" w:type="dxa"/>
            <w:shd w:val="clear" w:color="auto" w:fill="auto"/>
            <w:vAlign w:val="bottom"/>
            <w:hideMark/>
          </w:tcPr>
          <w:p w:rsidR="007521F5" w:rsidRPr="00B53423" w:rsidRDefault="00BC60A3" w:rsidP="0015232B">
            <w:pPr>
              <w:spacing w:before="0" w:line="240" w:lineRule="auto"/>
              <w:ind w:right="297"/>
              <w:jc w:val="right"/>
              <w:rPr>
                <w:rFonts w:cs="Calibri"/>
                <w:color w:val="000000"/>
                <w:lang w:val="en-US"/>
              </w:rPr>
            </w:pPr>
            <w:r w:rsidRPr="00B53423">
              <w:rPr>
                <w:rFonts w:cs="Calibri"/>
                <w:color w:val="000000"/>
                <w:sz w:val="22"/>
                <w:szCs w:val="22"/>
              </w:rPr>
              <w:t>0.37</w:t>
            </w:r>
          </w:p>
        </w:tc>
      </w:tr>
    </w:tbl>
    <w:p w:rsidR="001407B8" w:rsidRPr="00B53423" w:rsidRDefault="001407B8" w:rsidP="0015232B">
      <w:pPr>
        <w:spacing w:before="0"/>
      </w:pPr>
    </w:p>
    <w:p w:rsidR="001407B8" w:rsidRPr="00B53423" w:rsidRDefault="001407B8" w:rsidP="0015232B">
      <w:pPr>
        <w:pStyle w:val="Heading2"/>
        <w:keepNext w:val="0"/>
        <w:numPr>
          <w:ilvl w:val="0"/>
          <w:numId w:val="0"/>
        </w:numPr>
        <w:spacing w:after="120"/>
        <w:ind w:left="780"/>
      </w:pPr>
    </w:p>
    <w:p w:rsidR="008E5045" w:rsidRPr="00B53423" w:rsidRDefault="001407B8" w:rsidP="0015232B">
      <w:pPr>
        <w:pStyle w:val="Heading2"/>
        <w:keepNext w:val="0"/>
        <w:autoSpaceDE w:val="0"/>
        <w:autoSpaceDN w:val="0"/>
        <w:adjustRightInd w:val="0"/>
        <w:spacing w:before="120" w:after="120"/>
        <w:ind w:left="720" w:hanging="1080"/>
        <w:contextualSpacing/>
      </w:pPr>
      <w:bookmarkStart w:id="928" w:name="_Toc399626245"/>
      <w:r w:rsidRPr="00B53423">
        <w:t>ADDITIONAL SURCHARGE</w:t>
      </w:r>
      <w:bookmarkEnd w:id="928"/>
    </w:p>
    <w:p w:rsidR="008E5045" w:rsidRPr="00B53423" w:rsidRDefault="007521F5" w:rsidP="0015232B">
      <w:pPr>
        <w:pStyle w:val="Heading3"/>
        <w:keepNext w:val="0"/>
        <w:spacing w:before="120" w:after="120"/>
        <w:ind w:hanging="1080"/>
      </w:pPr>
      <w:r w:rsidRPr="00B53423">
        <w:rPr>
          <w:rFonts w:cs="Arial"/>
          <w:bCs w:val="0"/>
          <w:szCs w:val="26"/>
        </w:rPr>
        <w:t xml:space="preserve">It has been observed by the Commission that there has been considerable amount of load shedding which implies that there is a power deficit scenario. In such a case if any consumer avails open access, the Licensee does not really have to reduce the power procurement from the tied up sources. The distribution licensee in such a scenario still has large number of consumers to whom the available electricity can be supplied and there will not be any stranded costs. Considering the above, the Commission has approved additional surcharge for FY 2014-15 as </w:t>
      </w:r>
      <w:proofErr w:type="gramStart"/>
      <w:r w:rsidRPr="00B53423">
        <w:rPr>
          <w:rFonts w:cs="Arial"/>
          <w:bCs w:val="0"/>
          <w:szCs w:val="26"/>
        </w:rPr>
        <w:t>Nil</w:t>
      </w:r>
      <w:proofErr w:type="gramEnd"/>
      <w:r w:rsidRPr="00B53423">
        <w:rPr>
          <w:rFonts w:cs="Arial"/>
          <w:bCs w:val="0"/>
          <w:szCs w:val="26"/>
        </w:rPr>
        <w:t xml:space="preserve"> (zero</w:t>
      </w:r>
      <w:r w:rsidR="001407B8" w:rsidRPr="00B53423">
        <w:t>).</w:t>
      </w:r>
      <w:r w:rsidR="001407B8" w:rsidRPr="00B53423" w:rsidDel="00437B69">
        <w:t xml:space="preserve"> </w:t>
      </w:r>
    </w:p>
    <w:p w:rsidR="001407B8" w:rsidRPr="00B53423" w:rsidRDefault="001407B8" w:rsidP="0015232B">
      <w:pPr>
        <w:pStyle w:val="Heading2"/>
        <w:keepNext w:val="0"/>
        <w:numPr>
          <w:ilvl w:val="0"/>
          <w:numId w:val="0"/>
        </w:numPr>
        <w:spacing w:after="120"/>
        <w:ind w:left="780"/>
      </w:pPr>
    </w:p>
    <w:p w:rsidR="008E5045" w:rsidRPr="00B53423" w:rsidRDefault="001407B8" w:rsidP="0015232B">
      <w:pPr>
        <w:pStyle w:val="Heading2"/>
        <w:keepNext w:val="0"/>
        <w:autoSpaceDE w:val="0"/>
        <w:autoSpaceDN w:val="0"/>
        <w:adjustRightInd w:val="0"/>
        <w:spacing w:before="120" w:after="120"/>
        <w:ind w:left="720" w:hanging="1080"/>
        <w:contextualSpacing/>
      </w:pPr>
      <w:bookmarkStart w:id="929" w:name="_Toc399626246"/>
      <w:r w:rsidRPr="00B53423">
        <w:t>OTHER CHARGES</w:t>
      </w:r>
      <w:bookmarkEnd w:id="929"/>
    </w:p>
    <w:p w:rsidR="008E5045" w:rsidRPr="00B53423" w:rsidRDefault="001407B8" w:rsidP="0015232B">
      <w:pPr>
        <w:pStyle w:val="Heading3"/>
        <w:keepNext w:val="0"/>
        <w:spacing w:before="120" w:after="120"/>
        <w:ind w:hanging="1080"/>
      </w:pPr>
      <w:r w:rsidRPr="00B53423">
        <w:t>The Commission to encourage the Open access in the State rules that the standby charges, grid support charges and parallel operations charges shall be zero in case of Open Access consumers.</w:t>
      </w:r>
    </w:p>
    <w:p w:rsidR="00DE37E0" w:rsidRPr="00B53423" w:rsidRDefault="00DE37E0" w:rsidP="0015232B">
      <w:pPr>
        <w:pStyle w:val="Heading3"/>
        <w:keepNext w:val="0"/>
        <w:numPr>
          <w:ilvl w:val="0"/>
          <w:numId w:val="0"/>
        </w:numPr>
        <w:tabs>
          <w:tab w:val="left" w:pos="720"/>
        </w:tabs>
        <w:ind w:left="720"/>
        <w:rPr>
          <w:b/>
          <w:bCs w:val="0"/>
          <w:color w:val="333399"/>
          <w:kern w:val="32"/>
          <w:szCs w:val="32"/>
        </w:rPr>
      </w:pPr>
      <w:bookmarkStart w:id="930" w:name="_Toc337201443"/>
      <w:bookmarkEnd w:id="908"/>
      <w:bookmarkEnd w:id="909"/>
      <w:bookmarkEnd w:id="910"/>
    </w:p>
    <w:p w:rsidR="00F2494F" w:rsidRPr="00B53423" w:rsidRDefault="00F2494F" w:rsidP="0015232B">
      <w:pPr>
        <w:spacing w:before="0" w:after="200"/>
        <w:jc w:val="left"/>
      </w:pPr>
      <w:bookmarkStart w:id="931" w:name="_Toc357345046"/>
      <w:bookmarkStart w:id="932" w:name="_Toc357733346"/>
      <w:r w:rsidRPr="00B53423">
        <w:br w:type="page"/>
      </w:r>
    </w:p>
    <w:p w:rsidR="006369EC" w:rsidRPr="00B53423" w:rsidRDefault="006369EC" w:rsidP="0015232B">
      <w:pPr>
        <w:spacing w:before="0" w:after="200"/>
        <w:jc w:val="left"/>
        <w:rPr>
          <w:rFonts w:cs="Arial"/>
          <w:b/>
          <w:bCs/>
          <w:color w:val="333399"/>
          <w:kern w:val="32"/>
          <w:szCs w:val="32"/>
        </w:rPr>
      </w:pPr>
    </w:p>
    <w:p w:rsidR="008E5045" w:rsidRPr="00B53423" w:rsidRDefault="003A6B3B" w:rsidP="00A95102">
      <w:pPr>
        <w:pStyle w:val="Heading1"/>
        <w:keepNext w:val="0"/>
        <w:numPr>
          <w:ilvl w:val="0"/>
          <w:numId w:val="1"/>
        </w:numPr>
        <w:spacing w:line="336" w:lineRule="auto"/>
        <w:ind w:left="720" w:hanging="990"/>
        <w:rPr>
          <w:color w:val="auto"/>
        </w:rPr>
      </w:pPr>
      <w:bookmarkStart w:id="933" w:name="_Toc399626247"/>
      <w:r w:rsidRPr="00B53423">
        <w:rPr>
          <w:color w:val="auto"/>
        </w:rPr>
        <w:t>TARIFF PHILOSPHY</w:t>
      </w:r>
      <w:bookmarkEnd w:id="930"/>
      <w:bookmarkEnd w:id="931"/>
      <w:bookmarkEnd w:id="932"/>
      <w:bookmarkEnd w:id="933"/>
    </w:p>
    <w:p w:rsidR="00DE37E0" w:rsidRPr="00B53423" w:rsidRDefault="00DE37E0" w:rsidP="00A95102">
      <w:pPr>
        <w:spacing w:line="336" w:lineRule="auto"/>
      </w:pPr>
    </w:p>
    <w:p w:rsidR="008E5045" w:rsidRPr="00B53423" w:rsidRDefault="00DE37E0" w:rsidP="00A95102">
      <w:pPr>
        <w:pStyle w:val="Heading2"/>
        <w:keepNext w:val="0"/>
        <w:spacing w:line="336" w:lineRule="auto"/>
        <w:ind w:left="720" w:hanging="990"/>
      </w:pPr>
      <w:bookmarkStart w:id="934" w:name="_Toc357733347"/>
      <w:bookmarkStart w:id="935" w:name="_Toc399626248"/>
      <w:bookmarkStart w:id="936" w:name="_Toc337201444"/>
      <w:bookmarkStart w:id="937" w:name="_Toc357345047"/>
      <w:r w:rsidRPr="00B53423">
        <w:t>CONSIDERATIONS IN TARIFF DESIGN</w:t>
      </w:r>
      <w:bookmarkEnd w:id="934"/>
      <w:bookmarkEnd w:id="935"/>
    </w:p>
    <w:p w:rsidR="00DE37E0" w:rsidRPr="00B53423" w:rsidRDefault="00DE37E0" w:rsidP="00A95102">
      <w:pPr>
        <w:spacing w:line="336" w:lineRule="auto"/>
      </w:pPr>
    </w:p>
    <w:p w:rsidR="008E5045" w:rsidRPr="00B53423" w:rsidRDefault="007521F5" w:rsidP="00A95102">
      <w:pPr>
        <w:pStyle w:val="Heading3"/>
        <w:keepNext w:val="0"/>
        <w:tabs>
          <w:tab w:val="left" w:pos="720"/>
        </w:tabs>
        <w:spacing w:line="336" w:lineRule="auto"/>
        <w:ind w:hanging="990"/>
      </w:pPr>
      <w:bookmarkStart w:id="938" w:name="_GoBack"/>
      <w:bookmarkEnd w:id="936"/>
      <w:bookmarkEnd w:id="937"/>
      <w:bookmarkEnd w:id="938"/>
      <w:r w:rsidRPr="00B53423">
        <w:t>Section 62 of the Electricity Act 2003, read with Section 24 of the Uttar Pradesh Electricity Reforms Act, 1999 sets out the overall principles for the Commission to determine the final tariffs for all categories of consumers defined and differentiated according to consumer’s load factor, power factor, voltage, total consumption of energy during any specified period or the time at which supply is required or the geographical position of any area, nature of supply and the purpose for which the supply is required. The overall mandate of the statutory legislations to the Commission is to adopt factors that will encourage efficiency, economical use of the resources, good performance, optimum investments and observance of the conditions of the License</w:t>
      </w:r>
      <w:r w:rsidR="00E42F07" w:rsidRPr="00B53423">
        <w:t>.</w:t>
      </w:r>
    </w:p>
    <w:p w:rsidR="00E42F07" w:rsidRPr="00B53423" w:rsidRDefault="00E42F07" w:rsidP="00A95102">
      <w:pPr>
        <w:pStyle w:val="Heading3"/>
        <w:keepNext w:val="0"/>
        <w:numPr>
          <w:ilvl w:val="0"/>
          <w:numId w:val="0"/>
        </w:numPr>
        <w:spacing w:line="336" w:lineRule="auto"/>
        <w:ind w:left="720"/>
      </w:pPr>
    </w:p>
    <w:p w:rsidR="008E5045" w:rsidRPr="00B53423" w:rsidRDefault="007521F5" w:rsidP="00A95102">
      <w:pPr>
        <w:pStyle w:val="Heading3"/>
        <w:keepNext w:val="0"/>
        <w:tabs>
          <w:tab w:val="left" w:pos="720"/>
        </w:tabs>
        <w:spacing w:line="336" w:lineRule="auto"/>
        <w:ind w:hanging="990"/>
      </w:pPr>
      <w:r w:rsidRPr="00B53423">
        <w:t>The linkage of tariffs to cost of service and elimination of cross-subsidies is an important feature of the Electricity Act, 2003. Section 61 (g) of the Electricity Act, 2003 states that the tariffs should progressively reflect the cost of supply and it also requires the Commission to reduce cross subsidies within a timeframe specified by it. The need for progressive reduction of cross subsidies has also been underlined in Sections 39, 40 and 42 of the Electricity Act, 2003. The Tariff Policy also advocates for adoption of average cost of supply, which should be taken as reference point for fixing the tariff bands for different categories</w:t>
      </w:r>
      <w:r w:rsidR="00E42F07" w:rsidRPr="00B53423">
        <w:t>.</w:t>
      </w:r>
    </w:p>
    <w:p w:rsidR="00E42F07" w:rsidRPr="00B53423" w:rsidRDefault="00E42F07" w:rsidP="00A95102">
      <w:pPr>
        <w:pStyle w:val="Heading3"/>
        <w:keepNext w:val="0"/>
        <w:numPr>
          <w:ilvl w:val="0"/>
          <w:numId w:val="0"/>
        </w:numPr>
        <w:spacing w:line="336" w:lineRule="auto"/>
        <w:ind w:left="720"/>
      </w:pPr>
    </w:p>
    <w:p w:rsidR="008E5045" w:rsidRPr="00B53423" w:rsidRDefault="007521F5" w:rsidP="00A95102">
      <w:pPr>
        <w:pStyle w:val="Heading3"/>
        <w:keepNext w:val="0"/>
        <w:tabs>
          <w:tab w:val="left" w:pos="720"/>
        </w:tabs>
        <w:spacing w:line="336" w:lineRule="auto"/>
        <w:ind w:hanging="990"/>
      </w:pPr>
      <w:r w:rsidRPr="00B53423">
        <w:t>The Commission has determined the retail tariff for FY 2014-15 in view of the guiding principles as stated in the Electricity Act, 2003 and Tariff Policy. The Commission has also considered the comments / suggestions / objections of the stakeholders and public at large while determining the tariffs. The Commission in its past Orders has laid emphasis on adoption of factors that encourages economy, efficiency, effective performance, autonomy, regulatory discipline and improved conditions of supply. On these lines, the Commission, in this Order too, has applied similar principles keeping in view the ground realities</w:t>
      </w:r>
      <w:r w:rsidR="00E42F07" w:rsidRPr="00B53423">
        <w:t xml:space="preserve">. </w:t>
      </w:r>
    </w:p>
    <w:p w:rsidR="008E5045" w:rsidRPr="00B53423" w:rsidRDefault="008E5045" w:rsidP="00A95102">
      <w:pPr>
        <w:pStyle w:val="Heading3"/>
        <w:keepNext w:val="0"/>
        <w:numPr>
          <w:ilvl w:val="0"/>
          <w:numId w:val="0"/>
        </w:numPr>
        <w:tabs>
          <w:tab w:val="left" w:pos="720"/>
        </w:tabs>
        <w:spacing w:line="336" w:lineRule="auto"/>
        <w:ind w:left="720"/>
      </w:pPr>
    </w:p>
    <w:p w:rsidR="008E5045" w:rsidRPr="00B53423" w:rsidRDefault="00E42F07" w:rsidP="00A95102">
      <w:pPr>
        <w:pStyle w:val="Heading3"/>
        <w:keepNext w:val="0"/>
        <w:tabs>
          <w:tab w:val="left" w:pos="720"/>
        </w:tabs>
        <w:spacing w:line="336" w:lineRule="auto"/>
        <w:ind w:hanging="990"/>
      </w:pPr>
      <w:r w:rsidRPr="00B53423">
        <w:t>As</w:t>
      </w:r>
      <w:r w:rsidR="008E5045" w:rsidRPr="00B53423">
        <w:t xml:space="preserve"> </w:t>
      </w:r>
      <w:r w:rsidRPr="00B53423">
        <w:t>regards to the linkage of Tariff with the Cost of Service, the Distribution Tariff Regulations state as follows:</w:t>
      </w:r>
    </w:p>
    <w:p w:rsidR="008E5045" w:rsidRPr="00B53423" w:rsidRDefault="008E5045" w:rsidP="00A95102">
      <w:pPr>
        <w:pStyle w:val="Heading3"/>
        <w:keepNext w:val="0"/>
        <w:numPr>
          <w:ilvl w:val="0"/>
          <w:numId w:val="0"/>
        </w:numPr>
        <w:tabs>
          <w:tab w:val="left" w:pos="720"/>
        </w:tabs>
        <w:spacing w:line="336" w:lineRule="auto"/>
        <w:ind w:left="720"/>
      </w:pPr>
    </w:p>
    <w:p w:rsidR="00E42F07" w:rsidRPr="00B53423" w:rsidRDefault="00E42F07" w:rsidP="00A95102">
      <w:pPr>
        <w:autoSpaceDE w:val="0"/>
        <w:autoSpaceDN w:val="0"/>
        <w:adjustRightInd w:val="0"/>
        <w:spacing w:before="0" w:line="336" w:lineRule="auto"/>
        <w:ind w:left="1440"/>
        <w:rPr>
          <w:rFonts w:asciiTheme="minorHAnsi" w:hAnsiTheme="minorHAnsi" w:cstheme="minorHAnsi"/>
          <w:i/>
        </w:rPr>
      </w:pPr>
      <w:r w:rsidRPr="00B53423">
        <w:rPr>
          <w:rFonts w:asciiTheme="minorHAnsi" w:hAnsiTheme="minorHAnsi" w:cstheme="minorHAnsi"/>
          <w:i/>
        </w:rPr>
        <w:t>“1. The tariffs for various categories / voltages shall progressively reflect Licensee’s cost to serve a particular category at a particular voltage. Allocation of all costs prudently incurred by the Distribution Licensee to different category of consumers shall form the basis of assessing cost to serve of a particular category. Pending availability of information that reasonably establishes the category-wise / voltage-wise cost to serve, average cost of supply shall be used for determining tariffs taking into account the fact that existing cross subsidies will be reduced gradually. Every Licensee shall provide to the Commission an accurate cost to serve study for its area. The category-wise/ voltage wise cost to serve should factor in such characteristics as supply hours, the load factor, voltage, extent of technical and commercial losses etc.</w:t>
      </w:r>
    </w:p>
    <w:p w:rsidR="00E42F07" w:rsidRPr="00B53423" w:rsidRDefault="00E42F07" w:rsidP="00A95102">
      <w:pPr>
        <w:autoSpaceDE w:val="0"/>
        <w:autoSpaceDN w:val="0"/>
        <w:adjustRightInd w:val="0"/>
        <w:spacing w:before="0" w:line="336" w:lineRule="auto"/>
        <w:ind w:left="720"/>
        <w:rPr>
          <w:rFonts w:asciiTheme="minorHAnsi" w:hAnsiTheme="minorHAnsi" w:cstheme="minorHAnsi"/>
          <w:i/>
        </w:rPr>
      </w:pPr>
    </w:p>
    <w:p w:rsidR="00E42F07" w:rsidRPr="00B53423" w:rsidRDefault="00E42F07" w:rsidP="00A95102">
      <w:pPr>
        <w:autoSpaceDE w:val="0"/>
        <w:autoSpaceDN w:val="0"/>
        <w:adjustRightInd w:val="0"/>
        <w:spacing w:line="336" w:lineRule="auto"/>
        <w:ind w:left="1440"/>
        <w:rPr>
          <w:rFonts w:asciiTheme="minorHAnsi" w:hAnsiTheme="minorHAnsi" w:cstheme="minorHAnsi"/>
          <w:b/>
          <w:bCs/>
          <w:i/>
        </w:rPr>
      </w:pPr>
      <w:r w:rsidRPr="00B53423">
        <w:rPr>
          <w:rFonts w:asciiTheme="minorHAnsi" w:hAnsiTheme="minorHAnsi" w:cstheme="minorHAnsi"/>
          <w:i/>
        </w:rPr>
        <w:t xml:space="preserve">2. </w:t>
      </w:r>
      <w:proofErr w:type="gramStart"/>
      <w:r w:rsidRPr="00B53423">
        <w:rPr>
          <w:rFonts w:asciiTheme="minorHAnsi" w:hAnsiTheme="minorHAnsi" w:cstheme="minorHAnsi"/>
          <w:i/>
        </w:rPr>
        <w:t>To</w:t>
      </w:r>
      <w:proofErr w:type="gramEnd"/>
      <w:r w:rsidRPr="00B53423">
        <w:rPr>
          <w:rFonts w:asciiTheme="minorHAnsi" w:hAnsiTheme="minorHAnsi" w:cstheme="minorHAnsi"/>
          <w:i/>
        </w:rPr>
        <w:t xml:space="preserve"> achieve the objective that the tariff progressively reflects the cost of supply of electricity, the Commission may notify a roadmap with a target that latest by the end of year 2010-2011 tariffs are within ± 20 % of the average cost of supply. The road map shall also have intermediate milestones, based on the approach of a gradual reduction in cross subsidy.”</w:t>
      </w:r>
      <w:r w:rsidRPr="00B53423">
        <w:rPr>
          <w:rFonts w:asciiTheme="minorHAnsi" w:hAnsiTheme="minorHAnsi" w:cstheme="minorHAnsi"/>
          <w:b/>
          <w:bCs/>
          <w:i/>
        </w:rPr>
        <w:t xml:space="preserve"> </w:t>
      </w:r>
    </w:p>
    <w:p w:rsidR="00E42F07" w:rsidRPr="00B53423" w:rsidRDefault="00E42F07" w:rsidP="00A95102">
      <w:pPr>
        <w:pStyle w:val="Default"/>
        <w:spacing w:line="336" w:lineRule="auto"/>
        <w:jc w:val="both"/>
        <w:rPr>
          <w:rFonts w:asciiTheme="minorHAnsi" w:hAnsiTheme="minorHAnsi" w:cstheme="minorHAnsi"/>
          <w:b/>
          <w:bCs/>
        </w:rPr>
      </w:pPr>
    </w:p>
    <w:p w:rsidR="008E5045" w:rsidRPr="00B53423" w:rsidRDefault="007521F5" w:rsidP="00A95102">
      <w:pPr>
        <w:pStyle w:val="Heading3"/>
        <w:keepNext w:val="0"/>
        <w:tabs>
          <w:tab w:val="left" w:pos="720"/>
        </w:tabs>
        <w:spacing w:line="336" w:lineRule="auto"/>
        <w:ind w:hanging="990"/>
      </w:pPr>
      <w:r w:rsidRPr="00B53423">
        <w:t>In terms of the Distribution Tariff Regulations, 2006, Tariff Policy and the Electricity Act, 2003, the Commission opines that in the ideal scenario, the tariff of any category should be linked to the cost imposed on the system by the said category. In this regard, the Commission has been directing the Licensee to conduct Cost of Service studies to have a tool for alignment of costs and charges. The Licensee has not submitted any details regarding the cost of service studies for each category or voltage level. The paucity of data in this regard has restricted the Commission in establishing a linkage of tariff to average cost of supply</w:t>
      </w:r>
      <w:r w:rsidR="00E42F07" w:rsidRPr="00B53423">
        <w:t>.</w:t>
      </w:r>
    </w:p>
    <w:p w:rsidR="00E42F07" w:rsidRPr="00B53423" w:rsidRDefault="00E42F07" w:rsidP="00A95102">
      <w:pPr>
        <w:pStyle w:val="Default"/>
        <w:spacing w:line="336" w:lineRule="auto"/>
        <w:jc w:val="both"/>
        <w:rPr>
          <w:rFonts w:asciiTheme="minorHAnsi" w:hAnsiTheme="minorHAnsi" w:cstheme="minorHAnsi"/>
        </w:rPr>
      </w:pPr>
    </w:p>
    <w:p w:rsidR="008E5045" w:rsidRPr="00B53423" w:rsidRDefault="007521F5" w:rsidP="00A95102">
      <w:pPr>
        <w:pStyle w:val="Heading3"/>
        <w:keepNext w:val="0"/>
        <w:tabs>
          <w:tab w:val="left" w:pos="720"/>
        </w:tabs>
        <w:spacing w:line="336" w:lineRule="auto"/>
        <w:ind w:hanging="990"/>
      </w:pPr>
      <w:r w:rsidRPr="00B53423">
        <w:t>Accordingly, while determining the tariff for each category, the Commission has looked into the relationship between the tariff and the overall average cost of supply for FY 2014-15. Effort has been made to move the tariff of appropriate consumer categories, towards the band of +/- 20% to meet the declared objectives of the Distribution Tariff Regulations, 2006, Tariff Policy and the Electricity Act, 2003</w:t>
      </w:r>
      <w:r w:rsidR="00E42F07" w:rsidRPr="00B53423">
        <w:t xml:space="preserve">. </w:t>
      </w:r>
    </w:p>
    <w:p w:rsidR="00E42F07" w:rsidRPr="00B53423" w:rsidRDefault="00E42F07" w:rsidP="00A95102">
      <w:pPr>
        <w:pStyle w:val="ListParagraph"/>
        <w:spacing w:line="336" w:lineRule="auto"/>
        <w:rPr>
          <w:rFonts w:asciiTheme="minorHAnsi" w:hAnsiTheme="minorHAnsi" w:cstheme="minorHAnsi"/>
        </w:rPr>
      </w:pPr>
    </w:p>
    <w:p w:rsidR="008E5045" w:rsidRPr="00B53423" w:rsidRDefault="00E42F07" w:rsidP="00A95102">
      <w:pPr>
        <w:pStyle w:val="Heading3"/>
        <w:keepNext w:val="0"/>
        <w:tabs>
          <w:tab w:val="left" w:pos="720"/>
        </w:tabs>
        <w:spacing w:line="336" w:lineRule="auto"/>
        <w:ind w:hanging="990"/>
      </w:pPr>
      <w:r w:rsidRPr="00B53423">
        <w:t>In view of the above, the Commission has determined the retail tariff keeping in the mind the guiding principles as stated in Section 61 of the Electricity Act, 2003.</w:t>
      </w:r>
      <w:r w:rsidRPr="00B53423" w:rsidDel="00037C69">
        <w:t xml:space="preserve"> </w:t>
      </w:r>
      <w:r w:rsidRPr="00B53423">
        <w:t>The accumulated gap for FY 2014-15 (including the gap for previous years) consolidated for Discoms</w:t>
      </w:r>
      <w:r w:rsidRPr="00B53423">
        <w:rPr>
          <w:rStyle w:val="FootnoteReference"/>
          <w:sz w:val="22"/>
          <w:szCs w:val="22"/>
        </w:rPr>
        <w:footnoteReference w:id="1"/>
      </w:r>
      <w:r w:rsidRPr="00B53423">
        <w:t xml:space="preserve"> is Rs. </w:t>
      </w:r>
      <w:r w:rsidR="007521F5" w:rsidRPr="00B53423">
        <w:t>13283.01</w:t>
      </w:r>
      <w:r w:rsidRPr="00B53423">
        <w:t xml:space="preserve"> Crore</w:t>
      </w:r>
      <w:r w:rsidR="007A57CC" w:rsidRPr="00B53423">
        <w:t xml:space="preserve"> and for KESCO is Rs. 5</w:t>
      </w:r>
      <w:r w:rsidR="007521F5" w:rsidRPr="00B53423">
        <w:t>15.02</w:t>
      </w:r>
      <w:r w:rsidR="007A57CC" w:rsidRPr="00B53423">
        <w:t xml:space="preserve"> Crore</w:t>
      </w:r>
      <w:r w:rsidRPr="00B53423">
        <w:t>. Keeping in view, such a huge amount of accumulated revenue gap and high cost of supply and resultant poor cost coverage in the absence of cost reflective tariff, the Commission has decided to increase the tariff as detailed in the subsequent sections to ensure some recovery of the revenue gap.</w:t>
      </w:r>
    </w:p>
    <w:p w:rsidR="00E42F07" w:rsidRPr="00B53423" w:rsidRDefault="00E42F07" w:rsidP="00A95102">
      <w:pPr>
        <w:pStyle w:val="Heading3"/>
        <w:keepNext w:val="0"/>
        <w:numPr>
          <w:ilvl w:val="0"/>
          <w:numId w:val="0"/>
        </w:numPr>
        <w:spacing w:line="336" w:lineRule="auto"/>
        <w:ind w:left="720"/>
      </w:pPr>
    </w:p>
    <w:p w:rsidR="00DA3D5F" w:rsidRDefault="00DA3D5F" w:rsidP="00A95102">
      <w:pPr>
        <w:pStyle w:val="ListParagraph"/>
        <w:spacing w:line="336" w:lineRule="auto"/>
        <w:rPr>
          <w:b/>
        </w:rPr>
      </w:pPr>
    </w:p>
    <w:p w:rsidR="00E42F07" w:rsidRPr="00B53423" w:rsidRDefault="00E42F07" w:rsidP="00A95102">
      <w:pPr>
        <w:pStyle w:val="ListParagraph"/>
        <w:spacing w:line="336" w:lineRule="auto"/>
        <w:rPr>
          <w:b/>
        </w:rPr>
      </w:pPr>
      <w:r w:rsidRPr="00B53423">
        <w:rPr>
          <w:b/>
        </w:rPr>
        <w:t>100% Metering:</w:t>
      </w:r>
    </w:p>
    <w:p w:rsidR="008E5045" w:rsidRPr="00B53423" w:rsidRDefault="000C05F2" w:rsidP="00A95102">
      <w:pPr>
        <w:pStyle w:val="Heading3"/>
        <w:keepNext w:val="0"/>
        <w:tabs>
          <w:tab w:val="left" w:pos="720"/>
        </w:tabs>
        <w:spacing w:line="336" w:lineRule="auto"/>
        <w:ind w:hanging="990"/>
      </w:pPr>
      <w:r w:rsidRPr="00B53423">
        <w:t>As detailed earlier in this Order, despite categorical provision under Electricity Act, 2003 to necessarily achieve 100% metering, large chunk of consumers are still un-metered in the State. Predominant proportion of rural consumers either in domestic category (LMV-1), commercial (LMV-2) or pump set (LMV-5) category continue to be billed under un-metered category. Further, the Tariff for unmetered domestic category of LMV-1 and unmetered commercial category of LMV-2 is linked with number of consumers and not with the load. It has been observed that the unmetered category of consumers operate unaccounted load which usually higher than 1 KW. The Commission feels that unless very clear incentives and disincentives are built in the system, the vision of universal metering would remain merely a wishful and glorious intention of the legislature. The Commission in view of the same has linked the tariff for such unmetered consumer categories in (LMV-1 and LMV-2) with the contracted load which was earlier linked with number of consumers. The tariff for LMV-5 category is already linked with the load</w:t>
      </w:r>
      <w:r w:rsidR="00E42F07" w:rsidRPr="00B53423">
        <w:t xml:space="preserve">. </w:t>
      </w:r>
    </w:p>
    <w:p w:rsidR="00E42F07" w:rsidRPr="00B53423" w:rsidRDefault="00E42F07" w:rsidP="00A95102">
      <w:pPr>
        <w:pStyle w:val="Heading3"/>
        <w:keepNext w:val="0"/>
        <w:numPr>
          <w:ilvl w:val="0"/>
          <w:numId w:val="0"/>
        </w:numPr>
        <w:spacing w:line="336" w:lineRule="auto"/>
        <w:ind w:left="720"/>
      </w:pPr>
    </w:p>
    <w:p w:rsidR="008E5045" w:rsidRPr="00B53423" w:rsidRDefault="000C05F2" w:rsidP="00A95102">
      <w:pPr>
        <w:pStyle w:val="Heading3"/>
        <w:keepNext w:val="0"/>
        <w:tabs>
          <w:tab w:val="left" w:pos="720"/>
        </w:tabs>
        <w:spacing w:line="336" w:lineRule="auto"/>
        <w:ind w:hanging="990"/>
      </w:pPr>
      <w:r w:rsidRPr="00B53423">
        <w:t>To further, incentivise the consumers who shifts from unmetered to metered category, the Commission has allowed a rebate of 1</w:t>
      </w:r>
      <w:r w:rsidR="00EC637C">
        <w:t>0</w:t>
      </w:r>
      <w:r w:rsidRPr="00B53423">
        <w:t>% on Rate applicable as per the applicable tariff of metered category</w:t>
      </w:r>
      <w:r w:rsidR="00E42F07" w:rsidRPr="00B53423">
        <w:t>.</w:t>
      </w:r>
    </w:p>
    <w:p w:rsidR="00E42F07" w:rsidRPr="00B53423" w:rsidRDefault="00E42F07" w:rsidP="00A95102">
      <w:pPr>
        <w:pStyle w:val="ListParagraph"/>
        <w:spacing w:line="336" w:lineRule="auto"/>
      </w:pPr>
    </w:p>
    <w:p w:rsidR="008E5045" w:rsidRPr="00B53423" w:rsidRDefault="000C05F2" w:rsidP="00A95102">
      <w:pPr>
        <w:pStyle w:val="Heading3"/>
        <w:keepNext w:val="0"/>
        <w:tabs>
          <w:tab w:val="left" w:pos="720"/>
        </w:tabs>
        <w:spacing w:line="336" w:lineRule="auto"/>
        <w:ind w:hanging="990"/>
      </w:pPr>
      <w:r w:rsidRPr="00B53423">
        <w:t>The Commission in its pursuit of achieving the mandate of 100% metering has also increased the tariff of un-metered consumers in LMV-9 (Temporary Supply) and LMV-10 (Departmental Employees and Pensioners) categories to discourage unmetered connections. Therefore, impetus to metering is at the nucleus of present rate design</w:t>
      </w:r>
      <w:r w:rsidR="00E42F07" w:rsidRPr="00B53423">
        <w:t>.</w:t>
      </w:r>
    </w:p>
    <w:p w:rsidR="00E42F07" w:rsidRPr="00B53423" w:rsidRDefault="00E42F07" w:rsidP="00A95102">
      <w:pPr>
        <w:pStyle w:val="ListParagraph"/>
        <w:spacing w:line="336" w:lineRule="auto"/>
      </w:pPr>
    </w:p>
    <w:p w:rsidR="008E5045" w:rsidRPr="00B53423" w:rsidRDefault="000C05F2" w:rsidP="00A95102">
      <w:pPr>
        <w:pStyle w:val="Heading3"/>
        <w:keepNext w:val="0"/>
        <w:tabs>
          <w:tab w:val="left" w:pos="720"/>
        </w:tabs>
        <w:spacing w:line="336" w:lineRule="auto"/>
        <w:ind w:hanging="990"/>
      </w:pPr>
      <w:r w:rsidRPr="00B53423">
        <w:t xml:space="preserve">It has further been observed in the previous years, that in spite of various incentive / dis-incentives, there has not been any considerable improvement in the metering status in the State and the Distribution Licensees continue to supply electricity to the unmetered consumers which results in huge loss of unaccounted electricity. The Commission expressing its utmost </w:t>
      </w:r>
      <w:proofErr w:type="gramStart"/>
      <w:r w:rsidRPr="00B53423">
        <w:t>concern,</w:t>
      </w:r>
      <w:proofErr w:type="gramEnd"/>
      <w:r w:rsidRPr="00B53423">
        <w:t xml:space="preserve"> accords a final opportunity to the Distribution Licensees and direct them to ensure that all their unmetered consumers get converted into metered connection by 31</w:t>
      </w:r>
      <w:r w:rsidRPr="00B53423">
        <w:rPr>
          <w:vertAlign w:val="superscript"/>
        </w:rPr>
        <w:t>st</w:t>
      </w:r>
      <w:r w:rsidRPr="00B53423">
        <w:t xml:space="preserve"> March, 2015 beyond which, the Tariff for unmetered categories shall be discontinued</w:t>
      </w:r>
      <w:r w:rsidR="00E42F07" w:rsidRPr="00B53423">
        <w:t xml:space="preserve">.   </w:t>
      </w:r>
    </w:p>
    <w:p w:rsidR="00E42F07" w:rsidRPr="00B53423" w:rsidRDefault="00E42F07" w:rsidP="00A95102">
      <w:pPr>
        <w:pStyle w:val="Default"/>
        <w:spacing w:line="336" w:lineRule="auto"/>
        <w:jc w:val="both"/>
        <w:rPr>
          <w:rFonts w:asciiTheme="minorHAnsi" w:hAnsiTheme="minorHAnsi" w:cstheme="minorHAnsi"/>
        </w:rPr>
      </w:pPr>
    </w:p>
    <w:p w:rsidR="00E42F07" w:rsidRPr="00B53423" w:rsidRDefault="00E42F07" w:rsidP="00A95102">
      <w:pPr>
        <w:pStyle w:val="ListParagraph"/>
        <w:spacing w:line="336" w:lineRule="auto"/>
        <w:rPr>
          <w:rFonts w:asciiTheme="minorHAnsi" w:hAnsiTheme="minorHAnsi" w:cstheme="minorHAnsi"/>
          <w:b/>
        </w:rPr>
      </w:pPr>
      <w:r w:rsidRPr="00B53423">
        <w:rPr>
          <w:rFonts w:asciiTheme="minorHAnsi" w:hAnsiTheme="minorHAnsi" w:cstheme="minorHAnsi"/>
          <w:b/>
        </w:rPr>
        <w:t>New Slabs based on consumption</w:t>
      </w:r>
    </w:p>
    <w:p w:rsidR="008E5045" w:rsidRPr="00B53423" w:rsidRDefault="000C05F2" w:rsidP="00A95102">
      <w:pPr>
        <w:pStyle w:val="Heading3"/>
        <w:keepNext w:val="0"/>
        <w:tabs>
          <w:tab w:val="left" w:pos="720"/>
        </w:tabs>
        <w:spacing w:line="336" w:lineRule="auto"/>
        <w:ind w:hanging="990"/>
      </w:pPr>
      <w:r w:rsidRPr="00B53423">
        <w:t>Tariff has been designed in such a way that the effective tariff for the high consumption consumers would be higher than those who consume less electricity. This would discourage the consumers to use more electricity and will contribute in electricity savings. The Commission has introduced new slabs in LMV-1, LMV-2, LMV-4 and LMV-6 categories which will ensure the above philosophy</w:t>
      </w:r>
      <w:r w:rsidR="00E42F07" w:rsidRPr="00B53423">
        <w:t>.</w:t>
      </w:r>
    </w:p>
    <w:p w:rsidR="00E42F07" w:rsidRPr="00B53423" w:rsidRDefault="00E42F07" w:rsidP="00A95102">
      <w:pPr>
        <w:pStyle w:val="Heading3"/>
        <w:keepNext w:val="0"/>
        <w:numPr>
          <w:ilvl w:val="0"/>
          <w:numId w:val="0"/>
        </w:numPr>
        <w:spacing w:line="336" w:lineRule="auto"/>
        <w:ind w:left="720"/>
      </w:pPr>
      <w:r w:rsidRPr="00B53423">
        <w:t xml:space="preserve"> </w:t>
      </w:r>
    </w:p>
    <w:p w:rsidR="00E42F07" w:rsidRPr="00B53423" w:rsidRDefault="00E42F07" w:rsidP="00A95102">
      <w:pPr>
        <w:pStyle w:val="ListParagraph"/>
        <w:spacing w:line="336" w:lineRule="auto"/>
        <w:rPr>
          <w:b/>
        </w:rPr>
      </w:pPr>
      <w:r w:rsidRPr="00B53423">
        <w:rPr>
          <w:b/>
        </w:rPr>
        <w:t>Rural Rebate</w:t>
      </w:r>
    </w:p>
    <w:p w:rsidR="008E5045" w:rsidRPr="00B53423" w:rsidRDefault="000C05F2" w:rsidP="00A95102">
      <w:pPr>
        <w:pStyle w:val="Heading3"/>
        <w:keepNext w:val="0"/>
        <w:tabs>
          <w:tab w:val="left" w:pos="720"/>
        </w:tabs>
        <w:spacing w:line="336" w:lineRule="auto"/>
        <w:ind w:hanging="990"/>
      </w:pPr>
      <w:r w:rsidRPr="00B53423">
        <w:t>The Licensee has submitted that in the present scenario the supply to rural consumers is scheduled at approximately 10 h</w:t>
      </w:r>
      <w:r w:rsidR="007F7B53" w:rsidRPr="00B53423">
        <w:t>ou</w:t>
      </w:r>
      <w:r w:rsidRPr="00B53423">
        <w:t>rs per day. However there has been constant demand for increase in supply hours over the years from the rural consumers. Therefore, with a view to match the demand and plan to supply more power to the rural consumers to supply by upto 14 h</w:t>
      </w:r>
      <w:r w:rsidR="007F7B53" w:rsidRPr="00B53423">
        <w:t>ou</w:t>
      </w:r>
      <w:r w:rsidRPr="00B53423">
        <w:t>rs per day, there would be adverse affect on the cash flows due to low tariffs for the rural consumers. In view of the same, to meet the required cash gaps the Licensees have proposed to decrease the rebate allowed for rural consumers in the tariff rates from 15% to 7.5%</w:t>
      </w:r>
      <w:r w:rsidR="00E42F07" w:rsidRPr="00B53423">
        <w:t>.</w:t>
      </w:r>
    </w:p>
    <w:p w:rsidR="00E42F07" w:rsidRPr="00B53423" w:rsidRDefault="00E42F07" w:rsidP="00A95102">
      <w:pPr>
        <w:pStyle w:val="Heading3"/>
        <w:keepNext w:val="0"/>
        <w:numPr>
          <w:ilvl w:val="0"/>
          <w:numId w:val="0"/>
        </w:numPr>
        <w:spacing w:line="336" w:lineRule="auto"/>
        <w:ind w:left="720"/>
      </w:pPr>
    </w:p>
    <w:p w:rsidR="008E5045" w:rsidRPr="00B53423" w:rsidRDefault="000C05F2" w:rsidP="00A95102">
      <w:pPr>
        <w:pStyle w:val="Heading3"/>
        <w:keepNext w:val="0"/>
        <w:tabs>
          <w:tab w:val="left" w:pos="720"/>
        </w:tabs>
        <w:spacing w:line="336" w:lineRule="auto"/>
        <w:ind w:hanging="990"/>
      </w:pPr>
      <w:r w:rsidRPr="00B53423">
        <w:t xml:space="preserve">The Commission appreciates that the Licensees are planning to increase the number of supply hours for the rural consumers. As consumers are also of the same view to increase the supply hours and are also ready to pay higher if they get electricity supply for considerable duration during a day. The Commission considering the same has accepted the proposal of the Licensee. However since the acceptance of above proposal of the Licensee will eventually result in a slightly higher tariff for rural consumers, thus the Licensee must ensure that the above proposal is not confined to mechanism of increasing the tariffs and revenue but the Licensee must ensure that it supplies the committed 14 hours of supply in rural areas.  Further, </w:t>
      </w:r>
      <w:r w:rsidRPr="00B53423">
        <w:rPr>
          <w:b/>
        </w:rPr>
        <w:t>the Licensee is also directed to submit</w:t>
      </w:r>
      <w:r w:rsidRPr="00B53423">
        <w:t xml:space="preserve"> </w:t>
      </w:r>
      <w:r w:rsidRPr="00B53423">
        <w:rPr>
          <w:b/>
        </w:rPr>
        <w:t>a note on the same detailing the area-wise actual number of supply hours provided to such rural area by the end of FY 2014-15, failing which the Commission would resort to take appropriate action in this regards during the subsequent Tariff proceedings</w:t>
      </w:r>
      <w:r w:rsidR="00E42F07" w:rsidRPr="00B53423">
        <w:rPr>
          <w:b/>
        </w:rPr>
        <w:t xml:space="preserve">. </w:t>
      </w:r>
    </w:p>
    <w:p w:rsidR="00E42F07" w:rsidRPr="00B53423" w:rsidRDefault="00E42F07" w:rsidP="00A95102">
      <w:pPr>
        <w:pStyle w:val="Heading3"/>
        <w:keepNext w:val="0"/>
        <w:numPr>
          <w:ilvl w:val="0"/>
          <w:numId w:val="0"/>
        </w:numPr>
        <w:spacing w:line="336" w:lineRule="auto"/>
        <w:ind w:left="720"/>
      </w:pPr>
    </w:p>
    <w:p w:rsidR="00E42F07" w:rsidRPr="00B53423" w:rsidRDefault="00E42F07" w:rsidP="00A95102">
      <w:pPr>
        <w:pStyle w:val="Heading3"/>
        <w:keepNext w:val="0"/>
        <w:numPr>
          <w:ilvl w:val="0"/>
          <w:numId w:val="0"/>
        </w:numPr>
        <w:spacing w:line="336" w:lineRule="auto"/>
        <w:ind w:left="936" w:hanging="216"/>
        <w:rPr>
          <w:b/>
        </w:rPr>
      </w:pPr>
      <w:r w:rsidRPr="00B53423">
        <w:rPr>
          <w:b/>
        </w:rPr>
        <w:t>Time of Day Tariff</w:t>
      </w:r>
    </w:p>
    <w:p w:rsidR="008E5045" w:rsidRPr="00B53423" w:rsidRDefault="000C05F2" w:rsidP="00A95102">
      <w:pPr>
        <w:pStyle w:val="Heading3"/>
        <w:keepNext w:val="0"/>
        <w:tabs>
          <w:tab w:val="left" w:pos="720"/>
        </w:tabs>
        <w:spacing w:line="336" w:lineRule="auto"/>
        <w:ind w:hanging="990"/>
      </w:pPr>
      <w:r w:rsidRPr="00B53423">
        <w:t>Licensees submitted that the Time of Day tariff (ToD) is a widely accepted Demand side Management (DSM) measure for energy conservation by price. The ToD structure prompts the consumer to change their consumption profile so as to shift their loads during off peak hours when the power is relatively cheaper. ToD tariff encourages the distribution licensees to move towards separation of peak and off-peak tariffs which would help in reducing consumption as well as costly power purchase at the peak time. The Tariff is set in such a way that it inherently provides incentives and disincentives for the use of electricity in different time periods. The basic objective of implementing time of day tariffs is to flatten the load curve over a period of a day resulting in a reduction in the peaking power requirement and also to enhance power requirement during off peak period. Licensees also submitted the load pattern of UP over the last 2 years. The Licensees in view of the same proposed to revise the TOD slabs for peak hours, normal hours and off-peak hours. Licensees have proposed to have separate TOD slabs during summer season (i.e. April to September) and winter season (i.e. October to March). The Licensees vide email dated 4th August, 2014 on specific query raised by the Commission also submitted revised TOD slabs wherein minor change was made in TOD slabs for winter season</w:t>
      </w:r>
      <w:r w:rsidR="00E42F07" w:rsidRPr="00B53423">
        <w:rPr>
          <w:rFonts w:cs="Times New Roman"/>
        </w:rPr>
        <w:t xml:space="preserve">. </w:t>
      </w:r>
    </w:p>
    <w:p w:rsidR="00E42F07" w:rsidRPr="00B53423" w:rsidRDefault="00E42F07" w:rsidP="00A95102">
      <w:pPr>
        <w:pStyle w:val="ListParagraph"/>
        <w:spacing w:line="336" w:lineRule="auto"/>
        <w:ind w:left="0"/>
        <w:rPr>
          <w:lang w:val="en-IN"/>
        </w:rPr>
      </w:pPr>
    </w:p>
    <w:p w:rsidR="008E5045" w:rsidRPr="00B53423" w:rsidRDefault="000C05F2" w:rsidP="00A95102">
      <w:pPr>
        <w:pStyle w:val="Heading3"/>
        <w:keepNext w:val="0"/>
        <w:tabs>
          <w:tab w:val="left" w:pos="720"/>
        </w:tabs>
        <w:spacing w:line="336" w:lineRule="auto"/>
        <w:ind w:hanging="990"/>
      </w:pPr>
      <w:r w:rsidRPr="00B53423">
        <w:t>It has been observed that apart from shifting the timings for the peak hours, normal hours and the off-peak hours, the Licensees have also increased the number of hours applicable for the peak period and has reduced the number of hours applicable for off-peak and normal period which will effectively increase the tariff for the consumers. It may be noted that by implementing the ToD Tariff, the peak load gets shifted and the distribution Licensees gain in the form of reduction in power purchase expenses as the additional energy supplied to the consumers during peak hours are typically purchased from a costlier source. The Commission is of the view that the ToD tariff should be a tool only to effectively undertake the DSM measure and flatten the load curve but not as a source of additional revenue. Further, any revision in the ToD Tariff should not have any additional impact on the total revenue as the Distribution Licensees are already getting benefited by better power purchase planning and savings in power purchase expenses. Thus, the Commission is of the view that accepting any TOD design which would increase the effective tariff of the consumers would not be appropriate and would unduly burden the consumers. The Commission in this Tariff Order has therefore not made any change in the TOD slabs applicable for LMV-6 and HV-2 categories</w:t>
      </w:r>
      <w:r w:rsidR="00E42F07" w:rsidRPr="00B53423">
        <w:rPr>
          <w:rFonts w:cs="Times New Roman"/>
        </w:rPr>
        <w:t>.</w:t>
      </w:r>
    </w:p>
    <w:p w:rsidR="00E42F07" w:rsidRPr="00B53423" w:rsidRDefault="00E42F07" w:rsidP="00A95102">
      <w:pPr>
        <w:pStyle w:val="Heading3"/>
        <w:keepNext w:val="0"/>
        <w:numPr>
          <w:ilvl w:val="0"/>
          <w:numId w:val="0"/>
        </w:numPr>
        <w:spacing w:line="336" w:lineRule="auto"/>
        <w:ind w:left="936" w:hanging="936"/>
        <w:rPr>
          <w:b/>
        </w:rPr>
      </w:pPr>
    </w:p>
    <w:p w:rsidR="00E42F07" w:rsidRPr="00B53423" w:rsidRDefault="00E42F07" w:rsidP="00A95102">
      <w:pPr>
        <w:pStyle w:val="Heading3"/>
        <w:keepNext w:val="0"/>
        <w:numPr>
          <w:ilvl w:val="0"/>
          <w:numId w:val="0"/>
        </w:numPr>
        <w:spacing w:line="336" w:lineRule="auto"/>
        <w:ind w:left="936" w:hanging="936"/>
        <w:rPr>
          <w:b/>
        </w:rPr>
      </w:pPr>
    </w:p>
    <w:p w:rsidR="008E5045" w:rsidRPr="00B53423" w:rsidRDefault="00E42F07" w:rsidP="00A95102">
      <w:pPr>
        <w:pStyle w:val="Heading3"/>
        <w:keepNext w:val="0"/>
        <w:numPr>
          <w:ilvl w:val="0"/>
          <w:numId w:val="0"/>
        </w:numPr>
        <w:spacing w:line="336" w:lineRule="auto"/>
        <w:ind w:left="720" w:hanging="720"/>
        <w:rPr>
          <w:b/>
        </w:rPr>
      </w:pPr>
      <w:r w:rsidRPr="00B53423">
        <w:rPr>
          <w:b/>
        </w:rPr>
        <w:tab/>
        <w:t>Life-line consumers</w:t>
      </w:r>
    </w:p>
    <w:p w:rsidR="008E5045" w:rsidRPr="00B53423" w:rsidRDefault="000C05F2" w:rsidP="00A95102">
      <w:pPr>
        <w:pStyle w:val="Heading3"/>
        <w:keepNext w:val="0"/>
        <w:tabs>
          <w:tab w:val="left" w:pos="720"/>
        </w:tabs>
        <w:spacing w:line="336" w:lineRule="auto"/>
        <w:ind w:hanging="990"/>
      </w:pPr>
      <w:r w:rsidRPr="00B53423">
        <w:t>Licensees submitted that the Tariff Policy contemplates that the consumptions norms for lifeline consumers should be restricted to 30 units per month. Most of the States have designed their tariff structure for the lifeline / BPL category in line with the tariff policy except Punjab which has a consumption norm of up to 200 units / month but the Punjab Govt. provides 100% subsidy for this purpose. However, no subsidy is provided by the Government of Uttar Pradesh for this particular category of consumers. The rate for this category is much below against cost of supply which results in huge uncovered revenue gap. Accordingly the Licensees proposed that the consumptions norms for the lifeline consumer category may be aligned with Other States and in compliance with Tariff Policy. Therefore, to ensure that only genuine lifeline consumers gets the benefit of this rate slab and also in accordance with the provisions of tariff policy, the ceiling consumption range are proposed to be reduced from 150 units per month to 50 units per month. However to provide additional relief to such consumers the energy rate per unit has been reduced from 2.20 per kWh and 2.60 per kWh to a single rate of Rs. 2.00 per kWh</w:t>
      </w:r>
      <w:r w:rsidR="00E42F07" w:rsidRPr="00B53423">
        <w:rPr>
          <w:rFonts w:cs="Times New Roman"/>
        </w:rPr>
        <w:t>.</w:t>
      </w:r>
    </w:p>
    <w:p w:rsidR="00E42F07" w:rsidRPr="00B53423" w:rsidRDefault="00E42F07" w:rsidP="00A95102">
      <w:pPr>
        <w:spacing w:line="336" w:lineRule="auto"/>
      </w:pPr>
    </w:p>
    <w:p w:rsidR="008E5045" w:rsidRPr="00B53423" w:rsidRDefault="000C05F2" w:rsidP="00A95102">
      <w:pPr>
        <w:pStyle w:val="Heading3"/>
        <w:keepNext w:val="0"/>
        <w:tabs>
          <w:tab w:val="left" w:pos="720"/>
        </w:tabs>
        <w:spacing w:line="336" w:lineRule="auto"/>
        <w:ind w:hanging="990"/>
        <w:rPr>
          <w:rFonts w:cs="Times New Roman"/>
        </w:rPr>
      </w:pPr>
      <w:r w:rsidRPr="00B53423">
        <w:t>The Commission in the past has been allowing tariff support to lifeline consumers having load up to 1 kW and maximum consumption of 150 kWh / month. Tariff for the mentioned category had been given in two slabs i.e. (0 to 100 kWh / month) and (101 to 150 kWh / month). Thus, in spirit of the National Electricity Policy, the Commission in this Order, has changed the slabs for the lifeline consumers and has given lower tariff for consumers with consumption up to 50 kWh / month. In view of the same, to ensure that the burden on the genuinely poor consumers get reduced the Commission has also reduced the Tariff for the lower slab and has marginally increased the tariff in the higher slab as depicted in the Rate Schedule</w:t>
      </w:r>
      <w:r w:rsidR="00E42F07" w:rsidRPr="00B53423">
        <w:rPr>
          <w:rFonts w:cs="Times New Roman"/>
        </w:rPr>
        <w:t>.</w:t>
      </w:r>
    </w:p>
    <w:p w:rsidR="00E42F07" w:rsidRPr="00B53423" w:rsidRDefault="00E42F07" w:rsidP="00A95102">
      <w:pPr>
        <w:pStyle w:val="Heading3"/>
        <w:keepNext w:val="0"/>
        <w:numPr>
          <w:ilvl w:val="0"/>
          <w:numId w:val="0"/>
        </w:numPr>
        <w:spacing w:line="336" w:lineRule="auto"/>
        <w:ind w:left="936" w:hanging="936"/>
        <w:rPr>
          <w:b/>
        </w:rPr>
      </w:pPr>
    </w:p>
    <w:p w:rsidR="008E5045" w:rsidRPr="00B53423" w:rsidRDefault="00E42F07" w:rsidP="00A95102">
      <w:pPr>
        <w:pStyle w:val="Heading3"/>
        <w:keepNext w:val="0"/>
        <w:numPr>
          <w:ilvl w:val="0"/>
          <w:numId w:val="0"/>
        </w:numPr>
        <w:spacing w:line="336" w:lineRule="auto"/>
        <w:ind w:left="720" w:hanging="720"/>
        <w:rPr>
          <w:b/>
        </w:rPr>
      </w:pPr>
      <w:r w:rsidRPr="00B53423">
        <w:rPr>
          <w:b/>
        </w:rPr>
        <w:tab/>
        <w:t>Rebate on Timely Payment:</w:t>
      </w:r>
    </w:p>
    <w:p w:rsidR="008E5045" w:rsidRPr="00B53423" w:rsidRDefault="000C05F2" w:rsidP="00A95102">
      <w:pPr>
        <w:pStyle w:val="Heading3"/>
        <w:keepNext w:val="0"/>
        <w:tabs>
          <w:tab w:val="left" w:pos="720"/>
        </w:tabs>
        <w:spacing w:line="336" w:lineRule="auto"/>
        <w:ind w:hanging="990"/>
      </w:pPr>
      <w:r w:rsidRPr="00B53423">
        <w:t>The Commission in its Tariff Order for FY 2003-04 had abolished the rebate on timely payment stating that the consumers already enjoys a considerable period of credit as the due dates for the payments are on post paid basis. The Commission in the mentioned Order also stated that unless the rebate results in better realisation and specifically proposed by the Licensees such rebate should not allowed. However, it has been observed that over the years the collection efficiency of the Licensees have reduced and resultantly many OTS schemes have to be launched so as to recover the arrears. The Commission is of the view that the many consumers who do not make the payments in time get the OTS waivers and resultantly does not have to pay the full amount of surcharge. The Commission is of the view that if a nominal rebate to the consumers for timely payment can improve the collection efficiency and the cash flows of the Licensees, then why the Licensees have never proposed for such rebate. The Licensees must understand that such rebates would be beneficial for the Licensees resulting in better cash flows. Further, there has been a long pending demand by the consumers to reward the honest consumer paying on time. Thus, considering the same, the Commission in has decided to give a rebate of 0.25% to the consumers who pays the bills in time i.e. before due date</w:t>
      </w:r>
      <w:r w:rsidR="00E42F07" w:rsidRPr="00B53423">
        <w:rPr>
          <w:rFonts w:cs="Times New Roman"/>
        </w:rPr>
        <w:t>.</w:t>
      </w:r>
    </w:p>
    <w:p w:rsidR="005B31C0" w:rsidRPr="00B53423" w:rsidRDefault="005B31C0" w:rsidP="00A95102">
      <w:pPr>
        <w:pStyle w:val="Heading3"/>
        <w:keepNext w:val="0"/>
        <w:numPr>
          <w:ilvl w:val="0"/>
          <w:numId w:val="0"/>
        </w:numPr>
        <w:spacing w:line="336" w:lineRule="auto"/>
        <w:ind w:left="720"/>
        <w:rPr>
          <w:b/>
        </w:rPr>
      </w:pPr>
    </w:p>
    <w:p w:rsidR="005B31C0" w:rsidRPr="00B53423" w:rsidRDefault="00BC60A3" w:rsidP="00A95102">
      <w:pPr>
        <w:pStyle w:val="Heading3"/>
        <w:keepNext w:val="0"/>
        <w:numPr>
          <w:ilvl w:val="0"/>
          <w:numId w:val="0"/>
        </w:numPr>
        <w:spacing w:line="336" w:lineRule="auto"/>
        <w:ind w:left="720"/>
        <w:rPr>
          <w:b/>
        </w:rPr>
      </w:pPr>
      <w:r w:rsidRPr="00B53423">
        <w:rPr>
          <w:b/>
        </w:rPr>
        <w:t>Rebate for prepaid Meters</w:t>
      </w:r>
      <w:r w:rsidR="000C05F2" w:rsidRPr="00B53423">
        <w:rPr>
          <w:b/>
        </w:rPr>
        <w:t>:</w:t>
      </w:r>
    </w:p>
    <w:p w:rsidR="000C05F2" w:rsidRPr="00B53423" w:rsidRDefault="000C05F2" w:rsidP="00A95102">
      <w:pPr>
        <w:pStyle w:val="Heading3"/>
        <w:keepNext w:val="0"/>
        <w:tabs>
          <w:tab w:val="left" w:pos="720"/>
        </w:tabs>
        <w:spacing w:line="336" w:lineRule="auto"/>
        <w:ind w:hanging="990"/>
        <w:rPr>
          <w:b/>
        </w:rPr>
      </w:pPr>
      <w:r w:rsidRPr="00B53423">
        <w:t>In order to encourage the prepaid meters, the Commission has allowed the rebate of 1.25% on the Rate of Charge for the consumers having prepaid meters.</w:t>
      </w:r>
    </w:p>
    <w:p w:rsidR="005B31C0" w:rsidRPr="00B53423" w:rsidRDefault="005B31C0" w:rsidP="00A95102">
      <w:pPr>
        <w:pStyle w:val="Heading3"/>
        <w:keepNext w:val="0"/>
        <w:numPr>
          <w:ilvl w:val="0"/>
          <w:numId w:val="0"/>
        </w:numPr>
        <w:tabs>
          <w:tab w:val="left" w:pos="720"/>
        </w:tabs>
        <w:spacing w:line="336" w:lineRule="auto"/>
        <w:ind w:left="720"/>
      </w:pPr>
    </w:p>
    <w:p w:rsidR="000C05F2" w:rsidRPr="00B53423" w:rsidRDefault="000C05F2" w:rsidP="00A95102">
      <w:pPr>
        <w:pStyle w:val="Heading3"/>
        <w:keepNext w:val="0"/>
        <w:numPr>
          <w:ilvl w:val="0"/>
          <w:numId w:val="0"/>
        </w:numPr>
        <w:spacing w:line="336" w:lineRule="auto"/>
        <w:ind w:left="720"/>
        <w:rPr>
          <w:b/>
        </w:rPr>
      </w:pPr>
      <w:r w:rsidRPr="00B53423">
        <w:rPr>
          <w:b/>
        </w:rPr>
        <w:t>Delayed Payment Surcharge / Penalty</w:t>
      </w:r>
    </w:p>
    <w:p w:rsidR="000C05F2" w:rsidRPr="00B53423" w:rsidRDefault="000C05F2" w:rsidP="00A95102">
      <w:pPr>
        <w:pStyle w:val="Heading3"/>
        <w:keepNext w:val="0"/>
        <w:tabs>
          <w:tab w:val="left" w:pos="720"/>
        </w:tabs>
        <w:spacing w:line="336" w:lineRule="auto"/>
        <w:ind w:hanging="990"/>
        <w:rPr>
          <w:b/>
        </w:rPr>
      </w:pPr>
      <w:r w:rsidRPr="00B53423">
        <w:t>Further, to discourage the late payment of electricity bills the Commission has revised the applicable surcharge / penalty on the late payment of bills to 1.5% per month (based on number of days for which the payment is delayed from the due date).</w:t>
      </w:r>
    </w:p>
    <w:p w:rsidR="005B31C0" w:rsidRPr="00B53423" w:rsidRDefault="005B31C0" w:rsidP="00A95102">
      <w:pPr>
        <w:pStyle w:val="Heading3"/>
        <w:keepNext w:val="0"/>
        <w:numPr>
          <w:ilvl w:val="0"/>
          <w:numId w:val="0"/>
        </w:numPr>
        <w:tabs>
          <w:tab w:val="left" w:pos="720"/>
        </w:tabs>
        <w:spacing w:line="336" w:lineRule="auto"/>
        <w:ind w:left="720"/>
        <w:rPr>
          <w:b/>
        </w:rPr>
      </w:pPr>
    </w:p>
    <w:p w:rsidR="008E5045" w:rsidRPr="00B53423" w:rsidRDefault="00E42F07" w:rsidP="00A95102">
      <w:pPr>
        <w:pStyle w:val="Heading3"/>
        <w:keepNext w:val="0"/>
        <w:numPr>
          <w:ilvl w:val="0"/>
          <w:numId w:val="0"/>
        </w:numPr>
        <w:spacing w:line="336" w:lineRule="auto"/>
        <w:ind w:left="720" w:hanging="720"/>
        <w:rPr>
          <w:b/>
        </w:rPr>
      </w:pPr>
      <w:r w:rsidRPr="00B53423">
        <w:rPr>
          <w:b/>
        </w:rPr>
        <w:tab/>
        <w:t>Load factor rebate</w:t>
      </w:r>
    </w:p>
    <w:p w:rsidR="008E5045" w:rsidRPr="00B53423" w:rsidRDefault="000C05F2" w:rsidP="00A95102">
      <w:pPr>
        <w:pStyle w:val="Heading3"/>
        <w:keepNext w:val="0"/>
        <w:tabs>
          <w:tab w:val="left" w:pos="720"/>
        </w:tabs>
        <w:spacing w:line="336" w:lineRule="auto"/>
        <w:ind w:hanging="990"/>
      </w:pPr>
      <w:r w:rsidRPr="00B53423">
        <w:t>Distribution Licensees have proposed to abolish the load factor rebate applicable to various categories. Licensee further, submitted that the Load factor rebate had been introduced earlier in large and heavy consumers to curb the theft of electricity. But, now Licensees has installed high precision meters to monitor the trend and other parameters and as such it appears that there is no need to provide incentive for consumption</w:t>
      </w:r>
      <w:r w:rsidR="00E42F07" w:rsidRPr="00B53423">
        <w:rPr>
          <w:rFonts w:cs="Times New Roman"/>
        </w:rPr>
        <w:t xml:space="preserve">. </w:t>
      </w:r>
    </w:p>
    <w:p w:rsidR="00E42F07" w:rsidRPr="00B53423" w:rsidRDefault="00E42F07" w:rsidP="00A95102">
      <w:pPr>
        <w:pStyle w:val="Heading3"/>
        <w:keepNext w:val="0"/>
        <w:numPr>
          <w:ilvl w:val="0"/>
          <w:numId w:val="0"/>
        </w:numPr>
        <w:spacing w:line="336" w:lineRule="auto"/>
        <w:ind w:left="720"/>
      </w:pPr>
    </w:p>
    <w:p w:rsidR="008E5045" w:rsidRPr="00B53423" w:rsidRDefault="000C05F2" w:rsidP="00A95102">
      <w:pPr>
        <w:pStyle w:val="Heading3"/>
        <w:keepNext w:val="0"/>
        <w:tabs>
          <w:tab w:val="left" w:pos="720"/>
        </w:tabs>
        <w:spacing w:line="336" w:lineRule="auto"/>
        <w:ind w:hanging="990"/>
        <w:rPr>
          <w:rFonts w:cs="Times New Roman"/>
        </w:rPr>
      </w:pPr>
      <w:r w:rsidRPr="00B53423">
        <w:t>The Commission appreciates that the Licensees for installing the high precision meters which would benefit both the Licensees and the consumers. The Load factor rebate encourages the consumers to consume more electricity. Load factor rebate also defeats the approach of the Commission, that the tariff for consumers, consuming more electricity should be higher. Considering the same, the Commission has decided to abolish the load factor rebate as proposed by the Distribution Licensees</w:t>
      </w:r>
      <w:r w:rsidR="00E42F07" w:rsidRPr="00B53423">
        <w:rPr>
          <w:rFonts w:cs="Times New Roman"/>
        </w:rPr>
        <w:t xml:space="preserve">.  </w:t>
      </w:r>
    </w:p>
    <w:p w:rsidR="00E42F07" w:rsidRPr="00B53423" w:rsidRDefault="00E42F07" w:rsidP="00A95102">
      <w:pPr>
        <w:pStyle w:val="Heading3"/>
        <w:keepNext w:val="0"/>
        <w:numPr>
          <w:ilvl w:val="0"/>
          <w:numId w:val="0"/>
        </w:numPr>
        <w:spacing w:line="336" w:lineRule="auto"/>
        <w:ind w:left="720"/>
        <w:rPr>
          <w:b/>
        </w:rPr>
      </w:pPr>
    </w:p>
    <w:p w:rsidR="008E5045" w:rsidRPr="00B53423" w:rsidRDefault="00E42F07" w:rsidP="00A95102">
      <w:pPr>
        <w:pStyle w:val="Heading3"/>
        <w:keepNext w:val="0"/>
        <w:numPr>
          <w:ilvl w:val="0"/>
          <w:numId w:val="0"/>
        </w:numPr>
        <w:spacing w:line="336" w:lineRule="auto"/>
        <w:ind w:left="720" w:hanging="720"/>
        <w:rPr>
          <w:b/>
        </w:rPr>
      </w:pPr>
      <w:r w:rsidRPr="00B53423">
        <w:rPr>
          <w:b/>
        </w:rPr>
        <w:tab/>
      </w:r>
      <w:r w:rsidR="000C05F2" w:rsidRPr="00B53423">
        <w:rPr>
          <w:b/>
        </w:rPr>
        <w:t>Single point buyer</w:t>
      </w:r>
    </w:p>
    <w:p w:rsidR="008E5045" w:rsidRPr="00B53423" w:rsidRDefault="000C05F2" w:rsidP="00A95102">
      <w:pPr>
        <w:pStyle w:val="Heading3"/>
        <w:keepNext w:val="0"/>
        <w:tabs>
          <w:tab w:val="left" w:pos="720"/>
        </w:tabs>
        <w:spacing w:line="336" w:lineRule="auto"/>
        <w:ind w:hanging="990"/>
      </w:pPr>
      <w:r w:rsidRPr="00B53423">
        <w:t>It has been general grievance of the consumers that the single point buyers under LMV-1 and HV-1 categories charge variably from it end consumers and earns lot of profit by selling electricity at higher rates. The Commission is of the view that the body seeking the supply at Single point connection for bulk loads under the mentioned categories are responsible for all the activities to supply electricity from the single point connection to the end consumers. The Commission understands that such activities also involve certain amount of cost which is required to be recovered from the end consumers. It has been observed that such additional cost is usually charged from the consumers through a separate maintenance bill or is included in the electricity bill itself. The Commission is of the view that such single point buyer should not be entitled for any unreasonable profits but should be allowed to recover the cost it incurs for supply of electricity. In view of the same, and as depicted in the Rate Schedule the Commission has specified maximum limit of 10% for the single point buyer to charge the end consumers over and above the actual Rate &amp; other applicable charges</w:t>
      </w:r>
      <w:r w:rsidR="00E42F07" w:rsidRPr="00B53423">
        <w:t>.</w:t>
      </w:r>
    </w:p>
    <w:p w:rsidR="00E42F07" w:rsidRPr="00B53423" w:rsidRDefault="00E42F07" w:rsidP="00A95102">
      <w:pPr>
        <w:pStyle w:val="Heading3"/>
        <w:keepNext w:val="0"/>
        <w:numPr>
          <w:ilvl w:val="0"/>
          <w:numId w:val="0"/>
        </w:numPr>
        <w:spacing w:line="336" w:lineRule="auto"/>
        <w:ind w:left="720"/>
      </w:pPr>
    </w:p>
    <w:p w:rsidR="008E5045" w:rsidRPr="00B53423" w:rsidRDefault="00E42F07" w:rsidP="00A95102">
      <w:pPr>
        <w:pStyle w:val="Heading3"/>
        <w:keepNext w:val="0"/>
        <w:numPr>
          <w:ilvl w:val="0"/>
          <w:numId w:val="0"/>
        </w:numPr>
        <w:spacing w:line="336" w:lineRule="auto"/>
        <w:ind w:left="720" w:hanging="720"/>
        <w:rPr>
          <w:b/>
        </w:rPr>
      </w:pPr>
      <w:r w:rsidRPr="00B53423">
        <w:rPr>
          <w:b/>
        </w:rPr>
        <w:tab/>
        <w:t>Protective Load:</w:t>
      </w:r>
    </w:p>
    <w:p w:rsidR="008E5045" w:rsidRPr="00B53423" w:rsidRDefault="000C05F2" w:rsidP="00A95102">
      <w:pPr>
        <w:pStyle w:val="Heading3"/>
        <w:keepNext w:val="0"/>
        <w:tabs>
          <w:tab w:val="left" w:pos="720"/>
        </w:tabs>
        <w:spacing w:line="336" w:lineRule="auto"/>
        <w:ind w:hanging="990"/>
      </w:pPr>
      <w:r w:rsidRPr="00B53423">
        <w:t>The Licensees have proposed certain changes applicability of the protective load. Licensees have proposed to add the word “grid” before the substation. It has been further submitted that providing continuous supply to a sub-station is not possible without continuous supply to a Grid substation, as a Grid substation is the primary sub-station of the transmission license. Further, the Licensee has also proposed to abolish the discounted portative load charges for LMV-4 (A) – Public institutions</w:t>
      </w:r>
      <w:r w:rsidR="00E42F07" w:rsidRPr="00B53423">
        <w:t>.</w:t>
      </w:r>
    </w:p>
    <w:p w:rsidR="00E42F07" w:rsidRPr="00B53423" w:rsidRDefault="00E42F07" w:rsidP="00A95102">
      <w:pPr>
        <w:pStyle w:val="Heading3"/>
        <w:keepNext w:val="0"/>
        <w:numPr>
          <w:ilvl w:val="0"/>
          <w:numId w:val="0"/>
        </w:numPr>
        <w:spacing w:line="336" w:lineRule="auto"/>
        <w:ind w:left="720"/>
      </w:pPr>
    </w:p>
    <w:p w:rsidR="008E5045" w:rsidRPr="00B53423" w:rsidRDefault="000C05F2" w:rsidP="00A95102">
      <w:pPr>
        <w:pStyle w:val="Heading3"/>
        <w:keepNext w:val="0"/>
        <w:tabs>
          <w:tab w:val="left" w:pos="720"/>
        </w:tabs>
        <w:spacing w:line="336" w:lineRule="auto"/>
        <w:ind w:hanging="990"/>
      </w:pPr>
      <w:r w:rsidRPr="00B53423">
        <w:t xml:space="preserve">It is clear that the above proposed changes would increase the revenue for the Licensees, however before approving such </w:t>
      </w:r>
      <w:proofErr w:type="gramStart"/>
      <w:r w:rsidRPr="00B53423">
        <w:t>changes,</w:t>
      </w:r>
      <w:proofErr w:type="gramEnd"/>
      <w:r w:rsidRPr="00B53423">
        <w:t xml:space="preserve"> the impact of the same on the consumers should also be estimated. In absence of the details submitted by the Licensees the Commission has not been able to estimate the revenue / tariff impact on the consumers. Thus, the Commission has retained the existing provisions in this regard. The Commission directs the Licensees if such changes are required to be made, the estimated impact along with detailed computations should be submitted to the Commission in ARR / Tariff Petition for FY 2015-16</w:t>
      </w:r>
      <w:r w:rsidR="00E42F07" w:rsidRPr="00B53423">
        <w:t xml:space="preserve">. </w:t>
      </w:r>
    </w:p>
    <w:p w:rsidR="00E42F07" w:rsidRPr="00B53423" w:rsidRDefault="00E42F07" w:rsidP="00A95102">
      <w:pPr>
        <w:pStyle w:val="Heading3"/>
        <w:keepNext w:val="0"/>
        <w:numPr>
          <w:ilvl w:val="0"/>
          <w:numId w:val="0"/>
        </w:numPr>
        <w:spacing w:line="336" w:lineRule="auto"/>
        <w:ind w:left="936" w:hanging="936"/>
        <w:rPr>
          <w:b/>
        </w:rPr>
      </w:pPr>
    </w:p>
    <w:p w:rsidR="008E5045" w:rsidRPr="00B53423" w:rsidRDefault="00E42F07" w:rsidP="00A95102">
      <w:pPr>
        <w:pStyle w:val="Heading3"/>
        <w:keepNext w:val="0"/>
        <w:numPr>
          <w:ilvl w:val="0"/>
          <w:numId w:val="0"/>
        </w:numPr>
        <w:spacing w:line="336" w:lineRule="auto"/>
        <w:ind w:left="720" w:hanging="720"/>
        <w:rPr>
          <w:b/>
        </w:rPr>
      </w:pPr>
      <w:r w:rsidRPr="00B53423">
        <w:rPr>
          <w:b/>
        </w:rPr>
        <w:tab/>
        <w:t>Tariff for Jhuggi / Hutments and Patri shopkeeper:</w:t>
      </w:r>
    </w:p>
    <w:p w:rsidR="008E5045" w:rsidRPr="00B53423" w:rsidRDefault="000C05F2" w:rsidP="00A95102">
      <w:pPr>
        <w:pStyle w:val="Heading3"/>
        <w:keepNext w:val="0"/>
        <w:tabs>
          <w:tab w:val="left" w:pos="720"/>
        </w:tabs>
        <w:spacing w:line="336" w:lineRule="auto"/>
        <w:ind w:hanging="990"/>
      </w:pPr>
      <w:r w:rsidRPr="00B53423">
        <w:t>The Commission has included the required provisions for applicability of Tariff for Jhuggi / Hutments and Patri shopkeeper in the Rate schedule</w:t>
      </w:r>
      <w:r w:rsidR="00E42F07" w:rsidRPr="00B53423">
        <w:t>.</w:t>
      </w:r>
    </w:p>
    <w:p w:rsidR="005B31C0" w:rsidRPr="00B53423" w:rsidRDefault="00E42F07" w:rsidP="00A95102">
      <w:pPr>
        <w:pStyle w:val="Heading3"/>
        <w:keepNext w:val="0"/>
        <w:numPr>
          <w:ilvl w:val="0"/>
          <w:numId w:val="0"/>
        </w:numPr>
        <w:spacing w:line="336" w:lineRule="auto"/>
        <w:ind w:left="720" w:hanging="720"/>
        <w:rPr>
          <w:b/>
        </w:rPr>
      </w:pPr>
      <w:r w:rsidRPr="00B53423">
        <w:rPr>
          <w:b/>
        </w:rPr>
        <w:tab/>
      </w:r>
    </w:p>
    <w:p w:rsidR="00E42F07" w:rsidRPr="00B53423" w:rsidRDefault="00E42F07" w:rsidP="00A95102">
      <w:pPr>
        <w:pStyle w:val="ListParagraph"/>
        <w:spacing w:line="336" w:lineRule="auto"/>
        <w:rPr>
          <w:b/>
        </w:rPr>
      </w:pPr>
      <w:r w:rsidRPr="00B53423">
        <w:rPr>
          <w:b/>
        </w:rPr>
        <w:t xml:space="preserve">Rebate for using </w:t>
      </w:r>
      <w:proofErr w:type="gramStart"/>
      <w:r w:rsidRPr="00B53423">
        <w:rPr>
          <w:b/>
        </w:rPr>
        <w:t>Solar</w:t>
      </w:r>
      <w:proofErr w:type="gramEnd"/>
      <w:r w:rsidRPr="00B53423">
        <w:rPr>
          <w:b/>
        </w:rPr>
        <w:t xml:space="preserve"> water heater.</w:t>
      </w:r>
    </w:p>
    <w:p w:rsidR="008E5045" w:rsidRPr="00B53423" w:rsidRDefault="000C05F2" w:rsidP="00A95102">
      <w:pPr>
        <w:pStyle w:val="Heading3"/>
        <w:keepNext w:val="0"/>
        <w:tabs>
          <w:tab w:val="left" w:pos="720"/>
        </w:tabs>
        <w:spacing w:line="336" w:lineRule="auto"/>
        <w:ind w:hanging="990"/>
      </w:pPr>
      <w:r w:rsidRPr="00B53423">
        <w:t xml:space="preserve">In order to encourage the use of solar energy which will conserve electricity, the Commission has introduced a rebate to </w:t>
      </w:r>
      <w:r w:rsidR="00AB49E3" w:rsidRPr="00B53423">
        <w:t xml:space="preserve">all </w:t>
      </w:r>
      <w:r w:rsidRPr="00B53423">
        <w:t>the consumers who installs and uses the solar water heater</w:t>
      </w:r>
      <w:r w:rsidR="00E42F07" w:rsidRPr="00B53423">
        <w:t xml:space="preserve">. </w:t>
      </w:r>
    </w:p>
    <w:p w:rsidR="00E42F07" w:rsidRPr="00B53423" w:rsidRDefault="00E42F07" w:rsidP="00A95102">
      <w:pPr>
        <w:pStyle w:val="ListParagraph"/>
        <w:spacing w:line="336" w:lineRule="auto"/>
        <w:rPr>
          <w:b/>
        </w:rPr>
      </w:pPr>
    </w:p>
    <w:p w:rsidR="00DA3D5F" w:rsidRDefault="00DA3D5F" w:rsidP="00A95102">
      <w:pPr>
        <w:pStyle w:val="ListParagraph"/>
        <w:spacing w:line="336" w:lineRule="auto"/>
        <w:rPr>
          <w:b/>
        </w:rPr>
      </w:pPr>
    </w:p>
    <w:p w:rsidR="00E42F07" w:rsidRPr="00B53423" w:rsidRDefault="00E42F07" w:rsidP="00A95102">
      <w:pPr>
        <w:pStyle w:val="ListParagraph"/>
        <w:spacing w:line="336" w:lineRule="auto"/>
        <w:rPr>
          <w:b/>
        </w:rPr>
      </w:pPr>
      <w:r w:rsidRPr="00B53423">
        <w:rPr>
          <w:b/>
        </w:rPr>
        <w:t>Increase in tariff</w:t>
      </w:r>
    </w:p>
    <w:p w:rsidR="008E5045" w:rsidRPr="00B53423" w:rsidRDefault="000C05F2" w:rsidP="00A95102">
      <w:pPr>
        <w:pStyle w:val="Heading3"/>
        <w:keepNext w:val="0"/>
        <w:tabs>
          <w:tab w:val="left" w:pos="720"/>
        </w:tabs>
        <w:spacing w:line="336" w:lineRule="auto"/>
        <w:ind w:hanging="990"/>
        <w:rPr>
          <w:b/>
        </w:rPr>
      </w:pPr>
      <w:r w:rsidRPr="00B53423">
        <w:t>The Commission has approved a nominal increase in various categories endeavouring that the tariff for various categories should remain within the range of +/-20% of the average cost of supply. However, as the increase in tariff is not only due to increase in ACOS but also for the part recovery of the large accumulated revenue gap for previous years, the tariff for few categories is nominally beyond the limit of +/- 20% of ACOS</w:t>
      </w:r>
      <w:r w:rsidR="00E42F07" w:rsidRPr="00B53423">
        <w:t>.</w:t>
      </w:r>
    </w:p>
    <w:p w:rsidR="005B31C0" w:rsidRPr="00B53423" w:rsidRDefault="005B31C0" w:rsidP="00A95102">
      <w:pPr>
        <w:pStyle w:val="Heading3"/>
        <w:keepNext w:val="0"/>
        <w:numPr>
          <w:ilvl w:val="0"/>
          <w:numId w:val="0"/>
        </w:numPr>
        <w:tabs>
          <w:tab w:val="left" w:pos="720"/>
        </w:tabs>
        <w:spacing w:line="336" w:lineRule="auto"/>
        <w:ind w:left="720"/>
      </w:pPr>
    </w:p>
    <w:p w:rsidR="005B31C0" w:rsidRPr="00B53423" w:rsidRDefault="00BC60A3" w:rsidP="00A95102">
      <w:pPr>
        <w:pStyle w:val="ListParagraph"/>
        <w:spacing w:line="336" w:lineRule="auto"/>
        <w:rPr>
          <w:b/>
        </w:rPr>
      </w:pPr>
      <w:r w:rsidRPr="00B53423">
        <w:rPr>
          <w:b/>
        </w:rPr>
        <w:t>Modification in OTS Scheme</w:t>
      </w:r>
    </w:p>
    <w:p w:rsidR="000C05F2" w:rsidRPr="00B53423" w:rsidRDefault="000C05F2" w:rsidP="00A95102">
      <w:pPr>
        <w:pStyle w:val="Heading3"/>
        <w:keepNext w:val="0"/>
        <w:tabs>
          <w:tab w:val="left" w:pos="720"/>
        </w:tabs>
        <w:spacing w:line="336" w:lineRule="auto"/>
        <w:ind w:hanging="990"/>
        <w:rPr>
          <w:b/>
        </w:rPr>
      </w:pPr>
      <w:r w:rsidRPr="00B53423">
        <w:t>As depicted in the Rate Schedule the Commission has also made certain modifications in the OTS (One Time Settlement) Scheme for best utilisation of this scheme</w:t>
      </w:r>
    </w:p>
    <w:p w:rsidR="00E42F07" w:rsidRPr="00B53423" w:rsidRDefault="00E42F07" w:rsidP="00A95102">
      <w:pPr>
        <w:pStyle w:val="ListParagraph"/>
        <w:spacing w:line="336" w:lineRule="auto"/>
        <w:rPr>
          <w:b/>
        </w:rPr>
      </w:pPr>
    </w:p>
    <w:p w:rsidR="008E5045" w:rsidRPr="00B53423" w:rsidRDefault="00E42F07" w:rsidP="00A95102">
      <w:pPr>
        <w:pStyle w:val="Heading3"/>
        <w:keepNext w:val="0"/>
        <w:tabs>
          <w:tab w:val="left" w:pos="720"/>
        </w:tabs>
        <w:spacing w:line="336" w:lineRule="auto"/>
        <w:ind w:hanging="990"/>
      </w:pPr>
      <w:r w:rsidRPr="00B53423">
        <w:t xml:space="preserve">The applicability, character and point of supply and other terms &amp; conditions of different consumer categories have been defined in the Rate Schedule given in </w:t>
      </w:r>
      <w:r w:rsidRPr="00B53423">
        <w:rPr>
          <w:b/>
        </w:rPr>
        <w:t xml:space="preserve">ANNEXURE </w:t>
      </w:r>
      <w:fldSimple w:instr=" REF _Ref397607123 \r \h  \* MERGEFORMAT ">
        <w:r w:rsidR="00847C1B" w:rsidRPr="00847C1B">
          <w:rPr>
            <w:b/>
          </w:rPr>
          <w:t>15.2</w:t>
        </w:r>
      </w:fldSimple>
      <w:r w:rsidRPr="00B53423">
        <w:t>. In case of any inconformity, the Rate schedule shall prevail over the details given in the various sections of this Order.</w:t>
      </w:r>
    </w:p>
    <w:p w:rsidR="00DE37E0" w:rsidRPr="00B53423" w:rsidRDefault="00DE37E0" w:rsidP="0015232B">
      <w:pPr>
        <w:jc w:val="left"/>
        <w:rPr>
          <w:rFonts w:asciiTheme="minorHAnsi" w:eastAsiaTheme="minorHAnsi" w:hAnsiTheme="minorHAnsi" w:cstheme="minorHAnsi"/>
          <w:color w:val="000000"/>
          <w:lang w:val="en-US"/>
        </w:rPr>
      </w:pPr>
      <w:r w:rsidRPr="00B53423">
        <w:rPr>
          <w:rFonts w:asciiTheme="minorHAnsi" w:eastAsiaTheme="minorHAnsi" w:hAnsiTheme="minorHAnsi" w:cstheme="minorHAnsi"/>
        </w:rPr>
        <w:br w:type="page"/>
      </w:r>
    </w:p>
    <w:p w:rsidR="00DE37E0" w:rsidRPr="00B53423" w:rsidRDefault="00BC60A3" w:rsidP="0015232B">
      <w:pPr>
        <w:pStyle w:val="Heading1"/>
        <w:keepNext w:val="0"/>
        <w:numPr>
          <w:ilvl w:val="0"/>
          <w:numId w:val="1"/>
        </w:numPr>
        <w:ind w:left="720" w:hanging="1080"/>
        <w:rPr>
          <w:color w:val="auto"/>
        </w:rPr>
      </w:pPr>
      <w:bookmarkStart w:id="939" w:name="_Toc336615948"/>
      <w:bookmarkStart w:id="940" w:name="_Toc336608362"/>
      <w:bookmarkStart w:id="941" w:name="_Toc336574921"/>
      <w:bookmarkStart w:id="942" w:name="_Toc357345049"/>
      <w:bookmarkStart w:id="943" w:name="_Toc357733348"/>
      <w:bookmarkStart w:id="944" w:name="_Toc399626249"/>
      <w:r w:rsidRPr="00B53423">
        <w:rPr>
          <w:color w:val="auto"/>
        </w:rPr>
        <w:t>REVENUE AT REVISED TARIFF AND REVENUE GAP:</w:t>
      </w:r>
      <w:bookmarkEnd w:id="939"/>
      <w:bookmarkEnd w:id="940"/>
      <w:bookmarkEnd w:id="941"/>
      <w:bookmarkEnd w:id="942"/>
      <w:bookmarkEnd w:id="943"/>
      <w:bookmarkEnd w:id="944"/>
    </w:p>
    <w:p w:rsidR="00DE37E0" w:rsidRPr="00B53423" w:rsidRDefault="00DE37E0" w:rsidP="0015232B">
      <w:pPr>
        <w:pStyle w:val="Heading2"/>
        <w:keepNext w:val="0"/>
        <w:numPr>
          <w:ilvl w:val="0"/>
          <w:numId w:val="0"/>
        </w:numPr>
        <w:ind w:left="576"/>
      </w:pPr>
      <w:bookmarkStart w:id="945" w:name="_Toc336615949"/>
      <w:bookmarkStart w:id="946" w:name="_Toc336608363"/>
      <w:bookmarkStart w:id="947" w:name="_Toc336574922"/>
      <w:bookmarkStart w:id="948" w:name="_Toc357345050"/>
    </w:p>
    <w:p w:rsidR="00DE37E0" w:rsidRPr="00B53423" w:rsidRDefault="00DE37E0" w:rsidP="0015232B">
      <w:pPr>
        <w:pStyle w:val="Heading2"/>
        <w:keepNext w:val="0"/>
        <w:ind w:left="720" w:hanging="1080"/>
      </w:pPr>
      <w:bookmarkStart w:id="949" w:name="_Toc357733349"/>
      <w:bookmarkStart w:id="950" w:name="_Toc399626250"/>
      <w:r w:rsidRPr="00B53423">
        <w:t>REVENUE FROM SALE OF POWER AT APPROVED TARIFF</w:t>
      </w:r>
      <w:bookmarkEnd w:id="945"/>
      <w:bookmarkEnd w:id="946"/>
      <w:bookmarkEnd w:id="947"/>
      <w:bookmarkEnd w:id="948"/>
      <w:bookmarkEnd w:id="949"/>
      <w:bookmarkEnd w:id="950"/>
    </w:p>
    <w:p w:rsidR="00DE37E0" w:rsidRPr="00B53423" w:rsidRDefault="00DE37E0" w:rsidP="0015232B">
      <w:pPr>
        <w:spacing w:before="0"/>
      </w:pPr>
    </w:p>
    <w:p w:rsidR="00DE37E0" w:rsidRPr="00B53423" w:rsidRDefault="000C05F2" w:rsidP="0015232B">
      <w:pPr>
        <w:pStyle w:val="Heading3"/>
        <w:keepNext w:val="0"/>
        <w:tabs>
          <w:tab w:val="left" w:pos="720"/>
        </w:tabs>
        <w:ind w:hanging="1080"/>
      </w:pPr>
      <w:r w:rsidRPr="00B53423">
        <w:t>As detailed in the previous Chapter, the Commission has revised the Tariff for different categories. The Tariff so published shall become the notified Tariff applicable in the area of supply and shall come into force after seven days from the date of such publication of the Tariff, and unless amended or revoked, shall continue to be in force till issuance of the next Tariff Order. Considering the period of applicability, the revenue at revised Tariff for FY 2014-15 is worked out as under</w:t>
      </w:r>
      <w:r w:rsidR="00DE37E0" w:rsidRPr="00B53423">
        <w:t>:</w:t>
      </w:r>
    </w:p>
    <w:p w:rsidR="00DE37E0" w:rsidRPr="00B53423" w:rsidRDefault="00DE37E0" w:rsidP="0015232B"/>
    <w:p w:rsidR="00DE37E0" w:rsidRPr="00B53423" w:rsidRDefault="00DE37E0" w:rsidP="0015232B">
      <w:pPr>
        <w:pStyle w:val="Caption"/>
        <w:spacing w:before="0" w:line="276" w:lineRule="auto"/>
        <w:jc w:val="center"/>
        <w:rPr>
          <w:rFonts w:asciiTheme="minorHAnsi" w:hAnsiTheme="minorHAnsi" w:cstheme="minorHAnsi"/>
          <w:szCs w:val="24"/>
        </w:rPr>
      </w:pPr>
      <w:bookmarkStart w:id="951" w:name="_Toc336616147"/>
      <w:bookmarkStart w:id="952" w:name="_Toc336608563"/>
      <w:bookmarkStart w:id="953" w:name="_Toc336572528"/>
      <w:bookmarkStart w:id="954" w:name="_Toc338310727"/>
      <w:bookmarkStart w:id="955" w:name="_Toc338419556"/>
      <w:bookmarkStart w:id="956" w:name="_Toc357738753"/>
      <w:bookmarkStart w:id="957" w:name="_Toc399626441"/>
      <w:r w:rsidRPr="00B53423">
        <w:rPr>
          <w:rFonts w:asciiTheme="minorHAnsi" w:hAnsiTheme="minorHAnsi" w:cstheme="minorHAnsi"/>
          <w:szCs w:val="24"/>
        </w:rPr>
        <w:t xml:space="preserve">Table </w:t>
      </w:r>
      <w:r w:rsidR="005D68E7" w:rsidRPr="00B53423">
        <w:rPr>
          <w:rFonts w:asciiTheme="minorHAnsi" w:hAnsiTheme="minorHAnsi" w:cstheme="minorHAnsi"/>
          <w:szCs w:val="24"/>
        </w:rPr>
        <w:fldChar w:fldCharType="begin"/>
      </w:r>
      <w:r w:rsidRPr="00B53423">
        <w:rPr>
          <w:rFonts w:asciiTheme="minorHAnsi" w:hAnsiTheme="minorHAnsi" w:cstheme="minorHAnsi"/>
          <w:szCs w:val="24"/>
        </w:rPr>
        <w:instrText xml:space="preserve"> STYLEREF 1 \s </w:instrText>
      </w:r>
      <w:r w:rsidR="005D68E7" w:rsidRPr="00B53423">
        <w:rPr>
          <w:rFonts w:asciiTheme="minorHAnsi" w:hAnsiTheme="minorHAnsi" w:cstheme="minorHAnsi"/>
          <w:szCs w:val="24"/>
        </w:rPr>
        <w:fldChar w:fldCharType="separate"/>
      </w:r>
      <w:r w:rsidR="00847C1B">
        <w:rPr>
          <w:rFonts w:asciiTheme="minorHAnsi" w:hAnsiTheme="minorHAnsi" w:cstheme="minorHAnsi"/>
          <w:noProof/>
          <w:szCs w:val="24"/>
        </w:rPr>
        <w:t>12</w:t>
      </w:r>
      <w:r w:rsidR="005D68E7" w:rsidRPr="00B53423">
        <w:rPr>
          <w:rFonts w:asciiTheme="minorHAnsi" w:hAnsiTheme="minorHAnsi" w:cstheme="minorHAnsi"/>
          <w:szCs w:val="24"/>
        </w:rPr>
        <w:fldChar w:fldCharType="end"/>
      </w:r>
      <w:r w:rsidRPr="00B53423">
        <w:rPr>
          <w:rFonts w:asciiTheme="minorHAnsi" w:hAnsiTheme="minorHAnsi" w:cstheme="minorHAnsi"/>
          <w:szCs w:val="24"/>
        </w:rPr>
        <w:noBreakHyphen/>
      </w:r>
      <w:r w:rsidR="005D68E7" w:rsidRPr="00B53423">
        <w:rPr>
          <w:rFonts w:asciiTheme="minorHAnsi" w:hAnsiTheme="minorHAnsi" w:cstheme="minorHAnsi"/>
          <w:szCs w:val="24"/>
        </w:rPr>
        <w:fldChar w:fldCharType="begin"/>
      </w:r>
      <w:r w:rsidRPr="00B53423">
        <w:rPr>
          <w:rFonts w:asciiTheme="minorHAnsi" w:hAnsiTheme="minorHAnsi" w:cstheme="minorHAnsi"/>
          <w:szCs w:val="24"/>
        </w:rPr>
        <w:instrText xml:space="preserve"> SEQ Table \* ARABIC \s 1 </w:instrText>
      </w:r>
      <w:r w:rsidR="005D68E7" w:rsidRPr="00B53423">
        <w:rPr>
          <w:rFonts w:asciiTheme="minorHAnsi" w:hAnsiTheme="minorHAnsi" w:cstheme="minorHAnsi"/>
          <w:szCs w:val="24"/>
        </w:rPr>
        <w:fldChar w:fldCharType="separate"/>
      </w:r>
      <w:r w:rsidR="00847C1B">
        <w:rPr>
          <w:rFonts w:asciiTheme="minorHAnsi" w:hAnsiTheme="minorHAnsi" w:cstheme="minorHAnsi"/>
          <w:noProof/>
          <w:szCs w:val="24"/>
        </w:rPr>
        <w:t>1</w:t>
      </w:r>
      <w:r w:rsidR="005D68E7" w:rsidRPr="00B53423">
        <w:rPr>
          <w:rFonts w:asciiTheme="minorHAnsi" w:hAnsiTheme="minorHAnsi" w:cstheme="minorHAnsi"/>
          <w:szCs w:val="24"/>
        </w:rPr>
        <w:fldChar w:fldCharType="end"/>
      </w:r>
      <w:r w:rsidRPr="00B53423">
        <w:rPr>
          <w:rFonts w:asciiTheme="minorHAnsi" w:hAnsiTheme="minorHAnsi" w:cstheme="minorHAnsi"/>
          <w:szCs w:val="24"/>
        </w:rPr>
        <w:t>: REVENUE FROM SALE OF POWER</w:t>
      </w:r>
      <w:r w:rsidR="00687CFA" w:rsidRPr="00B53423">
        <w:rPr>
          <w:rFonts w:asciiTheme="minorHAnsi" w:hAnsiTheme="minorHAnsi" w:cstheme="minorHAnsi"/>
          <w:szCs w:val="24"/>
        </w:rPr>
        <w:t xml:space="preserve"> AT APPROVED TARIFF - FY 2014-15</w:t>
      </w:r>
      <w:r w:rsidRPr="00B53423">
        <w:rPr>
          <w:rFonts w:asciiTheme="minorHAnsi" w:hAnsiTheme="minorHAnsi" w:cstheme="minorHAnsi"/>
          <w:szCs w:val="24"/>
        </w:rPr>
        <w:t xml:space="preserve"> (Rs. Crore)</w:t>
      </w:r>
      <w:bookmarkEnd w:id="951"/>
      <w:bookmarkEnd w:id="952"/>
      <w:bookmarkEnd w:id="953"/>
      <w:bookmarkEnd w:id="954"/>
      <w:bookmarkEnd w:id="955"/>
      <w:bookmarkEnd w:id="956"/>
      <w:bookmarkEnd w:id="957"/>
    </w:p>
    <w:tbl>
      <w:tblPr>
        <w:tblW w:w="649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340"/>
        <w:gridCol w:w="2150"/>
      </w:tblGrid>
      <w:tr w:rsidR="00DE37E0" w:rsidRPr="00B53423" w:rsidTr="005D7AFD">
        <w:trPr>
          <w:trHeight w:val="143"/>
          <w:jc w:val="center"/>
        </w:trPr>
        <w:tc>
          <w:tcPr>
            <w:tcW w:w="4340" w:type="dxa"/>
            <w:shd w:val="clear" w:color="000000" w:fill="DCE6F1"/>
            <w:noWrap/>
            <w:vAlign w:val="center"/>
            <w:hideMark/>
          </w:tcPr>
          <w:p w:rsidR="00DE37E0" w:rsidRPr="00B53423" w:rsidRDefault="00DE37E0" w:rsidP="0015232B">
            <w:pPr>
              <w:spacing w:before="0" w:line="240" w:lineRule="auto"/>
              <w:jc w:val="left"/>
              <w:rPr>
                <w:b/>
                <w:bCs/>
                <w:color w:val="000000"/>
                <w:lang w:val="en-US"/>
              </w:rPr>
            </w:pPr>
            <w:r w:rsidRPr="00B53423">
              <w:rPr>
                <w:b/>
                <w:bCs/>
                <w:color w:val="000000"/>
                <w:lang w:val="en-US"/>
              </w:rPr>
              <w:t>Consumer categories</w:t>
            </w:r>
          </w:p>
        </w:tc>
        <w:tc>
          <w:tcPr>
            <w:tcW w:w="2150" w:type="dxa"/>
            <w:shd w:val="clear" w:color="000000" w:fill="DCE6F1"/>
            <w:hideMark/>
          </w:tcPr>
          <w:p w:rsidR="00DE37E0" w:rsidRPr="00B53423" w:rsidRDefault="00DE37E0" w:rsidP="0015232B">
            <w:pPr>
              <w:spacing w:before="0" w:line="240" w:lineRule="auto"/>
              <w:jc w:val="center"/>
              <w:rPr>
                <w:b/>
                <w:bCs/>
                <w:color w:val="000000"/>
                <w:lang w:val="en-US"/>
              </w:rPr>
            </w:pPr>
            <w:r w:rsidRPr="00B53423">
              <w:rPr>
                <w:b/>
                <w:bCs/>
                <w:color w:val="000000"/>
                <w:lang w:val="en-US"/>
              </w:rPr>
              <w:t xml:space="preserve"> Approved </w:t>
            </w:r>
            <w:r w:rsidR="006877BD" w:rsidRPr="00B53423">
              <w:rPr>
                <w:b/>
                <w:bCs/>
                <w:color w:val="000000"/>
                <w:lang w:val="en-US"/>
              </w:rPr>
              <w:t>Revenue</w:t>
            </w:r>
          </w:p>
          <w:p w:rsidR="00DE37E0" w:rsidRPr="00B53423" w:rsidRDefault="00DE37E0" w:rsidP="0015232B">
            <w:pPr>
              <w:spacing w:before="0" w:line="240" w:lineRule="auto"/>
              <w:jc w:val="center"/>
              <w:rPr>
                <w:b/>
                <w:bCs/>
                <w:color w:val="000000"/>
                <w:lang w:val="en-US"/>
              </w:rPr>
            </w:pPr>
            <w:r w:rsidRPr="00B53423">
              <w:rPr>
                <w:b/>
                <w:bCs/>
                <w:color w:val="000000"/>
                <w:lang w:val="en-US"/>
              </w:rPr>
              <w:t>FY 201</w:t>
            </w:r>
            <w:r w:rsidR="00687CFA" w:rsidRPr="00B53423">
              <w:rPr>
                <w:b/>
                <w:bCs/>
                <w:color w:val="000000"/>
                <w:lang w:val="en-US"/>
              </w:rPr>
              <w:t>4-15</w:t>
            </w:r>
          </w:p>
        </w:tc>
      </w:tr>
      <w:tr w:rsidR="00DE37E0" w:rsidRPr="00B53423" w:rsidTr="005D7AFD">
        <w:trPr>
          <w:trHeight w:val="300"/>
          <w:jc w:val="center"/>
        </w:trPr>
        <w:tc>
          <w:tcPr>
            <w:tcW w:w="4340" w:type="dxa"/>
            <w:shd w:val="clear" w:color="auto" w:fill="auto"/>
            <w:noWrap/>
            <w:hideMark/>
          </w:tcPr>
          <w:p w:rsidR="008E5045" w:rsidRPr="00B53423" w:rsidRDefault="00DE37E0" w:rsidP="0015232B">
            <w:pPr>
              <w:spacing w:before="0" w:line="240" w:lineRule="auto"/>
              <w:jc w:val="left"/>
              <w:rPr>
                <w:color w:val="000000"/>
                <w:lang w:val="en-US"/>
              </w:rPr>
            </w:pPr>
            <w:r w:rsidRPr="00B53423">
              <w:rPr>
                <w:color w:val="000000"/>
                <w:lang w:val="en-US"/>
              </w:rPr>
              <w:t>LMV-1: Domestic</w:t>
            </w:r>
          </w:p>
        </w:tc>
        <w:tc>
          <w:tcPr>
            <w:tcW w:w="2150" w:type="dxa"/>
            <w:shd w:val="clear" w:color="auto" w:fill="auto"/>
            <w:noWrap/>
            <w:vAlign w:val="center"/>
            <w:hideMark/>
          </w:tcPr>
          <w:p w:rsidR="008E5045" w:rsidRPr="00B53423" w:rsidRDefault="005729FE" w:rsidP="0015232B">
            <w:pPr>
              <w:spacing w:before="0" w:line="240" w:lineRule="auto"/>
              <w:ind w:right="667"/>
              <w:jc w:val="right"/>
              <w:rPr>
                <w:color w:val="000000"/>
                <w:lang w:val="en-US"/>
              </w:rPr>
            </w:pPr>
            <w:r w:rsidRPr="00B53423">
              <w:rPr>
                <w:rFonts w:cs="Calibri"/>
                <w:color w:val="000000"/>
                <w:sz w:val="20"/>
                <w:szCs w:val="20"/>
              </w:rPr>
              <w:t>5</w:t>
            </w:r>
            <w:r w:rsidR="000C05F2" w:rsidRPr="00B53423">
              <w:rPr>
                <w:rFonts w:cs="Calibri"/>
                <w:color w:val="000000"/>
                <w:sz w:val="20"/>
                <w:szCs w:val="20"/>
              </w:rPr>
              <w:t>88.45</w:t>
            </w:r>
          </w:p>
        </w:tc>
      </w:tr>
      <w:tr w:rsidR="00DE37E0" w:rsidRPr="00B53423" w:rsidTr="005D7AFD">
        <w:trPr>
          <w:trHeight w:val="300"/>
          <w:jc w:val="center"/>
        </w:trPr>
        <w:tc>
          <w:tcPr>
            <w:tcW w:w="4340" w:type="dxa"/>
            <w:shd w:val="clear" w:color="auto" w:fill="auto"/>
            <w:noWrap/>
            <w:hideMark/>
          </w:tcPr>
          <w:p w:rsidR="008E5045" w:rsidRPr="00B53423" w:rsidRDefault="00DE37E0" w:rsidP="0015232B">
            <w:pPr>
              <w:spacing w:before="0" w:line="240" w:lineRule="auto"/>
              <w:jc w:val="left"/>
              <w:rPr>
                <w:color w:val="000000"/>
                <w:lang w:val="en-US"/>
              </w:rPr>
            </w:pPr>
            <w:r w:rsidRPr="00B53423">
              <w:rPr>
                <w:color w:val="000000"/>
                <w:lang w:val="en-US"/>
              </w:rPr>
              <w:t>LMV-2:Non-Domestic</w:t>
            </w:r>
          </w:p>
        </w:tc>
        <w:tc>
          <w:tcPr>
            <w:tcW w:w="2150" w:type="dxa"/>
            <w:shd w:val="clear" w:color="auto" w:fill="auto"/>
            <w:noWrap/>
            <w:vAlign w:val="center"/>
            <w:hideMark/>
          </w:tcPr>
          <w:p w:rsidR="008E5045" w:rsidRPr="00B53423" w:rsidRDefault="005729FE" w:rsidP="0015232B">
            <w:pPr>
              <w:spacing w:before="0" w:line="240" w:lineRule="auto"/>
              <w:ind w:right="667"/>
              <w:jc w:val="right"/>
              <w:rPr>
                <w:color w:val="000000"/>
                <w:lang w:val="en-US"/>
              </w:rPr>
            </w:pPr>
            <w:r w:rsidRPr="00B53423">
              <w:rPr>
                <w:rFonts w:cs="Calibri"/>
                <w:color w:val="000000"/>
                <w:sz w:val="20"/>
                <w:szCs w:val="20"/>
              </w:rPr>
              <w:t>25</w:t>
            </w:r>
            <w:r w:rsidR="000C05F2" w:rsidRPr="00B53423">
              <w:rPr>
                <w:rFonts w:cs="Calibri"/>
                <w:color w:val="000000"/>
                <w:sz w:val="20"/>
                <w:szCs w:val="20"/>
              </w:rPr>
              <w:t>7.95</w:t>
            </w:r>
          </w:p>
        </w:tc>
      </w:tr>
      <w:tr w:rsidR="000C05F2" w:rsidRPr="00B53423" w:rsidTr="005D7AFD">
        <w:trPr>
          <w:trHeight w:val="300"/>
          <w:jc w:val="center"/>
        </w:trPr>
        <w:tc>
          <w:tcPr>
            <w:tcW w:w="4340" w:type="dxa"/>
            <w:shd w:val="clear" w:color="auto" w:fill="auto"/>
            <w:noWrap/>
            <w:hideMark/>
          </w:tcPr>
          <w:p w:rsidR="000C05F2" w:rsidRPr="00B53423" w:rsidRDefault="000C05F2" w:rsidP="0015232B">
            <w:pPr>
              <w:spacing w:before="0" w:line="240" w:lineRule="auto"/>
              <w:jc w:val="left"/>
              <w:rPr>
                <w:color w:val="000000"/>
                <w:lang w:val="en-US"/>
              </w:rPr>
            </w:pPr>
            <w:r w:rsidRPr="00B53423">
              <w:rPr>
                <w:color w:val="000000"/>
                <w:lang w:val="en-US"/>
              </w:rPr>
              <w:t xml:space="preserve">LMV-3: Public Lamps </w:t>
            </w:r>
          </w:p>
        </w:tc>
        <w:tc>
          <w:tcPr>
            <w:tcW w:w="2150" w:type="dxa"/>
            <w:shd w:val="clear" w:color="auto" w:fill="auto"/>
            <w:noWrap/>
            <w:vAlign w:val="center"/>
            <w:hideMark/>
          </w:tcPr>
          <w:p w:rsidR="000C05F2" w:rsidRPr="00B53423" w:rsidRDefault="000C05F2" w:rsidP="0015232B">
            <w:pPr>
              <w:spacing w:before="0" w:line="240" w:lineRule="auto"/>
              <w:ind w:right="667"/>
              <w:jc w:val="right"/>
              <w:rPr>
                <w:color w:val="000000"/>
                <w:lang w:val="en-US"/>
              </w:rPr>
            </w:pPr>
            <w:r w:rsidRPr="00B53423">
              <w:rPr>
                <w:rFonts w:cs="Calibri"/>
                <w:color w:val="000000"/>
                <w:sz w:val="20"/>
                <w:szCs w:val="20"/>
              </w:rPr>
              <w:t>41.30</w:t>
            </w:r>
          </w:p>
        </w:tc>
      </w:tr>
      <w:tr w:rsidR="000C05F2" w:rsidRPr="00B53423" w:rsidTr="005D7AFD">
        <w:trPr>
          <w:trHeight w:val="300"/>
          <w:jc w:val="center"/>
        </w:trPr>
        <w:tc>
          <w:tcPr>
            <w:tcW w:w="4340" w:type="dxa"/>
            <w:shd w:val="clear" w:color="auto" w:fill="auto"/>
            <w:noWrap/>
            <w:hideMark/>
          </w:tcPr>
          <w:p w:rsidR="000C05F2" w:rsidRPr="00B53423" w:rsidRDefault="000C05F2" w:rsidP="0015232B">
            <w:pPr>
              <w:spacing w:before="0" w:line="240" w:lineRule="auto"/>
              <w:jc w:val="left"/>
              <w:rPr>
                <w:color w:val="000000"/>
                <w:lang w:val="en-US"/>
              </w:rPr>
            </w:pPr>
            <w:r w:rsidRPr="00B53423">
              <w:rPr>
                <w:color w:val="000000"/>
                <w:lang w:val="en-US"/>
              </w:rPr>
              <w:t>LMV-4: Institutions</w:t>
            </w:r>
          </w:p>
        </w:tc>
        <w:tc>
          <w:tcPr>
            <w:tcW w:w="2150" w:type="dxa"/>
            <w:shd w:val="clear" w:color="auto" w:fill="auto"/>
            <w:noWrap/>
            <w:vAlign w:val="center"/>
            <w:hideMark/>
          </w:tcPr>
          <w:p w:rsidR="000C05F2" w:rsidRPr="00B53423" w:rsidRDefault="000C05F2" w:rsidP="0015232B">
            <w:pPr>
              <w:spacing w:before="0" w:line="240" w:lineRule="auto"/>
              <w:ind w:right="667"/>
              <w:jc w:val="right"/>
              <w:rPr>
                <w:color w:val="000000"/>
                <w:lang w:val="en-US"/>
              </w:rPr>
            </w:pPr>
            <w:r w:rsidRPr="00B53423">
              <w:rPr>
                <w:rFonts w:cs="Calibri"/>
                <w:color w:val="000000"/>
                <w:sz w:val="20"/>
                <w:szCs w:val="20"/>
              </w:rPr>
              <w:t>30.33</w:t>
            </w:r>
          </w:p>
        </w:tc>
      </w:tr>
      <w:tr w:rsidR="000C05F2" w:rsidRPr="00B53423" w:rsidTr="005D7AFD">
        <w:trPr>
          <w:trHeight w:val="300"/>
          <w:jc w:val="center"/>
        </w:trPr>
        <w:tc>
          <w:tcPr>
            <w:tcW w:w="4340" w:type="dxa"/>
            <w:shd w:val="clear" w:color="auto" w:fill="auto"/>
            <w:noWrap/>
            <w:hideMark/>
          </w:tcPr>
          <w:p w:rsidR="000C05F2" w:rsidRPr="00B53423" w:rsidRDefault="000C05F2" w:rsidP="0015232B">
            <w:pPr>
              <w:spacing w:before="0" w:line="240" w:lineRule="auto"/>
              <w:jc w:val="left"/>
              <w:rPr>
                <w:color w:val="000000"/>
                <w:lang w:val="en-US"/>
              </w:rPr>
            </w:pPr>
            <w:r w:rsidRPr="00B53423">
              <w:rPr>
                <w:color w:val="000000"/>
                <w:lang w:val="en-US"/>
              </w:rPr>
              <w:t>LMV-5: Private Tube Wells</w:t>
            </w:r>
          </w:p>
        </w:tc>
        <w:tc>
          <w:tcPr>
            <w:tcW w:w="2150" w:type="dxa"/>
            <w:shd w:val="clear" w:color="auto" w:fill="auto"/>
            <w:noWrap/>
            <w:vAlign w:val="center"/>
            <w:hideMark/>
          </w:tcPr>
          <w:p w:rsidR="000C05F2" w:rsidRPr="00B53423" w:rsidRDefault="000C05F2" w:rsidP="0015232B">
            <w:pPr>
              <w:spacing w:before="0" w:line="240" w:lineRule="auto"/>
              <w:ind w:right="667"/>
              <w:jc w:val="right"/>
              <w:rPr>
                <w:color w:val="000000"/>
                <w:lang w:val="en-US"/>
              </w:rPr>
            </w:pPr>
            <w:r w:rsidRPr="00B53423">
              <w:rPr>
                <w:rFonts w:cs="Calibri"/>
                <w:color w:val="000000"/>
                <w:sz w:val="20"/>
                <w:szCs w:val="20"/>
              </w:rPr>
              <w:t>0.04</w:t>
            </w:r>
          </w:p>
        </w:tc>
      </w:tr>
      <w:tr w:rsidR="000C05F2" w:rsidRPr="00B53423" w:rsidTr="005D7AFD">
        <w:trPr>
          <w:trHeight w:val="300"/>
          <w:jc w:val="center"/>
        </w:trPr>
        <w:tc>
          <w:tcPr>
            <w:tcW w:w="4340" w:type="dxa"/>
            <w:shd w:val="clear" w:color="auto" w:fill="auto"/>
            <w:noWrap/>
            <w:hideMark/>
          </w:tcPr>
          <w:p w:rsidR="000C05F2" w:rsidRPr="00B53423" w:rsidRDefault="000C05F2" w:rsidP="0015232B">
            <w:pPr>
              <w:spacing w:before="0" w:line="240" w:lineRule="auto"/>
              <w:jc w:val="left"/>
              <w:rPr>
                <w:color w:val="000000"/>
                <w:lang w:val="en-US"/>
              </w:rPr>
            </w:pPr>
            <w:r w:rsidRPr="00B53423">
              <w:rPr>
                <w:color w:val="000000"/>
                <w:lang w:val="en-US"/>
              </w:rPr>
              <w:t>LMV 6: Small and Medium Power</w:t>
            </w:r>
          </w:p>
        </w:tc>
        <w:tc>
          <w:tcPr>
            <w:tcW w:w="2150" w:type="dxa"/>
            <w:shd w:val="clear" w:color="auto" w:fill="auto"/>
            <w:noWrap/>
            <w:vAlign w:val="center"/>
            <w:hideMark/>
          </w:tcPr>
          <w:p w:rsidR="000C05F2" w:rsidRPr="00B53423" w:rsidRDefault="000C05F2" w:rsidP="0015232B">
            <w:pPr>
              <w:spacing w:before="0" w:line="240" w:lineRule="auto"/>
              <w:ind w:right="667"/>
              <w:jc w:val="right"/>
              <w:rPr>
                <w:color w:val="000000"/>
                <w:lang w:val="en-US"/>
              </w:rPr>
            </w:pPr>
            <w:r w:rsidRPr="00B53423">
              <w:rPr>
                <w:rFonts w:cs="Calibri"/>
                <w:color w:val="000000"/>
                <w:sz w:val="20"/>
                <w:szCs w:val="20"/>
              </w:rPr>
              <w:t>212.31</w:t>
            </w:r>
          </w:p>
        </w:tc>
      </w:tr>
      <w:tr w:rsidR="000C05F2" w:rsidRPr="00B53423" w:rsidTr="005D7AFD">
        <w:trPr>
          <w:trHeight w:val="300"/>
          <w:jc w:val="center"/>
        </w:trPr>
        <w:tc>
          <w:tcPr>
            <w:tcW w:w="4340" w:type="dxa"/>
            <w:shd w:val="clear" w:color="auto" w:fill="auto"/>
            <w:noWrap/>
            <w:hideMark/>
          </w:tcPr>
          <w:p w:rsidR="000C05F2" w:rsidRPr="00B53423" w:rsidRDefault="000C05F2" w:rsidP="0015232B">
            <w:pPr>
              <w:spacing w:before="0" w:line="240" w:lineRule="auto"/>
              <w:jc w:val="left"/>
              <w:rPr>
                <w:color w:val="000000"/>
                <w:lang w:val="en-US"/>
              </w:rPr>
            </w:pPr>
            <w:r w:rsidRPr="00B53423">
              <w:rPr>
                <w:color w:val="000000"/>
                <w:lang w:val="en-US"/>
              </w:rPr>
              <w:t xml:space="preserve">LMV-7: Public Water Works </w:t>
            </w:r>
          </w:p>
        </w:tc>
        <w:tc>
          <w:tcPr>
            <w:tcW w:w="2150" w:type="dxa"/>
            <w:shd w:val="clear" w:color="auto" w:fill="auto"/>
            <w:noWrap/>
            <w:vAlign w:val="center"/>
            <w:hideMark/>
          </w:tcPr>
          <w:p w:rsidR="000C05F2" w:rsidRPr="00B53423" w:rsidRDefault="000C05F2" w:rsidP="0015232B">
            <w:pPr>
              <w:spacing w:before="0" w:line="240" w:lineRule="auto"/>
              <w:ind w:right="667"/>
              <w:jc w:val="right"/>
              <w:rPr>
                <w:color w:val="000000"/>
                <w:lang w:val="en-US"/>
              </w:rPr>
            </w:pPr>
            <w:r w:rsidRPr="00B53423">
              <w:rPr>
                <w:rFonts w:cs="Calibri"/>
                <w:color w:val="000000"/>
                <w:sz w:val="20"/>
                <w:szCs w:val="20"/>
              </w:rPr>
              <w:t>35.16</w:t>
            </w:r>
          </w:p>
        </w:tc>
      </w:tr>
      <w:tr w:rsidR="000C05F2" w:rsidRPr="00B53423" w:rsidTr="005D7AFD">
        <w:trPr>
          <w:trHeight w:val="300"/>
          <w:jc w:val="center"/>
        </w:trPr>
        <w:tc>
          <w:tcPr>
            <w:tcW w:w="4340" w:type="dxa"/>
            <w:shd w:val="clear" w:color="auto" w:fill="auto"/>
            <w:noWrap/>
            <w:hideMark/>
          </w:tcPr>
          <w:p w:rsidR="000C05F2" w:rsidRPr="00B53423" w:rsidRDefault="000C05F2" w:rsidP="0015232B">
            <w:pPr>
              <w:spacing w:before="0" w:line="240" w:lineRule="auto"/>
              <w:jc w:val="left"/>
              <w:rPr>
                <w:color w:val="000000"/>
                <w:lang w:val="en-US"/>
              </w:rPr>
            </w:pPr>
            <w:r w:rsidRPr="00B53423">
              <w:rPr>
                <w:color w:val="000000"/>
                <w:lang w:val="en-US"/>
              </w:rPr>
              <w:t>LMV-8: State Tube Wells</w:t>
            </w:r>
          </w:p>
        </w:tc>
        <w:tc>
          <w:tcPr>
            <w:tcW w:w="2150" w:type="dxa"/>
            <w:shd w:val="clear" w:color="auto" w:fill="auto"/>
            <w:noWrap/>
            <w:vAlign w:val="center"/>
            <w:hideMark/>
          </w:tcPr>
          <w:p w:rsidR="000C05F2" w:rsidRPr="00B53423" w:rsidRDefault="000C05F2" w:rsidP="0015232B">
            <w:pPr>
              <w:spacing w:before="0" w:line="240" w:lineRule="auto"/>
              <w:ind w:right="667"/>
              <w:jc w:val="right"/>
              <w:rPr>
                <w:color w:val="000000"/>
                <w:lang w:val="en-US"/>
              </w:rPr>
            </w:pPr>
            <w:r w:rsidRPr="00B53423">
              <w:rPr>
                <w:rFonts w:cs="Calibri"/>
                <w:color w:val="000000"/>
                <w:sz w:val="20"/>
                <w:szCs w:val="20"/>
              </w:rPr>
              <w:t>0.00</w:t>
            </w:r>
          </w:p>
        </w:tc>
      </w:tr>
      <w:tr w:rsidR="000C05F2" w:rsidRPr="00B53423" w:rsidTr="005D7AFD">
        <w:trPr>
          <w:trHeight w:val="300"/>
          <w:jc w:val="center"/>
        </w:trPr>
        <w:tc>
          <w:tcPr>
            <w:tcW w:w="4340" w:type="dxa"/>
            <w:shd w:val="clear" w:color="auto" w:fill="auto"/>
            <w:noWrap/>
            <w:hideMark/>
          </w:tcPr>
          <w:p w:rsidR="000C05F2" w:rsidRPr="00B53423" w:rsidRDefault="000C05F2" w:rsidP="0015232B">
            <w:pPr>
              <w:spacing w:before="0" w:line="240" w:lineRule="auto"/>
              <w:jc w:val="left"/>
              <w:rPr>
                <w:color w:val="000000"/>
                <w:lang w:val="en-US"/>
              </w:rPr>
            </w:pPr>
            <w:r w:rsidRPr="00B53423">
              <w:rPr>
                <w:color w:val="000000"/>
                <w:lang w:val="en-US"/>
              </w:rPr>
              <w:t xml:space="preserve">LMV-9: Temporary Supply </w:t>
            </w:r>
          </w:p>
        </w:tc>
        <w:tc>
          <w:tcPr>
            <w:tcW w:w="2150" w:type="dxa"/>
            <w:shd w:val="clear" w:color="auto" w:fill="auto"/>
            <w:noWrap/>
            <w:vAlign w:val="center"/>
            <w:hideMark/>
          </w:tcPr>
          <w:p w:rsidR="000C05F2" w:rsidRPr="00B53423" w:rsidRDefault="000C05F2" w:rsidP="0015232B">
            <w:pPr>
              <w:spacing w:before="0" w:line="240" w:lineRule="auto"/>
              <w:ind w:right="667"/>
              <w:jc w:val="right"/>
              <w:rPr>
                <w:color w:val="000000"/>
                <w:lang w:val="en-US"/>
              </w:rPr>
            </w:pPr>
            <w:r w:rsidRPr="00B53423">
              <w:rPr>
                <w:rFonts w:cs="Calibri"/>
                <w:color w:val="000000"/>
                <w:sz w:val="20"/>
                <w:szCs w:val="20"/>
              </w:rPr>
              <w:t>0.69</w:t>
            </w:r>
          </w:p>
        </w:tc>
      </w:tr>
      <w:tr w:rsidR="000C05F2" w:rsidRPr="00B53423" w:rsidTr="005D7AFD">
        <w:trPr>
          <w:trHeight w:val="300"/>
          <w:jc w:val="center"/>
        </w:trPr>
        <w:tc>
          <w:tcPr>
            <w:tcW w:w="4340" w:type="dxa"/>
            <w:shd w:val="clear" w:color="auto" w:fill="auto"/>
            <w:noWrap/>
            <w:hideMark/>
          </w:tcPr>
          <w:p w:rsidR="000C05F2" w:rsidRPr="00B53423" w:rsidRDefault="000C05F2" w:rsidP="0015232B">
            <w:pPr>
              <w:spacing w:before="0" w:line="240" w:lineRule="auto"/>
              <w:jc w:val="left"/>
              <w:rPr>
                <w:color w:val="000000"/>
                <w:lang w:val="en-US"/>
              </w:rPr>
            </w:pPr>
            <w:r w:rsidRPr="00B53423">
              <w:rPr>
                <w:color w:val="000000"/>
                <w:lang w:val="en-US"/>
              </w:rPr>
              <w:t>LMV-10: Departmental Employees</w:t>
            </w:r>
          </w:p>
        </w:tc>
        <w:tc>
          <w:tcPr>
            <w:tcW w:w="2150" w:type="dxa"/>
            <w:shd w:val="clear" w:color="auto" w:fill="auto"/>
            <w:noWrap/>
            <w:vAlign w:val="center"/>
            <w:hideMark/>
          </w:tcPr>
          <w:p w:rsidR="000C05F2" w:rsidRPr="00B53423" w:rsidRDefault="000C05F2" w:rsidP="0015232B">
            <w:pPr>
              <w:spacing w:before="0" w:line="240" w:lineRule="auto"/>
              <w:ind w:right="667"/>
              <w:jc w:val="right"/>
              <w:rPr>
                <w:color w:val="000000"/>
                <w:lang w:val="en-US"/>
              </w:rPr>
            </w:pPr>
            <w:r w:rsidRPr="00B53423">
              <w:rPr>
                <w:rFonts w:cs="Calibri"/>
                <w:color w:val="000000"/>
                <w:sz w:val="20"/>
                <w:szCs w:val="20"/>
              </w:rPr>
              <w:t>9.89</w:t>
            </w:r>
          </w:p>
        </w:tc>
      </w:tr>
      <w:tr w:rsidR="000C05F2" w:rsidRPr="00B53423" w:rsidTr="005D7AFD">
        <w:trPr>
          <w:trHeight w:val="300"/>
          <w:jc w:val="center"/>
        </w:trPr>
        <w:tc>
          <w:tcPr>
            <w:tcW w:w="4340" w:type="dxa"/>
            <w:shd w:val="clear" w:color="auto" w:fill="auto"/>
            <w:noWrap/>
            <w:hideMark/>
          </w:tcPr>
          <w:p w:rsidR="000C05F2" w:rsidRPr="00B53423" w:rsidRDefault="000C05F2" w:rsidP="0015232B">
            <w:pPr>
              <w:spacing w:before="0" w:line="240" w:lineRule="auto"/>
              <w:jc w:val="left"/>
              <w:rPr>
                <w:color w:val="000000"/>
                <w:lang w:val="en-US"/>
              </w:rPr>
            </w:pPr>
            <w:r w:rsidRPr="00B53423">
              <w:rPr>
                <w:color w:val="000000"/>
                <w:lang w:val="en-US"/>
              </w:rPr>
              <w:t>HV-1: Non-Industrial Bulk Loads</w:t>
            </w:r>
          </w:p>
        </w:tc>
        <w:tc>
          <w:tcPr>
            <w:tcW w:w="2150" w:type="dxa"/>
            <w:shd w:val="clear" w:color="auto" w:fill="auto"/>
            <w:noWrap/>
            <w:vAlign w:val="center"/>
            <w:hideMark/>
          </w:tcPr>
          <w:p w:rsidR="000C05F2" w:rsidRPr="00B53423" w:rsidRDefault="000C05F2" w:rsidP="0015232B">
            <w:pPr>
              <w:spacing w:before="0" w:line="240" w:lineRule="auto"/>
              <w:ind w:right="667"/>
              <w:jc w:val="right"/>
              <w:rPr>
                <w:color w:val="000000"/>
                <w:lang w:val="en-US"/>
              </w:rPr>
            </w:pPr>
            <w:r w:rsidRPr="00B53423">
              <w:rPr>
                <w:rFonts w:cs="Calibri"/>
                <w:color w:val="000000"/>
                <w:sz w:val="20"/>
                <w:szCs w:val="20"/>
              </w:rPr>
              <w:t>88.93</w:t>
            </w:r>
          </w:p>
        </w:tc>
      </w:tr>
      <w:tr w:rsidR="00DE37E0" w:rsidRPr="00B53423" w:rsidTr="005D7AFD">
        <w:trPr>
          <w:trHeight w:val="300"/>
          <w:jc w:val="center"/>
        </w:trPr>
        <w:tc>
          <w:tcPr>
            <w:tcW w:w="4340" w:type="dxa"/>
            <w:shd w:val="clear" w:color="auto" w:fill="auto"/>
            <w:noWrap/>
            <w:hideMark/>
          </w:tcPr>
          <w:p w:rsidR="008E5045" w:rsidRPr="00B53423" w:rsidRDefault="00DE37E0" w:rsidP="0015232B">
            <w:pPr>
              <w:spacing w:before="0" w:line="240" w:lineRule="auto"/>
              <w:jc w:val="left"/>
              <w:rPr>
                <w:color w:val="000000"/>
                <w:lang w:val="en-US"/>
              </w:rPr>
            </w:pPr>
            <w:r w:rsidRPr="00B53423">
              <w:rPr>
                <w:color w:val="000000"/>
                <w:lang w:val="en-US"/>
              </w:rPr>
              <w:t>HV-2: Large and Heavy Power</w:t>
            </w:r>
          </w:p>
        </w:tc>
        <w:tc>
          <w:tcPr>
            <w:tcW w:w="2150" w:type="dxa"/>
            <w:shd w:val="clear" w:color="auto" w:fill="auto"/>
            <w:noWrap/>
            <w:vAlign w:val="center"/>
            <w:hideMark/>
          </w:tcPr>
          <w:p w:rsidR="008E5045" w:rsidRPr="00B53423" w:rsidRDefault="005729FE" w:rsidP="0015232B">
            <w:pPr>
              <w:spacing w:before="0" w:line="240" w:lineRule="auto"/>
              <w:ind w:right="667"/>
              <w:jc w:val="right"/>
              <w:rPr>
                <w:color w:val="000000"/>
                <w:lang w:val="en-US"/>
              </w:rPr>
            </w:pPr>
            <w:r w:rsidRPr="00B53423">
              <w:rPr>
                <w:rFonts w:cs="Calibri"/>
                <w:color w:val="000000"/>
                <w:sz w:val="20"/>
                <w:szCs w:val="20"/>
              </w:rPr>
              <w:t>30</w:t>
            </w:r>
            <w:r w:rsidR="000C05F2" w:rsidRPr="00B53423">
              <w:rPr>
                <w:rFonts w:cs="Calibri"/>
                <w:color w:val="000000"/>
                <w:sz w:val="20"/>
                <w:szCs w:val="20"/>
              </w:rPr>
              <w:t>5.47</w:t>
            </w:r>
          </w:p>
        </w:tc>
      </w:tr>
      <w:tr w:rsidR="00DE37E0" w:rsidRPr="00B53423" w:rsidTr="005D7AFD">
        <w:trPr>
          <w:trHeight w:val="300"/>
          <w:jc w:val="center"/>
        </w:trPr>
        <w:tc>
          <w:tcPr>
            <w:tcW w:w="4340" w:type="dxa"/>
            <w:shd w:val="clear" w:color="auto" w:fill="auto"/>
            <w:noWrap/>
            <w:hideMark/>
          </w:tcPr>
          <w:p w:rsidR="008E5045" w:rsidRPr="00B53423" w:rsidRDefault="00DE37E0" w:rsidP="0015232B">
            <w:pPr>
              <w:spacing w:before="0" w:line="240" w:lineRule="auto"/>
              <w:jc w:val="left"/>
              <w:rPr>
                <w:color w:val="000000"/>
                <w:lang w:val="en-US"/>
              </w:rPr>
            </w:pPr>
            <w:r w:rsidRPr="00B53423">
              <w:rPr>
                <w:color w:val="000000"/>
                <w:lang w:val="en-US"/>
              </w:rPr>
              <w:t>HV-3: Railway Traction</w:t>
            </w:r>
          </w:p>
        </w:tc>
        <w:tc>
          <w:tcPr>
            <w:tcW w:w="2150" w:type="dxa"/>
            <w:shd w:val="clear" w:color="auto" w:fill="auto"/>
            <w:noWrap/>
            <w:vAlign w:val="center"/>
            <w:hideMark/>
          </w:tcPr>
          <w:p w:rsidR="008E5045" w:rsidRPr="00B53423" w:rsidRDefault="005729FE" w:rsidP="0015232B">
            <w:pPr>
              <w:spacing w:before="0" w:line="240" w:lineRule="auto"/>
              <w:ind w:right="667"/>
              <w:jc w:val="right"/>
              <w:rPr>
                <w:color w:val="000000"/>
                <w:lang w:val="en-US"/>
              </w:rPr>
            </w:pPr>
            <w:r w:rsidRPr="00B53423">
              <w:rPr>
                <w:rFonts w:cs="Calibri"/>
                <w:color w:val="000000"/>
                <w:sz w:val="20"/>
                <w:szCs w:val="20"/>
              </w:rPr>
              <w:t>0.00</w:t>
            </w:r>
          </w:p>
        </w:tc>
      </w:tr>
      <w:tr w:rsidR="00DE37E0" w:rsidRPr="00B53423" w:rsidTr="005D7AFD">
        <w:trPr>
          <w:trHeight w:val="300"/>
          <w:jc w:val="center"/>
        </w:trPr>
        <w:tc>
          <w:tcPr>
            <w:tcW w:w="4340" w:type="dxa"/>
            <w:shd w:val="clear" w:color="auto" w:fill="auto"/>
            <w:noWrap/>
            <w:hideMark/>
          </w:tcPr>
          <w:p w:rsidR="008E5045" w:rsidRPr="00B53423" w:rsidRDefault="00DE37E0" w:rsidP="0015232B">
            <w:pPr>
              <w:spacing w:before="0" w:line="240" w:lineRule="auto"/>
              <w:jc w:val="left"/>
              <w:rPr>
                <w:color w:val="000000"/>
                <w:lang w:val="en-US"/>
              </w:rPr>
            </w:pPr>
            <w:r w:rsidRPr="00B53423">
              <w:rPr>
                <w:color w:val="000000"/>
                <w:lang w:val="en-US"/>
              </w:rPr>
              <w:t>HV-4: Lift Irrigation</w:t>
            </w:r>
          </w:p>
        </w:tc>
        <w:tc>
          <w:tcPr>
            <w:tcW w:w="2150" w:type="dxa"/>
            <w:shd w:val="clear" w:color="auto" w:fill="auto"/>
            <w:noWrap/>
            <w:vAlign w:val="center"/>
            <w:hideMark/>
          </w:tcPr>
          <w:p w:rsidR="008E5045" w:rsidRPr="00B53423" w:rsidRDefault="005729FE" w:rsidP="0015232B">
            <w:pPr>
              <w:spacing w:before="0" w:line="240" w:lineRule="auto"/>
              <w:ind w:right="667"/>
              <w:jc w:val="right"/>
              <w:rPr>
                <w:color w:val="000000"/>
                <w:lang w:val="en-US"/>
              </w:rPr>
            </w:pPr>
            <w:r w:rsidRPr="00B53423">
              <w:rPr>
                <w:rFonts w:cs="Calibri"/>
                <w:color w:val="000000"/>
                <w:sz w:val="20"/>
                <w:szCs w:val="20"/>
              </w:rPr>
              <w:t>0.00</w:t>
            </w:r>
          </w:p>
        </w:tc>
      </w:tr>
      <w:tr w:rsidR="00DE37E0" w:rsidRPr="00B53423" w:rsidTr="005D7AFD">
        <w:trPr>
          <w:trHeight w:val="300"/>
          <w:jc w:val="center"/>
        </w:trPr>
        <w:tc>
          <w:tcPr>
            <w:tcW w:w="4340" w:type="dxa"/>
            <w:shd w:val="clear" w:color="auto" w:fill="auto"/>
            <w:noWrap/>
            <w:hideMark/>
          </w:tcPr>
          <w:p w:rsidR="008E5045" w:rsidRPr="00B53423" w:rsidRDefault="00DE37E0" w:rsidP="0015232B">
            <w:pPr>
              <w:spacing w:before="0" w:line="240" w:lineRule="auto"/>
              <w:jc w:val="left"/>
              <w:rPr>
                <w:b/>
                <w:bCs/>
                <w:color w:val="000000"/>
                <w:lang w:val="en-US"/>
              </w:rPr>
            </w:pPr>
            <w:r w:rsidRPr="00B53423">
              <w:rPr>
                <w:b/>
                <w:bCs/>
                <w:color w:val="000000"/>
                <w:lang w:val="en-US"/>
              </w:rPr>
              <w:t>Sub-total</w:t>
            </w:r>
          </w:p>
        </w:tc>
        <w:tc>
          <w:tcPr>
            <w:tcW w:w="2150" w:type="dxa"/>
            <w:shd w:val="clear" w:color="auto" w:fill="auto"/>
            <w:noWrap/>
            <w:vAlign w:val="center"/>
            <w:hideMark/>
          </w:tcPr>
          <w:p w:rsidR="008E5045" w:rsidRPr="00B53423" w:rsidRDefault="008E5045" w:rsidP="0015232B">
            <w:pPr>
              <w:spacing w:before="0" w:line="240" w:lineRule="auto"/>
              <w:ind w:right="667"/>
              <w:jc w:val="right"/>
              <w:rPr>
                <w:b/>
                <w:bCs/>
                <w:color w:val="000000"/>
                <w:lang w:val="en-US"/>
              </w:rPr>
            </w:pPr>
            <w:r w:rsidRPr="00B53423">
              <w:rPr>
                <w:rFonts w:cs="Calibri"/>
                <w:b/>
                <w:color w:val="000000"/>
                <w:sz w:val="20"/>
                <w:szCs w:val="20"/>
              </w:rPr>
              <w:t>15</w:t>
            </w:r>
            <w:r w:rsidR="009D7F2B" w:rsidRPr="00B53423">
              <w:rPr>
                <w:rFonts w:cs="Calibri"/>
                <w:b/>
                <w:color w:val="000000"/>
                <w:sz w:val="20"/>
                <w:szCs w:val="20"/>
              </w:rPr>
              <w:t>70.54</w:t>
            </w:r>
          </w:p>
        </w:tc>
      </w:tr>
      <w:tr w:rsidR="00DE37E0" w:rsidRPr="00B53423" w:rsidTr="005D7AFD">
        <w:trPr>
          <w:trHeight w:val="300"/>
          <w:jc w:val="center"/>
        </w:trPr>
        <w:tc>
          <w:tcPr>
            <w:tcW w:w="4340" w:type="dxa"/>
            <w:shd w:val="clear" w:color="auto" w:fill="auto"/>
            <w:noWrap/>
            <w:hideMark/>
          </w:tcPr>
          <w:p w:rsidR="008E5045" w:rsidRPr="00B53423" w:rsidRDefault="00DE37E0" w:rsidP="0015232B">
            <w:pPr>
              <w:spacing w:before="0" w:line="240" w:lineRule="auto"/>
              <w:jc w:val="left"/>
              <w:rPr>
                <w:color w:val="000000"/>
                <w:lang w:val="en-US"/>
              </w:rPr>
            </w:pPr>
            <w:r w:rsidRPr="00B53423">
              <w:rPr>
                <w:color w:val="000000"/>
                <w:lang w:val="en-US"/>
              </w:rPr>
              <w:t>Extra state &amp; Bulk</w:t>
            </w:r>
          </w:p>
        </w:tc>
        <w:tc>
          <w:tcPr>
            <w:tcW w:w="2150" w:type="dxa"/>
            <w:shd w:val="clear" w:color="auto" w:fill="auto"/>
            <w:noWrap/>
            <w:vAlign w:val="center"/>
            <w:hideMark/>
          </w:tcPr>
          <w:p w:rsidR="008E5045" w:rsidRPr="00B53423" w:rsidRDefault="005729FE" w:rsidP="0015232B">
            <w:pPr>
              <w:spacing w:before="0" w:line="240" w:lineRule="auto"/>
              <w:ind w:right="667"/>
              <w:jc w:val="right"/>
              <w:rPr>
                <w:color w:val="000000"/>
                <w:lang w:val="en-US"/>
              </w:rPr>
            </w:pPr>
            <w:r w:rsidRPr="00B53423">
              <w:rPr>
                <w:rFonts w:cs="Calibri"/>
                <w:color w:val="000000"/>
                <w:sz w:val="20"/>
                <w:szCs w:val="20"/>
              </w:rPr>
              <w:t>0.00</w:t>
            </w:r>
          </w:p>
        </w:tc>
      </w:tr>
      <w:tr w:rsidR="00DE37E0" w:rsidRPr="00B53423" w:rsidTr="005D7AFD">
        <w:trPr>
          <w:trHeight w:val="300"/>
          <w:jc w:val="center"/>
        </w:trPr>
        <w:tc>
          <w:tcPr>
            <w:tcW w:w="4340" w:type="dxa"/>
            <w:shd w:val="clear" w:color="auto" w:fill="auto"/>
            <w:noWrap/>
            <w:hideMark/>
          </w:tcPr>
          <w:p w:rsidR="008E5045" w:rsidRPr="00B53423" w:rsidRDefault="00DE37E0" w:rsidP="0015232B">
            <w:pPr>
              <w:spacing w:before="0" w:line="240" w:lineRule="auto"/>
              <w:jc w:val="left"/>
              <w:rPr>
                <w:b/>
                <w:bCs/>
                <w:color w:val="000000"/>
                <w:lang w:val="en-US"/>
              </w:rPr>
            </w:pPr>
            <w:r w:rsidRPr="00B53423">
              <w:rPr>
                <w:b/>
                <w:bCs/>
                <w:color w:val="000000"/>
                <w:lang w:val="en-US"/>
              </w:rPr>
              <w:t>Total</w:t>
            </w:r>
          </w:p>
        </w:tc>
        <w:tc>
          <w:tcPr>
            <w:tcW w:w="2150" w:type="dxa"/>
            <w:shd w:val="clear" w:color="auto" w:fill="auto"/>
            <w:noWrap/>
            <w:vAlign w:val="center"/>
            <w:hideMark/>
          </w:tcPr>
          <w:p w:rsidR="008E5045" w:rsidRPr="00B53423" w:rsidRDefault="008E5045" w:rsidP="0015232B">
            <w:pPr>
              <w:spacing w:before="0" w:line="240" w:lineRule="auto"/>
              <w:ind w:right="667"/>
              <w:jc w:val="right"/>
              <w:rPr>
                <w:rFonts w:cs="Calibri"/>
                <w:b/>
                <w:color w:val="000000"/>
                <w:sz w:val="20"/>
                <w:szCs w:val="20"/>
              </w:rPr>
            </w:pPr>
            <w:r w:rsidRPr="00B53423">
              <w:rPr>
                <w:rFonts w:cs="Calibri"/>
                <w:b/>
                <w:color w:val="000000"/>
                <w:sz w:val="20"/>
                <w:szCs w:val="20"/>
              </w:rPr>
              <w:t>157</w:t>
            </w:r>
            <w:r w:rsidR="009D7F2B" w:rsidRPr="00B53423">
              <w:rPr>
                <w:rFonts w:cs="Calibri"/>
                <w:b/>
                <w:color w:val="000000"/>
                <w:sz w:val="20"/>
                <w:szCs w:val="20"/>
              </w:rPr>
              <w:t>0.54</w:t>
            </w:r>
          </w:p>
        </w:tc>
      </w:tr>
    </w:tbl>
    <w:p w:rsidR="008E5045" w:rsidRPr="00B53423" w:rsidRDefault="008E5045" w:rsidP="0015232B">
      <w:pPr>
        <w:spacing w:before="0"/>
        <w:ind w:left="270"/>
        <w:jc w:val="center"/>
        <w:rPr>
          <w:rFonts w:asciiTheme="minorHAnsi" w:hAnsiTheme="minorHAnsi" w:cstheme="minorHAnsi"/>
          <w:b/>
          <w:bCs/>
        </w:rPr>
      </w:pPr>
    </w:p>
    <w:p w:rsidR="00AE35CF" w:rsidRPr="00B53423" w:rsidDel="00AE35CF" w:rsidRDefault="00DE37E0" w:rsidP="0015232B">
      <w:pPr>
        <w:pStyle w:val="Heading3"/>
        <w:keepNext w:val="0"/>
        <w:tabs>
          <w:tab w:val="left" w:pos="720"/>
        </w:tabs>
        <w:ind w:hanging="1080"/>
      </w:pPr>
      <w:bookmarkStart w:id="958" w:name="_Toc336615950"/>
      <w:bookmarkStart w:id="959" w:name="_Toc336608364"/>
      <w:bookmarkStart w:id="960" w:name="_Toc336574923"/>
      <w:r w:rsidRPr="00B53423">
        <w:t>The revenue</w:t>
      </w:r>
      <w:r w:rsidR="00687CFA" w:rsidRPr="00B53423">
        <w:t xml:space="preserve"> increase due to approved T</w:t>
      </w:r>
      <w:r w:rsidRPr="00B53423">
        <w:t xml:space="preserve">ariff would be Rs. </w:t>
      </w:r>
      <w:r w:rsidR="009D7F2B" w:rsidRPr="00B53423">
        <w:t>43.98</w:t>
      </w:r>
      <w:r w:rsidRPr="00B53423">
        <w:t xml:space="preserve"> </w:t>
      </w:r>
      <w:r w:rsidR="00687CFA" w:rsidRPr="00B53423">
        <w:t>C</w:t>
      </w:r>
      <w:r w:rsidRPr="00B53423">
        <w:t xml:space="preserve">rore (Rs. </w:t>
      </w:r>
      <w:r w:rsidR="009E33BA" w:rsidRPr="00B53423">
        <w:t>157</w:t>
      </w:r>
      <w:r w:rsidR="009D7F2B" w:rsidRPr="00B53423">
        <w:t>0.54</w:t>
      </w:r>
      <w:r w:rsidR="00687CFA" w:rsidRPr="00B53423">
        <w:t xml:space="preserve"> C</w:t>
      </w:r>
      <w:r w:rsidRPr="00B53423">
        <w:t xml:space="preserve">rore – Rs. </w:t>
      </w:r>
      <w:r w:rsidR="009E33BA" w:rsidRPr="00B53423">
        <w:t>1526.55</w:t>
      </w:r>
      <w:r w:rsidRPr="00B53423">
        <w:t xml:space="preserve"> </w:t>
      </w:r>
      <w:r w:rsidR="00687CFA" w:rsidRPr="00B53423">
        <w:t>Crore</w:t>
      </w:r>
      <w:r w:rsidRPr="00B53423">
        <w:t>)</w:t>
      </w:r>
      <w:r w:rsidR="00AE35CF" w:rsidRPr="00B53423">
        <w:t>.</w:t>
      </w:r>
      <w:r w:rsidRPr="00B53423">
        <w:t xml:space="preserve"> </w:t>
      </w:r>
    </w:p>
    <w:p w:rsidR="00564993" w:rsidRPr="00B53423" w:rsidRDefault="00564993" w:rsidP="0015232B">
      <w:pPr>
        <w:pStyle w:val="Heading3"/>
        <w:keepNext w:val="0"/>
        <w:numPr>
          <w:ilvl w:val="0"/>
          <w:numId w:val="0"/>
        </w:numPr>
        <w:tabs>
          <w:tab w:val="left" w:pos="720"/>
        </w:tabs>
        <w:ind w:left="720"/>
        <w:rPr>
          <w:bCs w:val="0"/>
        </w:rPr>
      </w:pPr>
    </w:p>
    <w:p w:rsidR="00DE37E0" w:rsidRPr="00B53423" w:rsidRDefault="00533B3D" w:rsidP="0015232B">
      <w:pPr>
        <w:pStyle w:val="Heading3"/>
        <w:keepNext w:val="0"/>
        <w:tabs>
          <w:tab w:val="left" w:pos="720"/>
        </w:tabs>
        <w:ind w:hanging="1080"/>
        <w:rPr>
          <w:bCs w:val="0"/>
        </w:rPr>
      </w:pPr>
      <w:r w:rsidRPr="00B53423">
        <w:t xml:space="preserve">The estimated gap / surplus after incorporating impact of revised Tariff for FY 2014-15 for the </w:t>
      </w:r>
      <w:r w:rsidR="008E5045" w:rsidRPr="00B53423">
        <w:t xml:space="preserve">period of </w:t>
      </w:r>
      <w:r w:rsidR="007F7B53" w:rsidRPr="00B53423">
        <w:t>6</w:t>
      </w:r>
      <w:r w:rsidR="008E5045" w:rsidRPr="00B53423">
        <w:t xml:space="preserve"> months</w:t>
      </w:r>
      <w:r w:rsidRPr="00B53423">
        <w:t xml:space="preserve"> is given in the Table below</w:t>
      </w:r>
      <w:r w:rsidR="00DE37E0" w:rsidRPr="00B53423">
        <w:t>:</w:t>
      </w:r>
      <w:bookmarkEnd w:id="958"/>
      <w:bookmarkEnd w:id="959"/>
      <w:bookmarkEnd w:id="960"/>
    </w:p>
    <w:p w:rsidR="00B3783E" w:rsidRPr="00B53423" w:rsidRDefault="00B3783E" w:rsidP="0015232B">
      <w:pPr>
        <w:pStyle w:val="Caption"/>
        <w:tabs>
          <w:tab w:val="left" w:pos="7797"/>
        </w:tabs>
        <w:spacing w:line="276" w:lineRule="auto"/>
        <w:ind w:right="944" w:firstLine="851"/>
        <w:jc w:val="center"/>
        <w:rPr>
          <w:rFonts w:asciiTheme="minorHAnsi" w:hAnsiTheme="minorHAnsi" w:cstheme="minorHAnsi"/>
          <w:szCs w:val="24"/>
        </w:rPr>
      </w:pPr>
      <w:bookmarkStart w:id="961" w:name="_Toc336616148"/>
      <w:bookmarkStart w:id="962" w:name="_Toc336608564"/>
      <w:bookmarkStart w:id="963" w:name="_Toc336572529"/>
      <w:bookmarkStart w:id="964" w:name="_Toc338310728"/>
      <w:bookmarkStart w:id="965" w:name="_Toc338419557"/>
      <w:bookmarkStart w:id="966" w:name="_Toc357738754"/>
    </w:p>
    <w:p w:rsidR="00DE37E0" w:rsidRPr="00B53423" w:rsidRDefault="00DE37E0" w:rsidP="0015232B">
      <w:pPr>
        <w:pStyle w:val="Caption"/>
        <w:tabs>
          <w:tab w:val="left" w:pos="7797"/>
        </w:tabs>
        <w:spacing w:line="276" w:lineRule="auto"/>
        <w:ind w:right="944" w:firstLine="851"/>
        <w:jc w:val="center"/>
        <w:rPr>
          <w:rFonts w:asciiTheme="minorHAnsi" w:hAnsiTheme="minorHAnsi" w:cstheme="minorHAnsi"/>
          <w:szCs w:val="24"/>
        </w:rPr>
      </w:pPr>
      <w:bookmarkStart w:id="967" w:name="_Toc399626442"/>
      <w:r w:rsidRPr="00B53423">
        <w:rPr>
          <w:rFonts w:asciiTheme="minorHAnsi" w:hAnsiTheme="minorHAnsi" w:cstheme="minorHAnsi"/>
          <w:szCs w:val="24"/>
        </w:rPr>
        <w:t xml:space="preserve">Table </w:t>
      </w:r>
      <w:r w:rsidR="005D68E7" w:rsidRPr="00B53423">
        <w:rPr>
          <w:rFonts w:asciiTheme="minorHAnsi" w:hAnsiTheme="minorHAnsi" w:cstheme="minorHAnsi"/>
          <w:szCs w:val="24"/>
        </w:rPr>
        <w:fldChar w:fldCharType="begin"/>
      </w:r>
      <w:r w:rsidRPr="00B53423">
        <w:rPr>
          <w:rFonts w:asciiTheme="minorHAnsi" w:hAnsiTheme="minorHAnsi" w:cstheme="minorHAnsi"/>
          <w:szCs w:val="24"/>
        </w:rPr>
        <w:instrText xml:space="preserve"> STYLEREF 1 \s </w:instrText>
      </w:r>
      <w:r w:rsidR="005D68E7" w:rsidRPr="00B53423">
        <w:rPr>
          <w:rFonts w:asciiTheme="minorHAnsi" w:hAnsiTheme="minorHAnsi" w:cstheme="minorHAnsi"/>
          <w:szCs w:val="24"/>
        </w:rPr>
        <w:fldChar w:fldCharType="separate"/>
      </w:r>
      <w:r w:rsidR="00847C1B">
        <w:rPr>
          <w:rFonts w:asciiTheme="minorHAnsi" w:hAnsiTheme="minorHAnsi" w:cstheme="minorHAnsi"/>
          <w:noProof/>
          <w:szCs w:val="24"/>
        </w:rPr>
        <w:t>12</w:t>
      </w:r>
      <w:r w:rsidR="005D68E7" w:rsidRPr="00B53423">
        <w:rPr>
          <w:rFonts w:asciiTheme="minorHAnsi" w:hAnsiTheme="minorHAnsi" w:cstheme="minorHAnsi"/>
          <w:szCs w:val="24"/>
        </w:rPr>
        <w:fldChar w:fldCharType="end"/>
      </w:r>
      <w:r w:rsidRPr="00B53423">
        <w:rPr>
          <w:rFonts w:asciiTheme="minorHAnsi" w:hAnsiTheme="minorHAnsi" w:cstheme="minorHAnsi"/>
          <w:szCs w:val="24"/>
        </w:rPr>
        <w:noBreakHyphen/>
      </w:r>
      <w:r w:rsidR="005D68E7" w:rsidRPr="00B53423">
        <w:rPr>
          <w:rFonts w:asciiTheme="minorHAnsi" w:hAnsiTheme="minorHAnsi" w:cstheme="minorHAnsi"/>
          <w:szCs w:val="24"/>
        </w:rPr>
        <w:fldChar w:fldCharType="begin"/>
      </w:r>
      <w:r w:rsidRPr="00B53423">
        <w:rPr>
          <w:rFonts w:asciiTheme="minorHAnsi" w:hAnsiTheme="minorHAnsi" w:cstheme="minorHAnsi"/>
          <w:szCs w:val="24"/>
        </w:rPr>
        <w:instrText xml:space="preserve"> SEQ Table \* ARABIC \s 1 </w:instrText>
      </w:r>
      <w:r w:rsidR="005D68E7" w:rsidRPr="00B53423">
        <w:rPr>
          <w:rFonts w:asciiTheme="minorHAnsi" w:hAnsiTheme="minorHAnsi" w:cstheme="minorHAnsi"/>
          <w:szCs w:val="24"/>
        </w:rPr>
        <w:fldChar w:fldCharType="separate"/>
      </w:r>
      <w:r w:rsidR="00847C1B">
        <w:rPr>
          <w:rFonts w:asciiTheme="minorHAnsi" w:hAnsiTheme="minorHAnsi" w:cstheme="minorHAnsi"/>
          <w:noProof/>
          <w:szCs w:val="24"/>
        </w:rPr>
        <w:t>2</w:t>
      </w:r>
      <w:r w:rsidR="005D68E7" w:rsidRPr="00B53423">
        <w:rPr>
          <w:rFonts w:asciiTheme="minorHAnsi" w:hAnsiTheme="minorHAnsi" w:cstheme="minorHAnsi"/>
          <w:szCs w:val="24"/>
        </w:rPr>
        <w:fldChar w:fldCharType="end"/>
      </w:r>
      <w:r w:rsidRPr="00B53423">
        <w:rPr>
          <w:rFonts w:asciiTheme="minorHAnsi" w:hAnsiTheme="minorHAnsi" w:cstheme="minorHAnsi"/>
          <w:szCs w:val="24"/>
        </w:rPr>
        <w:t xml:space="preserve">: ESTIMATION OF ARR GAP/SURPLUS AT REVISED TARIFF FOR FY </w:t>
      </w:r>
      <w:r w:rsidR="00687CFA" w:rsidRPr="00B53423">
        <w:rPr>
          <w:rFonts w:asciiTheme="minorHAnsi" w:hAnsiTheme="minorHAnsi" w:cstheme="minorHAnsi"/>
          <w:szCs w:val="24"/>
        </w:rPr>
        <w:t>2014-15</w:t>
      </w:r>
      <w:r w:rsidRPr="00B53423">
        <w:rPr>
          <w:rFonts w:asciiTheme="minorHAnsi" w:hAnsiTheme="minorHAnsi" w:cstheme="minorHAnsi"/>
          <w:szCs w:val="24"/>
        </w:rPr>
        <w:t xml:space="preserve"> (Rs. Crore)</w:t>
      </w:r>
      <w:bookmarkEnd w:id="961"/>
      <w:bookmarkEnd w:id="962"/>
      <w:bookmarkEnd w:id="963"/>
      <w:bookmarkEnd w:id="964"/>
      <w:bookmarkEnd w:id="965"/>
      <w:bookmarkEnd w:id="966"/>
      <w:bookmarkEnd w:id="967"/>
    </w:p>
    <w:tbl>
      <w:tblPr>
        <w:tblW w:w="947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6486"/>
        <w:gridCol w:w="1530"/>
        <w:gridCol w:w="1457"/>
      </w:tblGrid>
      <w:tr w:rsidR="006877BD" w:rsidRPr="00B53423" w:rsidTr="006877BD">
        <w:trPr>
          <w:trHeight w:val="600"/>
          <w:jc w:val="center"/>
        </w:trPr>
        <w:tc>
          <w:tcPr>
            <w:tcW w:w="6486" w:type="dxa"/>
            <w:shd w:val="clear" w:color="000000" w:fill="DBE5F1"/>
            <w:vAlign w:val="center"/>
            <w:hideMark/>
          </w:tcPr>
          <w:p w:rsidR="006877BD" w:rsidRPr="00B53423" w:rsidRDefault="006877BD" w:rsidP="0015232B">
            <w:pPr>
              <w:spacing w:before="0" w:line="240" w:lineRule="auto"/>
              <w:jc w:val="center"/>
              <w:rPr>
                <w:b/>
                <w:bCs/>
                <w:caps/>
                <w:kern w:val="32"/>
              </w:rPr>
            </w:pPr>
            <w:r w:rsidRPr="00B53423">
              <w:rPr>
                <w:rFonts w:cs="Calibri"/>
                <w:b/>
                <w:bCs/>
                <w:color w:val="000000"/>
              </w:rPr>
              <w:t>Particulars</w:t>
            </w:r>
          </w:p>
        </w:tc>
        <w:tc>
          <w:tcPr>
            <w:tcW w:w="1530" w:type="dxa"/>
            <w:shd w:val="clear" w:color="000000" w:fill="DBE5F1"/>
            <w:vAlign w:val="center"/>
          </w:tcPr>
          <w:p w:rsidR="006877BD" w:rsidRPr="00B53423" w:rsidRDefault="006877BD" w:rsidP="0015232B">
            <w:pPr>
              <w:spacing w:before="0" w:line="240" w:lineRule="auto"/>
              <w:jc w:val="center"/>
              <w:rPr>
                <w:b/>
              </w:rPr>
            </w:pPr>
            <w:r w:rsidRPr="00B53423">
              <w:rPr>
                <w:rFonts w:cs="Calibri"/>
                <w:b/>
                <w:bCs/>
                <w:color w:val="000000"/>
              </w:rPr>
              <w:t>Petitioner</w:t>
            </w:r>
          </w:p>
        </w:tc>
        <w:tc>
          <w:tcPr>
            <w:tcW w:w="1457" w:type="dxa"/>
            <w:shd w:val="clear" w:color="000000" w:fill="DBE5F1"/>
            <w:vAlign w:val="center"/>
            <w:hideMark/>
          </w:tcPr>
          <w:p w:rsidR="006877BD" w:rsidRPr="00B53423" w:rsidRDefault="006877BD" w:rsidP="0015232B">
            <w:pPr>
              <w:spacing w:before="0" w:line="240" w:lineRule="auto"/>
              <w:jc w:val="center"/>
              <w:rPr>
                <w:b/>
              </w:rPr>
            </w:pPr>
            <w:r w:rsidRPr="00B53423">
              <w:rPr>
                <w:rFonts w:cs="Calibri"/>
                <w:b/>
                <w:bCs/>
                <w:color w:val="000000"/>
              </w:rPr>
              <w:t>Approved</w:t>
            </w:r>
          </w:p>
        </w:tc>
      </w:tr>
      <w:tr w:rsidR="00AE35CF" w:rsidRPr="00B53423" w:rsidTr="00856959">
        <w:trPr>
          <w:trHeight w:val="300"/>
          <w:jc w:val="center"/>
        </w:trPr>
        <w:tc>
          <w:tcPr>
            <w:tcW w:w="6486" w:type="dxa"/>
            <w:shd w:val="clear" w:color="auto" w:fill="auto"/>
            <w:vAlign w:val="center"/>
            <w:hideMark/>
          </w:tcPr>
          <w:p w:rsidR="00AE35CF" w:rsidRPr="00B53423" w:rsidRDefault="00AE35CF" w:rsidP="0015232B">
            <w:pPr>
              <w:spacing w:before="0" w:line="240" w:lineRule="auto"/>
              <w:jc w:val="left"/>
            </w:pPr>
            <w:r w:rsidRPr="00B53423">
              <w:rPr>
                <w:rFonts w:cs="Calibri"/>
                <w:color w:val="000000"/>
                <w:lang w:val="en-US"/>
              </w:rPr>
              <w:t>Revenue Gap for FY 2008-09</w:t>
            </w:r>
          </w:p>
        </w:tc>
        <w:tc>
          <w:tcPr>
            <w:tcW w:w="1530" w:type="dxa"/>
            <w:vAlign w:val="bottom"/>
          </w:tcPr>
          <w:p w:rsidR="00AE35CF" w:rsidRPr="00B53423" w:rsidRDefault="00BC60A3" w:rsidP="0015232B">
            <w:pPr>
              <w:spacing w:before="0" w:line="240" w:lineRule="auto"/>
              <w:jc w:val="right"/>
              <w:rPr>
                <w:rFonts w:cs="Calibri"/>
                <w:color w:val="000000"/>
              </w:rPr>
            </w:pPr>
            <w:r w:rsidRPr="00B53423">
              <w:rPr>
                <w:rFonts w:cs="Calibri"/>
                <w:color w:val="000000"/>
                <w:sz w:val="22"/>
                <w:szCs w:val="22"/>
              </w:rPr>
              <w:t>73.46</w:t>
            </w:r>
          </w:p>
        </w:tc>
        <w:tc>
          <w:tcPr>
            <w:tcW w:w="1457" w:type="dxa"/>
            <w:shd w:val="clear" w:color="auto" w:fill="auto"/>
            <w:noWrap/>
            <w:vAlign w:val="bottom"/>
            <w:hideMark/>
          </w:tcPr>
          <w:p w:rsidR="00AE35CF" w:rsidRPr="00B53423" w:rsidRDefault="00BC60A3" w:rsidP="0015232B">
            <w:pPr>
              <w:spacing w:before="0" w:line="240" w:lineRule="auto"/>
              <w:jc w:val="right"/>
              <w:rPr>
                <w:rFonts w:cs="Calibri"/>
                <w:color w:val="000000"/>
              </w:rPr>
            </w:pPr>
            <w:r w:rsidRPr="00B53423">
              <w:rPr>
                <w:rFonts w:cs="Calibri"/>
                <w:color w:val="000000"/>
                <w:sz w:val="22"/>
                <w:szCs w:val="22"/>
              </w:rPr>
              <w:t>52.38</w:t>
            </w:r>
          </w:p>
        </w:tc>
      </w:tr>
      <w:tr w:rsidR="00AE35CF" w:rsidRPr="00B53423" w:rsidTr="00856959">
        <w:trPr>
          <w:trHeight w:val="300"/>
          <w:jc w:val="center"/>
        </w:trPr>
        <w:tc>
          <w:tcPr>
            <w:tcW w:w="6486" w:type="dxa"/>
            <w:shd w:val="clear" w:color="auto" w:fill="auto"/>
            <w:vAlign w:val="center"/>
            <w:hideMark/>
          </w:tcPr>
          <w:p w:rsidR="00AE35CF" w:rsidRPr="00B53423" w:rsidRDefault="00AE35CF" w:rsidP="0015232B">
            <w:pPr>
              <w:spacing w:before="0" w:line="240" w:lineRule="auto"/>
              <w:jc w:val="left"/>
            </w:pPr>
            <w:r w:rsidRPr="00B53423">
              <w:rPr>
                <w:rFonts w:cs="Calibri"/>
                <w:color w:val="000000"/>
                <w:lang w:val="en-US"/>
              </w:rPr>
              <w:t>Revenue Gap for FY 2009-10</w:t>
            </w:r>
          </w:p>
        </w:tc>
        <w:tc>
          <w:tcPr>
            <w:tcW w:w="1530" w:type="dxa"/>
            <w:vAlign w:val="bottom"/>
          </w:tcPr>
          <w:p w:rsidR="00AE35CF" w:rsidRPr="00B53423" w:rsidRDefault="00BC60A3" w:rsidP="0015232B">
            <w:pPr>
              <w:spacing w:before="0" w:line="240" w:lineRule="auto"/>
              <w:jc w:val="right"/>
            </w:pPr>
            <w:r w:rsidRPr="00B53423">
              <w:rPr>
                <w:rFonts w:cs="Calibri"/>
                <w:color w:val="000000"/>
                <w:sz w:val="22"/>
                <w:szCs w:val="22"/>
              </w:rPr>
              <w:t>44.30</w:t>
            </w:r>
          </w:p>
        </w:tc>
        <w:tc>
          <w:tcPr>
            <w:tcW w:w="1457" w:type="dxa"/>
            <w:shd w:val="clear" w:color="auto" w:fill="auto"/>
            <w:noWrap/>
            <w:vAlign w:val="bottom"/>
            <w:hideMark/>
          </w:tcPr>
          <w:p w:rsidR="00AE35CF" w:rsidRPr="00B53423" w:rsidRDefault="00BC60A3" w:rsidP="0015232B">
            <w:pPr>
              <w:spacing w:before="0" w:line="240" w:lineRule="auto"/>
              <w:jc w:val="right"/>
            </w:pPr>
            <w:r w:rsidRPr="00B53423">
              <w:rPr>
                <w:rFonts w:cs="Calibri"/>
                <w:color w:val="000000"/>
                <w:sz w:val="22"/>
                <w:szCs w:val="22"/>
              </w:rPr>
              <w:t>73.15</w:t>
            </w:r>
          </w:p>
        </w:tc>
      </w:tr>
      <w:tr w:rsidR="00AE35CF" w:rsidRPr="00B53423" w:rsidTr="00856959">
        <w:trPr>
          <w:trHeight w:val="300"/>
          <w:jc w:val="center"/>
        </w:trPr>
        <w:tc>
          <w:tcPr>
            <w:tcW w:w="6486" w:type="dxa"/>
            <w:shd w:val="clear" w:color="auto" w:fill="auto"/>
            <w:vAlign w:val="center"/>
            <w:hideMark/>
          </w:tcPr>
          <w:p w:rsidR="00AE35CF" w:rsidRPr="00B53423" w:rsidRDefault="00AE35CF" w:rsidP="0015232B">
            <w:pPr>
              <w:spacing w:before="0" w:line="240" w:lineRule="auto"/>
              <w:jc w:val="left"/>
              <w:rPr>
                <w:b/>
              </w:rPr>
            </w:pPr>
            <w:r w:rsidRPr="00B53423">
              <w:rPr>
                <w:rFonts w:cs="Calibri"/>
                <w:color w:val="000000"/>
                <w:lang w:val="en-US"/>
              </w:rPr>
              <w:t>Revenue Gap for FY 2010-11</w:t>
            </w:r>
          </w:p>
        </w:tc>
        <w:tc>
          <w:tcPr>
            <w:tcW w:w="1530" w:type="dxa"/>
            <w:vAlign w:val="bottom"/>
          </w:tcPr>
          <w:p w:rsidR="00AE35CF" w:rsidRPr="00B53423" w:rsidRDefault="00BC60A3" w:rsidP="0015232B">
            <w:pPr>
              <w:spacing w:before="0" w:line="240" w:lineRule="auto"/>
              <w:jc w:val="right"/>
              <w:rPr>
                <w:b/>
              </w:rPr>
            </w:pPr>
            <w:r w:rsidRPr="00B53423">
              <w:rPr>
                <w:rFonts w:cs="Calibri"/>
                <w:color w:val="000000"/>
                <w:sz w:val="22"/>
                <w:szCs w:val="22"/>
              </w:rPr>
              <w:t>198.39</w:t>
            </w:r>
          </w:p>
        </w:tc>
        <w:tc>
          <w:tcPr>
            <w:tcW w:w="1457" w:type="dxa"/>
            <w:shd w:val="clear" w:color="auto" w:fill="auto"/>
            <w:noWrap/>
            <w:vAlign w:val="bottom"/>
            <w:hideMark/>
          </w:tcPr>
          <w:p w:rsidR="00AE35CF" w:rsidRPr="00B53423" w:rsidRDefault="00BC60A3" w:rsidP="0015232B">
            <w:pPr>
              <w:spacing w:before="0" w:line="240" w:lineRule="auto"/>
              <w:jc w:val="right"/>
              <w:rPr>
                <w:b/>
              </w:rPr>
            </w:pPr>
            <w:r w:rsidRPr="00B53423">
              <w:rPr>
                <w:rFonts w:cs="Calibri"/>
                <w:color w:val="000000"/>
                <w:sz w:val="22"/>
                <w:szCs w:val="22"/>
              </w:rPr>
              <w:t>160.65</w:t>
            </w:r>
          </w:p>
        </w:tc>
      </w:tr>
      <w:tr w:rsidR="00AE35CF" w:rsidRPr="00B53423" w:rsidTr="00856959">
        <w:trPr>
          <w:trHeight w:val="300"/>
          <w:jc w:val="center"/>
        </w:trPr>
        <w:tc>
          <w:tcPr>
            <w:tcW w:w="6486" w:type="dxa"/>
            <w:shd w:val="clear" w:color="auto" w:fill="auto"/>
            <w:vAlign w:val="center"/>
            <w:hideMark/>
          </w:tcPr>
          <w:p w:rsidR="00AE35CF" w:rsidRPr="00B53423" w:rsidRDefault="00AE35CF" w:rsidP="0015232B">
            <w:pPr>
              <w:spacing w:before="0" w:line="240" w:lineRule="auto"/>
              <w:jc w:val="left"/>
            </w:pPr>
            <w:r w:rsidRPr="00B53423">
              <w:rPr>
                <w:rFonts w:cs="Calibri"/>
                <w:color w:val="000000"/>
                <w:lang w:val="en-US"/>
              </w:rPr>
              <w:t>Revenue Gap for FY 2011-12</w:t>
            </w:r>
          </w:p>
        </w:tc>
        <w:tc>
          <w:tcPr>
            <w:tcW w:w="1530" w:type="dxa"/>
            <w:vAlign w:val="bottom"/>
          </w:tcPr>
          <w:p w:rsidR="00AE35CF" w:rsidRPr="00B53423" w:rsidRDefault="00BC60A3" w:rsidP="0015232B">
            <w:pPr>
              <w:spacing w:before="0" w:line="240" w:lineRule="auto"/>
              <w:jc w:val="right"/>
            </w:pPr>
            <w:r w:rsidRPr="00B53423">
              <w:rPr>
                <w:rFonts w:cs="Calibri"/>
                <w:color w:val="000000"/>
                <w:sz w:val="22"/>
                <w:szCs w:val="22"/>
              </w:rPr>
              <w:t>404.45</w:t>
            </w:r>
          </w:p>
        </w:tc>
        <w:tc>
          <w:tcPr>
            <w:tcW w:w="1457" w:type="dxa"/>
            <w:shd w:val="clear" w:color="auto" w:fill="auto"/>
            <w:noWrap/>
            <w:vAlign w:val="bottom"/>
            <w:hideMark/>
          </w:tcPr>
          <w:p w:rsidR="00AE35CF" w:rsidRPr="00B53423" w:rsidRDefault="00BC60A3" w:rsidP="0015232B">
            <w:pPr>
              <w:spacing w:before="0" w:line="240" w:lineRule="auto"/>
              <w:jc w:val="right"/>
            </w:pPr>
            <w:r w:rsidRPr="00B53423">
              <w:rPr>
                <w:rFonts w:cs="Calibri"/>
                <w:color w:val="000000"/>
                <w:sz w:val="22"/>
                <w:szCs w:val="22"/>
              </w:rPr>
              <w:t>292.11</w:t>
            </w:r>
          </w:p>
        </w:tc>
      </w:tr>
      <w:tr w:rsidR="00AE35CF" w:rsidRPr="00B53423" w:rsidTr="00856959">
        <w:trPr>
          <w:trHeight w:val="300"/>
          <w:jc w:val="center"/>
        </w:trPr>
        <w:tc>
          <w:tcPr>
            <w:tcW w:w="6486" w:type="dxa"/>
            <w:shd w:val="clear" w:color="auto" w:fill="auto"/>
            <w:vAlign w:val="center"/>
            <w:hideMark/>
          </w:tcPr>
          <w:p w:rsidR="00AE35CF" w:rsidRPr="00B53423" w:rsidRDefault="00AE35CF" w:rsidP="0015232B">
            <w:pPr>
              <w:spacing w:before="0" w:line="240" w:lineRule="auto"/>
              <w:jc w:val="left"/>
              <w:rPr>
                <w:b/>
              </w:rPr>
            </w:pPr>
            <w:r w:rsidRPr="00B53423">
              <w:rPr>
                <w:rFonts w:cs="Calibri"/>
                <w:b/>
                <w:color w:val="000000"/>
                <w:lang w:val="en-US"/>
              </w:rPr>
              <w:t>Revenue Gap for FY 2008-09 to FY 2011-12</w:t>
            </w:r>
          </w:p>
        </w:tc>
        <w:tc>
          <w:tcPr>
            <w:tcW w:w="1530" w:type="dxa"/>
            <w:vAlign w:val="bottom"/>
          </w:tcPr>
          <w:p w:rsidR="00AE35CF" w:rsidRPr="00B53423" w:rsidRDefault="00BC60A3" w:rsidP="0015232B">
            <w:pPr>
              <w:spacing w:before="0" w:line="240" w:lineRule="auto"/>
              <w:jc w:val="right"/>
              <w:rPr>
                <w:rFonts w:cs="Calibri"/>
                <w:b/>
                <w:bCs/>
                <w:color w:val="000000"/>
              </w:rPr>
            </w:pPr>
            <w:r w:rsidRPr="00B53423">
              <w:rPr>
                <w:rFonts w:cs="Calibri"/>
                <w:b/>
                <w:color w:val="000000"/>
                <w:sz w:val="22"/>
                <w:szCs w:val="22"/>
              </w:rPr>
              <w:t>720.60</w:t>
            </w:r>
          </w:p>
        </w:tc>
        <w:tc>
          <w:tcPr>
            <w:tcW w:w="1457" w:type="dxa"/>
            <w:shd w:val="clear" w:color="auto" w:fill="auto"/>
            <w:noWrap/>
            <w:vAlign w:val="bottom"/>
            <w:hideMark/>
          </w:tcPr>
          <w:p w:rsidR="00AE35CF" w:rsidRPr="00B53423" w:rsidRDefault="00BC60A3" w:rsidP="0015232B">
            <w:pPr>
              <w:spacing w:before="0" w:line="240" w:lineRule="auto"/>
              <w:jc w:val="right"/>
              <w:rPr>
                <w:rFonts w:cs="Calibri"/>
                <w:b/>
                <w:bCs/>
                <w:color w:val="000000"/>
              </w:rPr>
            </w:pPr>
            <w:r w:rsidRPr="00B53423">
              <w:rPr>
                <w:rFonts w:cs="Calibri"/>
                <w:b/>
                <w:color w:val="000000"/>
                <w:sz w:val="22"/>
                <w:szCs w:val="22"/>
              </w:rPr>
              <w:t>578.29</w:t>
            </w:r>
          </w:p>
        </w:tc>
      </w:tr>
      <w:tr w:rsidR="00AE35CF" w:rsidRPr="00B53423" w:rsidTr="00856959">
        <w:trPr>
          <w:trHeight w:val="300"/>
          <w:jc w:val="center"/>
        </w:trPr>
        <w:tc>
          <w:tcPr>
            <w:tcW w:w="6486" w:type="dxa"/>
            <w:shd w:val="clear" w:color="auto" w:fill="auto"/>
            <w:vAlign w:val="center"/>
            <w:hideMark/>
          </w:tcPr>
          <w:p w:rsidR="00AE35CF" w:rsidRPr="00B53423" w:rsidRDefault="00AE35CF" w:rsidP="0015232B">
            <w:pPr>
              <w:spacing w:before="0" w:line="240" w:lineRule="auto"/>
              <w:jc w:val="left"/>
            </w:pPr>
            <w:r w:rsidRPr="00B53423">
              <w:rPr>
                <w:rFonts w:cs="Calibri"/>
                <w:color w:val="000000"/>
                <w:lang w:val="en-US"/>
              </w:rPr>
              <w:t>Revenue Gap / (Surplus) for FY 2014-15 (at existing Tariff)</w:t>
            </w:r>
          </w:p>
        </w:tc>
        <w:tc>
          <w:tcPr>
            <w:tcW w:w="1530" w:type="dxa"/>
            <w:vAlign w:val="bottom"/>
          </w:tcPr>
          <w:p w:rsidR="00AE35CF" w:rsidRPr="00B53423" w:rsidRDefault="00BC60A3" w:rsidP="0015232B">
            <w:pPr>
              <w:spacing w:before="0" w:line="240" w:lineRule="auto"/>
              <w:jc w:val="right"/>
            </w:pPr>
            <w:r w:rsidRPr="00B53423">
              <w:rPr>
                <w:rFonts w:cs="Calibri"/>
                <w:color w:val="000000"/>
                <w:sz w:val="22"/>
                <w:szCs w:val="22"/>
              </w:rPr>
              <w:t xml:space="preserve">            345.46 </w:t>
            </w:r>
          </w:p>
        </w:tc>
        <w:tc>
          <w:tcPr>
            <w:tcW w:w="1457" w:type="dxa"/>
            <w:shd w:val="clear" w:color="auto" w:fill="auto"/>
            <w:noWrap/>
            <w:vAlign w:val="bottom"/>
            <w:hideMark/>
          </w:tcPr>
          <w:p w:rsidR="00AE35CF" w:rsidRPr="00B53423" w:rsidRDefault="00BC60A3" w:rsidP="0015232B">
            <w:pPr>
              <w:spacing w:before="0" w:line="240" w:lineRule="auto"/>
              <w:jc w:val="right"/>
            </w:pPr>
            <w:r w:rsidRPr="00B53423">
              <w:rPr>
                <w:rFonts w:cs="Calibri"/>
                <w:color w:val="000000"/>
                <w:sz w:val="22"/>
                <w:szCs w:val="22"/>
              </w:rPr>
              <w:t xml:space="preserve">  (19.29)</w:t>
            </w:r>
          </w:p>
        </w:tc>
      </w:tr>
      <w:tr w:rsidR="00AE35CF" w:rsidRPr="00B53423" w:rsidTr="00856959">
        <w:trPr>
          <w:trHeight w:val="300"/>
          <w:jc w:val="center"/>
        </w:trPr>
        <w:tc>
          <w:tcPr>
            <w:tcW w:w="6486" w:type="dxa"/>
            <w:shd w:val="clear" w:color="auto" w:fill="auto"/>
            <w:vAlign w:val="center"/>
            <w:hideMark/>
          </w:tcPr>
          <w:p w:rsidR="00AE35CF" w:rsidRPr="00B53423" w:rsidRDefault="00AE35CF" w:rsidP="0015232B">
            <w:pPr>
              <w:spacing w:before="0" w:line="240" w:lineRule="auto"/>
              <w:jc w:val="left"/>
              <w:rPr>
                <w:i/>
              </w:rPr>
            </w:pPr>
            <w:r w:rsidRPr="00B53423">
              <w:rPr>
                <w:rFonts w:cs="Calibri"/>
                <w:color w:val="000000"/>
                <w:lang w:val="en-US"/>
              </w:rPr>
              <w:t>Increase in Revenue due to revision in Tariff</w:t>
            </w:r>
          </w:p>
        </w:tc>
        <w:tc>
          <w:tcPr>
            <w:tcW w:w="1530" w:type="dxa"/>
            <w:vAlign w:val="bottom"/>
          </w:tcPr>
          <w:p w:rsidR="00AE35CF" w:rsidRPr="00B53423" w:rsidRDefault="00BC60A3" w:rsidP="0015232B">
            <w:pPr>
              <w:spacing w:before="0" w:line="240" w:lineRule="auto"/>
              <w:jc w:val="right"/>
              <w:rPr>
                <w:rFonts w:cs="Calibri"/>
                <w:color w:val="000000"/>
              </w:rPr>
            </w:pPr>
            <w:r w:rsidRPr="00B53423">
              <w:rPr>
                <w:rFonts w:cs="Calibri"/>
                <w:color w:val="000000"/>
                <w:sz w:val="22"/>
                <w:szCs w:val="22"/>
              </w:rPr>
              <w:t>190</w:t>
            </w:r>
          </w:p>
        </w:tc>
        <w:tc>
          <w:tcPr>
            <w:tcW w:w="1457" w:type="dxa"/>
            <w:shd w:val="clear" w:color="auto" w:fill="auto"/>
            <w:noWrap/>
            <w:vAlign w:val="bottom"/>
            <w:hideMark/>
          </w:tcPr>
          <w:p w:rsidR="00AE35CF" w:rsidRPr="00B53423" w:rsidRDefault="00BC60A3" w:rsidP="0015232B">
            <w:pPr>
              <w:spacing w:before="0" w:line="240" w:lineRule="auto"/>
              <w:jc w:val="right"/>
              <w:rPr>
                <w:i/>
              </w:rPr>
            </w:pPr>
            <w:r w:rsidRPr="00B53423">
              <w:rPr>
                <w:rFonts w:cs="Calibri"/>
                <w:color w:val="000000"/>
                <w:sz w:val="22"/>
                <w:szCs w:val="22"/>
              </w:rPr>
              <w:t>43.98</w:t>
            </w:r>
          </w:p>
        </w:tc>
      </w:tr>
      <w:tr w:rsidR="00AE35CF" w:rsidRPr="00B53423" w:rsidTr="00856959">
        <w:trPr>
          <w:trHeight w:val="300"/>
          <w:jc w:val="center"/>
        </w:trPr>
        <w:tc>
          <w:tcPr>
            <w:tcW w:w="6486" w:type="dxa"/>
            <w:shd w:val="clear" w:color="auto" w:fill="auto"/>
            <w:vAlign w:val="center"/>
            <w:hideMark/>
          </w:tcPr>
          <w:p w:rsidR="00AE35CF" w:rsidRPr="00B53423" w:rsidRDefault="00AE35CF" w:rsidP="0015232B">
            <w:pPr>
              <w:spacing w:before="0" w:line="240" w:lineRule="auto"/>
              <w:jc w:val="left"/>
              <w:rPr>
                <w:i/>
              </w:rPr>
            </w:pPr>
            <w:r w:rsidRPr="00B53423">
              <w:rPr>
                <w:rFonts w:cs="Calibri"/>
                <w:color w:val="000000"/>
                <w:lang w:val="en-US"/>
              </w:rPr>
              <w:t>Total Revenue Approved by the Commission for FY 2014-15 (Excluding Regulatory Charge)</w:t>
            </w:r>
          </w:p>
        </w:tc>
        <w:tc>
          <w:tcPr>
            <w:tcW w:w="1530" w:type="dxa"/>
            <w:vAlign w:val="bottom"/>
          </w:tcPr>
          <w:p w:rsidR="00AE35CF" w:rsidRPr="00B53423" w:rsidRDefault="00BC60A3" w:rsidP="0015232B">
            <w:pPr>
              <w:spacing w:before="0" w:line="240" w:lineRule="auto"/>
              <w:jc w:val="right"/>
              <w:rPr>
                <w:rFonts w:cs="Calibri"/>
                <w:color w:val="000000"/>
              </w:rPr>
            </w:pPr>
            <w:r w:rsidRPr="00B53423">
              <w:rPr>
                <w:rFonts w:cs="Calibri"/>
                <w:color w:val="000000"/>
                <w:sz w:val="22"/>
                <w:szCs w:val="22"/>
              </w:rPr>
              <w:t xml:space="preserve">       1,800.89 </w:t>
            </w:r>
          </w:p>
        </w:tc>
        <w:tc>
          <w:tcPr>
            <w:tcW w:w="1457" w:type="dxa"/>
            <w:shd w:val="clear" w:color="auto" w:fill="auto"/>
            <w:noWrap/>
            <w:vAlign w:val="bottom"/>
            <w:hideMark/>
          </w:tcPr>
          <w:p w:rsidR="00AE35CF" w:rsidRPr="00B53423" w:rsidRDefault="00BC60A3" w:rsidP="0015232B">
            <w:pPr>
              <w:spacing w:before="0" w:line="240" w:lineRule="auto"/>
              <w:jc w:val="right"/>
              <w:rPr>
                <w:rFonts w:cs="Calibri"/>
                <w:color w:val="000000"/>
              </w:rPr>
            </w:pPr>
            <w:r w:rsidRPr="00B53423">
              <w:rPr>
                <w:rFonts w:cs="Calibri"/>
                <w:color w:val="000000"/>
                <w:sz w:val="22"/>
                <w:szCs w:val="22"/>
              </w:rPr>
              <w:t xml:space="preserve">       1,570.54 </w:t>
            </w:r>
          </w:p>
        </w:tc>
      </w:tr>
      <w:tr w:rsidR="00AE35CF" w:rsidRPr="00B53423" w:rsidTr="00856959">
        <w:trPr>
          <w:trHeight w:val="300"/>
          <w:jc w:val="center"/>
        </w:trPr>
        <w:tc>
          <w:tcPr>
            <w:tcW w:w="6486" w:type="dxa"/>
            <w:shd w:val="clear" w:color="auto" w:fill="auto"/>
            <w:vAlign w:val="center"/>
            <w:hideMark/>
          </w:tcPr>
          <w:p w:rsidR="00AE35CF" w:rsidRPr="00B53423" w:rsidRDefault="00AE35CF" w:rsidP="0015232B">
            <w:pPr>
              <w:spacing w:before="0" w:line="240" w:lineRule="auto"/>
              <w:jc w:val="left"/>
              <w:rPr>
                <w:b/>
                <w:i/>
              </w:rPr>
            </w:pPr>
            <w:r w:rsidRPr="00B53423">
              <w:rPr>
                <w:rFonts w:cs="Calibri"/>
                <w:b/>
                <w:color w:val="000000"/>
                <w:lang w:val="en-US"/>
              </w:rPr>
              <w:t>Revenue Gap of FY 2014-15</w:t>
            </w:r>
          </w:p>
        </w:tc>
        <w:tc>
          <w:tcPr>
            <w:tcW w:w="1530" w:type="dxa"/>
            <w:vAlign w:val="bottom"/>
          </w:tcPr>
          <w:p w:rsidR="00AE35CF" w:rsidRPr="00B53423" w:rsidRDefault="00BC60A3" w:rsidP="0015232B">
            <w:pPr>
              <w:spacing w:before="0" w:line="240" w:lineRule="auto"/>
              <w:jc w:val="right"/>
              <w:rPr>
                <w:rFonts w:cs="Calibri"/>
                <w:b/>
                <w:color w:val="000000"/>
              </w:rPr>
            </w:pPr>
            <w:r w:rsidRPr="00B53423">
              <w:rPr>
                <w:rFonts w:cs="Calibri"/>
                <w:b/>
                <w:color w:val="000000"/>
                <w:sz w:val="22"/>
                <w:szCs w:val="22"/>
              </w:rPr>
              <w:t xml:space="preserve">            876.06 </w:t>
            </w:r>
          </w:p>
        </w:tc>
        <w:tc>
          <w:tcPr>
            <w:tcW w:w="1457" w:type="dxa"/>
            <w:shd w:val="clear" w:color="auto" w:fill="auto"/>
            <w:noWrap/>
            <w:vAlign w:val="bottom"/>
            <w:hideMark/>
          </w:tcPr>
          <w:p w:rsidR="00AE35CF" w:rsidRPr="00B53423" w:rsidRDefault="00BC60A3" w:rsidP="0015232B">
            <w:pPr>
              <w:spacing w:before="0" w:line="240" w:lineRule="auto"/>
              <w:jc w:val="right"/>
              <w:rPr>
                <w:rFonts w:cs="Calibri"/>
                <w:b/>
                <w:color w:val="000000"/>
              </w:rPr>
            </w:pPr>
            <w:r w:rsidRPr="00B53423">
              <w:rPr>
                <w:rFonts w:cs="Calibri"/>
                <w:b/>
                <w:color w:val="000000"/>
                <w:sz w:val="22"/>
                <w:szCs w:val="22"/>
              </w:rPr>
              <w:t xml:space="preserve">            515.02 </w:t>
            </w:r>
          </w:p>
        </w:tc>
      </w:tr>
    </w:tbl>
    <w:p w:rsidR="008E5045" w:rsidRPr="00B53423" w:rsidRDefault="008E5045" w:rsidP="0015232B"/>
    <w:p w:rsidR="00DE37E0" w:rsidRPr="00B53423" w:rsidRDefault="00DE37E0" w:rsidP="0015232B">
      <w:pPr>
        <w:pStyle w:val="Heading2"/>
        <w:keepNext w:val="0"/>
        <w:numPr>
          <w:ilvl w:val="0"/>
          <w:numId w:val="0"/>
        </w:numPr>
        <w:ind w:left="576"/>
      </w:pPr>
      <w:bookmarkStart w:id="968" w:name="_Toc336615951"/>
      <w:bookmarkStart w:id="969" w:name="_Toc336608365"/>
      <w:bookmarkStart w:id="970" w:name="_Toc336574924"/>
      <w:bookmarkStart w:id="971" w:name="_Toc357345051"/>
    </w:p>
    <w:p w:rsidR="00DE37E0" w:rsidRPr="00B53423" w:rsidRDefault="00DE37E0" w:rsidP="0015232B">
      <w:pPr>
        <w:pStyle w:val="Heading2"/>
        <w:keepNext w:val="0"/>
        <w:ind w:left="720" w:hanging="1080"/>
      </w:pPr>
      <w:bookmarkStart w:id="972" w:name="_Toc357733350"/>
      <w:bookmarkStart w:id="973" w:name="_Toc399626251"/>
      <w:r w:rsidRPr="00B53423">
        <w:t>AVERAGE COST OF SUPPLY</w:t>
      </w:r>
      <w:bookmarkEnd w:id="968"/>
      <w:bookmarkEnd w:id="969"/>
      <w:bookmarkEnd w:id="970"/>
      <w:bookmarkEnd w:id="971"/>
      <w:bookmarkEnd w:id="972"/>
      <w:bookmarkEnd w:id="973"/>
    </w:p>
    <w:p w:rsidR="008E5045" w:rsidRPr="00B53423" w:rsidRDefault="008E5045" w:rsidP="0015232B">
      <w:pPr>
        <w:pStyle w:val="Heading3"/>
        <w:keepNext w:val="0"/>
        <w:numPr>
          <w:ilvl w:val="0"/>
          <w:numId w:val="0"/>
        </w:numPr>
        <w:tabs>
          <w:tab w:val="left" w:pos="720"/>
        </w:tabs>
        <w:ind w:left="720"/>
      </w:pPr>
    </w:p>
    <w:p w:rsidR="00DE37E0" w:rsidRPr="00B53423" w:rsidRDefault="006877BD" w:rsidP="0015232B">
      <w:pPr>
        <w:pStyle w:val="Heading3"/>
        <w:keepNext w:val="0"/>
        <w:tabs>
          <w:tab w:val="left" w:pos="720"/>
        </w:tabs>
        <w:ind w:hanging="1080"/>
      </w:pPr>
      <w:r w:rsidRPr="00B53423">
        <w:t>In the instant Tariff Order, the cross subsidy structure has marginally changed as the ACOS has not undergone any significant change, however for the recovery of accumulated revenue gap the tariff has been increased to some extent. The table below summarises the per unit revenue realisation (average billing rate) as a percentage of ACOS for KESCO</w:t>
      </w:r>
      <w:r w:rsidR="00DE37E0" w:rsidRPr="00B53423">
        <w:t xml:space="preserve">. </w:t>
      </w:r>
    </w:p>
    <w:p w:rsidR="008E5045" w:rsidRPr="00B53423" w:rsidRDefault="008E5045" w:rsidP="0015232B">
      <w:pPr>
        <w:pStyle w:val="ListParagraph"/>
      </w:pPr>
    </w:p>
    <w:p w:rsidR="008E5045" w:rsidRPr="00B53423" w:rsidRDefault="008E5045" w:rsidP="0015232B">
      <w:pPr>
        <w:pStyle w:val="Heading3"/>
        <w:keepNext w:val="0"/>
        <w:numPr>
          <w:ilvl w:val="0"/>
          <w:numId w:val="0"/>
        </w:numPr>
        <w:tabs>
          <w:tab w:val="left" w:pos="720"/>
        </w:tabs>
        <w:ind w:left="720"/>
      </w:pPr>
    </w:p>
    <w:p w:rsidR="0079663D" w:rsidRDefault="0079663D" w:rsidP="0015232B">
      <w:pPr>
        <w:pStyle w:val="Caption"/>
        <w:spacing w:line="276" w:lineRule="auto"/>
        <w:jc w:val="center"/>
        <w:rPr>
          <w:rFonts w:asciiTheme="minorHAnsi" w:hAnsiTheme="minorHAnsi" w:cstheme="minorHAnsi"/>
          <w:szCs w:val="24"/>
        </w:rPr>
      </w:pPr>
      <w:bookmarkStart w:id="974" w:name="_Toc336616149"/>
      <w:bookmarkStart w:id="975" w:name="_Toc336608565"/>
      <w:bookmarkStart w:id="976" w:name="_Toc336572530"/>
      <w:bookmarkStart w:id="977" w:name="_Toc338310729"/>
      <w:bookmarkStart w:id="978" w:name="_Toc338419558"/>
      <w:bookmarkStart w:id="979" w:name="_Toc357738755"/>
    </w:p>
    <w:p w:rsidR="00EC637C" w:rsidRDefault="00EC637C" w:rsidP="0015232B">
      <w:pPr>
        <w:pStyle w:val="Caption"/>
        <w:spacing w:line="276" w:lineRule="auto"/>
        <w:jc w:val="center"/>
        <w:rPr>
          <w:rFonts w:asciiTheme="minorHAnsi" w:hAnsiTheme="minorHAnsi" w:cstheme="minorHAnsi"/>
          <w:szCs w:val="24"/>
        </w:rPr>
      </w:pPr>
      <w:bookmarkStart w:id="980" w:name="_Toc399626443"/>
    </w:p>
    <w:p w:rsidR="00DE37E0" w:rsidRPr="00B53423" w:rsidRDefault="00DE37E0" w:rsidP="0015232B">
      <w:pPr>
        <w:pStyle w:val="Caption"/>
        <w:spacing w:line="276" w:lineRule="auto"/>
        <w:jc w:val="center"/>
        <w:rPr>
          <w:rFonts w:asciiTheme="minorHAnsi" w:hAnsiTheme="minorHAnsi" w:cstheme="minorHAnsi"/>
          <w:szCs w:val="24"/>
        </w:rPr>
      </w:pPr>
      <w:r w:rsidRPr="00B53423">
        <w:rPr>
          <w:rFonts w:asciiTheme="minorHAnsi" w:hAnsiTheme="minorHAnsi" w:cstheme="minorHAnsi"/>
          <w:szCs w:val="24"/>
        </w:rPr>
        <w:t xml:space="preserve">Table </w:t>
      </w:r>
      <w:r w:rsidR="005D68E7" w:rsidRPr="00B53423">
        <w:rPr>
          <w:rFonts w:asciiTheme="minorHAnsi" w:hAnsiTheme="minorHAnsi" w:cstheme="minorHAnsi"/>
          <w:szCs w:val="24"/>
        </w:rPr>
        <w:fldChar w:fldCharType="begin"/>
      </w:r>
      <w:r w:rsidRPr="00B53423">
        <w:rPr>
          <w:rFonts w:asciiTheme="minorHAnsi" w:hAnsiTheme="minorHAnsi" w:cstheme="minorHAnsi"/>
          <w:szCs w:val="24"/>
        </w:rPr>
        <w:instrText xml:space="preserve"> STYLEREF 1 \s </w:instrText>
      </w:r>
      <w:r w:rsidR="005D68E7" w:rsidRPr="00B53423">
        <w:rPr>
          <w:rFonts w:asciiTheme="minorHAnsi" w:hAnsiTheme="minorHAnsi" w:cstheme="minorHAnsi"/>
          <w:szCs w:val="24"/>
        </w:rPr>
        <w:fldChar w:fldCharType="separate"/>
      </w:r>
      <w:r w:rsidR="00847C1B">
        <w:rPr>
          <w:rFonts w:asciiTheme="minorHAnsi" w:hAnsiTheme="minorHAnsi" w:cstheme="minorHAnsi"/>
          <w:noProof/>
          <w:szCs w:val="24"/>
        </w:rPr>
        <w:t>12</w:t>
      </w:r>
      <w:r w:rsidR="005D68E7" w:rsidRPr="00B53423">
        <w:rPr>
          <w:rFonts w:asciiTheme="minorHAnsi" w:hAnsiTheme="minorHAnsi" w:cstheme="minorHAnsi"/>
          <w:szCs w:val="24"/>
        </w:rPr>
        <w:fldChar w:fldCharType="end"/>
      </w:r>
      <w:r w:rsidRPr="00B53423">
        <w:rPr>
          <w:rFonts w:asciiTheme="minorHAnsi" w:hAnsiTheme="minorHAnsi" w:cstheme="minorHAnsi"/>
          <w:szCs w:val="24"/>
        </w:rPr>
        <w:noBreakHyphen/>
      </w:r>
      <w:r w:rsidR="005D68E7" w:rsidRPr="00B53423">
        <w:rPr>
          <w:rFonts w:asciiTheme="minorHAnsi" w:hAnsiTheme="minorHAnsi" w:cstheme="minorHAnsi"/>
          <w:szCs w:val="24"/>
        </w:rPr>
        <w:fldChar w:fldCharType="begin"/>
      </w:r>
      <w:r w:rsidRPr="00B53423">
        <w:rPr>
          <w:rFonts w:asciiTheme="minorHAnsi" w:hAnsiTheme="minorHAnsi" w:cstheme="minorHAnsi"/>
          <w:szCs w:val="24"/>
        </w:rPr>
        <w:instrText xml:space="preserve"> SEQ Table \* ARABIC \s 1 </w:instrText>
      </w:r>
      <w:r w:rsidR="005D68E7" w:rsidRPr="00B53423">
        <w:rPr>
          <w:rFonts w:asciiTheme="minorHAnsi" w:hAnsiTheme="minorHAnsi" w:cstheme="minorHAnsi"/>
          <w:szCs w:val="24"/>
        </w:rPr>
        <w:fldChar w:fldCharType="separate"/>
      </w:r>
      <w:r w:rsidR="00847C1B">
        <w:rPr>
          <w:rFonts w:asciiTheme="minorHAnsi" w:hAnsiTheme="minorHAnsi" w:cstheme="minorHAnsi"/>
          <w:noProof/>
          <w:szCs w:val="24"/>
        </w:rPr>
        <w:t>3</w:t>
      </w:r>
      <w:r w:rsidR="005D68E7" w:rsidRPr="00B53423">
        <w:rPr>
          <w:rFonts w:asciiTheme="minorHAnsi" w:hAnsiTheme="minorHAnsi" w:cstheme="minorHAnsi"/>
          <w:szCs w:val="24"/>
        </w:rPr>
        <w:fldChar w:fldCharType="end"/>
      </w:r>
      <w:r w:rsidRPr="00B53423">
        <w:rPr>
          <w:rFonts w:asciiTheme="minorHAnsi" w:hAnsiTheme="minorHAnsi" w:cstheme="minorHAnsi"/>
          <w:szCs w:val="24"/>
        </w:rPr>
        <w:t xml:space="preserve">: </w:t>
      </w:r>
      <w:bookmarkEnd w:id="974"/>
      <w:bookmarkEnd w:id="975"/>
      <w:bookmarkEnd w:id="976"/>
      <w:r w:rsidRPr="00B53423">
        <w:rPr>
          <w:rFonts w:asciiTheme="minorHAnsi" w:hAnsiTheme="minorHAnsi" w:cstheme="minorHAnsi"/>
          <w:szCs w:val="24"/>
        </w:rPr>
        <w:t>REVENUE REALIZED AS % OF ACOS</w:t>
      </w:r>
      <w:bookmarkEnd w:id="977"/>
      <w:bookmarkEnd w:id="978"/>
      <w:bookmarkEnd w:id="979"/>
      <w:bookmarkEnd w:id="980"/>
    </w:p>
    <w:tbl>
      <w:tblPr>
        <w:tblW w:w="5132"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514"/>
        <w:gridCol w:w="1419"/>
        <w:gridCol w:w="1421"/>
        <w:gridCol w:w="1421"/>
        <w:gridCol w:w="1418"/>
      </w:tblGrid>
      <w:tr w:rsidR="00DE37E0" w:rsidRPr="00B53423" w:rsidTr="00F317C9">
        <w:trPr>
          <w:trHeight w:val="292"/>
        </w:trPr>
        <w:tc>
          <w:tcPr>
            <w:tcW w:w="1911" w:type="pct"/>
            <w:vMerge w:val="restart"/>
            <w:shd w:val="clear" w:color="000000" w:fill="DBE5F1"/>
            <w:vAlign w:val="center"/>
            <w:hideMark/>
          </w:tcPr>
          <w:p w:rsidR="00DE37E0" w:rsidRPr="00B53423" w:rsidRDefault="00DE37E0" w:rsidP="0015232B">
            <w:pPr>
              <w:spacing w:before="0"/>
              <w:rPr>
                <w:b/>
              </w:rPr>
            </w:pPr>
            <w:r w:rsidRPr="00B53423">
              <w:rPr>
                <w:b/>
              </w:rPr>
              <w:t>Consumer Categories</w:t>
            </w:r>
          </w:p>
        </w:tc>
        <w:tc>
          <w:tcPr>
            <w:tcW w:w="1545" w:type="pct"/>
            <w:gridSpan w:val="2"/>
            <w:shd w:val="clear" w:color="000000" w:fill="DBE5F1"/>
            <w:vAlign w:val="center"/>
            <w:hideMark/>
          </w:tcPr>
          <w:p w:rsidR="00DE37E0" w:rsidRPr="00B53423" w:rsidRDefault="00DE37E0" w:rsidP="0015232B">
            <w:pPr>
              <w:spacing w:before="0"/>
              <w:jc w:val="center"/>
              <w:rPr>
                <w:b/>
              </w:rPr>
            </w:pPr>
            <w:r w:rsidRPr="00B53423">
              <w:rPr>
                <w:b/>
              </w:rPr>
              <w:t>Existing Tariff</w:t>
            </w:r>
          </w:p>
        </w:tc>
        <w:tc>
          <w:tcPr>
            <w:tcW w:w="1544" w:type="pct"/>
            <w:gridSpan w:val="2"/>
            <w:shd w:val="clear" w:color="000000" w:fill="DBE5F1"/>
            <w:vAlign w:val="center"/>
            <w:hideMark/>
          </w:tcPr>
          <w:p w:rsidR="00DE37E0" w:rsidRPr="00B53423" w:rsidRDefault="001508FD" w:rsidP="0015232B">
            <w:pPr>
              <w:spacing w:before="0"/>
              <w:jc w:val="center"/>
              <w:rPr>
                <w:b/>
              </w:rPr>
            </w:pPr>
            <w:r>
              <w:rPr>
                <w:b/>
              </w:rPr>
              <w:t>Revised</w:t>
            </w:r>
            <w:r w:rsidR="00DE37E0" w:rsidRPr="00B53423">
              <w:rPr>
                <w:b/>
              </w:rPr>
              <w:t xml:space="preserve"> Tariff</w:t>
            </w:r>
          </w:p>
        </w:tc>
      </w:tr>
      <w:tr w:rsidR="00DE37E0" w:rsidRPr="00B53423" w:rsidTr="00F317C9">
        <w:trPr>
          <w:trHeight w:val="978"/>
        </w:trPr>
        <w:tc>
          <w:tcPr>
            <w:tcW w:w="1911" w:type="pct"/>
            <w:vMerge/>
            <w:vAlign w:val="center"/>
            <w:hideMark/>
          </w:tcPr>
          <w:p w:rsidR="00DE37E0" w:rsidRPr="00B53423" w:rsidRDefault="00DE37E0" w:rsidP="0015232B">
            <w:pPr>
              <w:spacing w:before="0"/>
              <w:rPr>
                <w:b/>
              </w:rPr>
            </w:pPr>
          </w:p>
        </w:tc>
        <w:tc>
          <w:tcPr>
            <w:tcW w:w="772" w:type="pct"/>
            <w:shd w:val="clear" w:color="000000" w:fill="DBE5F1"/>
            <w:vAlign w:val="center"/>
            <w:hideMark/>
          </w:tcPr>
          <w:p w:rsidR="00DE37E0" w:rsidRPr="00B53423" w:rsidRDefault="00DE37E0" w:rsidP="0015232B">
            <w:pPr>
              <w:spacing w:before="0"/>
              <w:jc w:val="center"/>
              <w:rPr>
                <w:b/>
              </w:rPr>
            </w:pPr>
            <w:r w:rsidRPr="00B53423">
              <w:rPr>
                <w:b/>
              </w:rPr>
              <w:t>Avg Revenue</w:t>
            </w:r>
            <w:r w:rsidRPr="00B53423">
              <w:rPr>
                <w:b/>
              </w:rPr>
              <w:br/>
              <w:t>(Rs. / kWh)</w:t>
            </w:r>
          </w:p>
        </w:tc>
        <w:tc>
          <w:tcPr>
            <w:tcW w:w="773" w:type="pct"/>
            <w:shd w:val="clear" w:color="000000" w:fill="DBE5F1"/>
            <w:vAlign w:val="center"/>
            <w:hideMark/>
          </w:tcPr>
          <w:p w:rsidR="00DE37E0" w:rsidRPr="00B53423" w:rsidRDefault="00DE37E0" w:rsidP="0015232B">
            <w:pPr>
              <w:spacing w:before="0"/>
              <w:jc w:val="center"/>
              <w:rPr>
                <w:b/>
              </w:rPr>
            </w:pPr>
            <w:r w:rsidRPr="00B53423">
              <w:rPr>
                <w:b/>
              </w:rPr>
              <w:t>Avg Revenue / unit % of ACOS</w:t>
            </w:r>
          </w:p>
        </w:tc>
        <w:tc>
          <w:tcPr>
            <w:tcW w:w="773" w:type="pct"/>
            <w:shd w:val="clear" w:color="000000" w:fill="DBE5F1"/>
            <w:vAlign w:val="center"/>
            <w:hideMark/>
          </w:tcPr>
          <w:p w:rsidR="00DE37E0" w:rsidRPr="00B53423" w:rsidRDefault="00DE37E0" w:rsidP="0015232B">
            <w:pPr>
              <w:spacing w:before="0"/>
              <w:jc w:val="center"/>
              <w:rPr>
                <w:b/>
              </w:rPr>
            </w:pPr>
            <w:r w:rsidRPr="00B53423">
              <w:rPr>
                <w:b/>
              </w:rPr>
              <w:t>Avg Revenue</w:t>
            </w:r>
            <w:r w:rsidRPr="00B53423">
              <w:rPr>
                <w:b/>
              </w:rPr>
              <w:br/>
              <w:t>(Rs. / kWh)</w:t>
            </w:r>
          </w:p>
        </w:tc>
        <w:tc>
          <w:tcPr>
            <w:tcW w:w="771" w:type="pct"/>
            <w:shd w:val="clear" w:color="000000" w:fill="DBE5F1"/>
            <w:vAlign w:val="center"/>
            <w:hideMark/>
          </w:tcPr>
          <w:p w:rsidR="00DE37E0" w:rsidRPr="00B53423" w:rsidRDefault="00DE37E0" w:rsidP="0015232B">
            <w:pPr>
              <w:spacing w:before="0"/>
              <w:jc w:val="center"/>
              <w:rPr>
                <w:b/>
              </w:rPr>
            </w:pPr>
            <w:r w:rsidRPr="00B53423">
              <w:rPr>
                <w:b/>
              </w:rPr>
              <w:t>Avg Revenue / unit % of ACOS</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LMV-1: Domestic</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5.06</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83%</w:t>
            </w:r>
          </w:p>
        </w:tc>
        <w:tc>
          <w:tcPr>
            <w:tcW w:w="773" w:type="pct"/>
            <w:shd w:val="clear" w:color="auto" w:fill="auto"/>
            <w:noWrap/>
            <w:vAlign w:val="bottom"/>
            <w:hideMark/>
          </w:tcPr>
          <w:p w:rsidR="009D7F2B" w:rsidRPr="00B53423" w:rsidRDefault="009D7F2B" w:rsidP="001508FD">
            <w:pPr>
              <w:spacing w:before="0"/>
              <w:jc w:val="center"/>
            </w:pPr>
            <w:r w:rsidRPr="00B53423">
              <w:rPr>
                <w:rFonts w:cs="Calibri"/>
                <w:color w:val="000000"/>
                <w:sz w:val="20"/>
                <w:szCs w:val="20"/>
              </w:rPr>
              <w:t>5.</w:t>
            </w:r>
            <w:r w:rsidR="001508FD">
              <w:rPr>
                <w:rFonts w:cs="Calibri"/>
                <w:color w:val="000000"/>
                <w:sz w:val="20"/>
                <w:szCs w:val="20"/>
              </w:rPr>
              <w:t>28</w:t>
            </w:r>
          </w:p>
        </w:tc>
        <w:tc>
          <w:tcPr>
            <w:tcW w:w="771" w:type="pct"/>
            <w:shd w:val="clear" w:color="auto" w:fill="auto"/>
            <w:noWrap/>
            <w:vAlign w:val="bottom"/>
            <w:hideMark/>
          </w:tcPr>
          <w:p w:rsidR="009D7F2B" w:rsidRPr="00B53423" w:rsidRDefault="001508FD" w:rsidP="0015232B">
            <w:pPr>
              <w:spacing w:before="0"/>
              <w:jc w:val="center"/>
            </w:pPr>
            <w:r>
              <w:rPr>
                <w:rFonts w:cs="Calibri"/>
                <w:color w:val="000000"/>
                <w:sz w:val="20"/>
                <w:szCs w:val="20"/>
              </w:rPr>
              <w:t>87</w:t>
            </w:r>
            <w:r w:rsidR="009D7F2B" w:rsidRPr="00B53423">
              <w:rPr>
                <w:rFonts w:cs="Calibri"/>
                <w:color w:val="000000"/>
                <w:sz w:val="20"/>
                <w:szCs w:val="20"/>
              </w:rPr>
              <w:t>%</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LMV-2:Non-Domestic</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7.93</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130%</w:t>
            </w:r>
          </w:p>
        </w:tc>
        <w:tc>
          <w:tcPr>
            <w:tcW w:w="773" w:type="pct"/>
            <w:shd w:val="clear" w:color="auto" w:fill="auto"/>
            <w:noWrap/>
            <w:vAlign w:val="bottom"/>
            <w:hideMark/>
          </w:tcPr>
          <w:p w:rsidR="009D7F2B" w:rsidRPr="00B53423" w:rsidRDefault="009D7F2B" w:rsidP="001508FD">
            <w:pPr>
              <w:spacing w:before="0"/>
              <w:jc w:val="center"/>
            </w:pPr>
            <w:r w:rsidRPr="00B53423">
              <w:rPr>
                <w:rFonts w:cs="Calibri"/>
                <w:color w:val="000000"/>
                <w:sz w:val="20"/>
                <w:szCs w:val="20"/>
              </w:rPr>
              <w:t>8.</w:t>
            </w:r>
            <w:r w:rsidR="001508FD">
              <w:rPr>
                <w:rFonts w:cs="Calibri"/>
                <w:color w:val="000000"/>
                <w:sz w:val="20"/>
                <w:szCs w:val="20"/>
              </w:rPr>
              <w:t>21</w:t>
            </w:r>
          </w:p>
        </w:tc>
        <w:tc>
          <w:tcPr>
            <w:tcW w:w="771" w:type="pct"/>
            <w:shd w:val="clear" w:color="auto" w:fill="auto"/>
            <w:noWrap/>
            <w:vAlign w:val="bottom"/>
            <w:hideMark/>
          </w:tcPr>
          <w:p w:rsidR="009D7F2B" w:rsidRPr="00B53423" w:rsidRDefault="001508FD" w:rsidP="0015232B">
            <w:pPr>
              <w:spacing w:before="0"/>
              <w:jc w:val="center"/>
            </w:pPr>
            <w:r>
              <w:rPr>
                <w:rFonts w:cs="Calibri"/>
                <w:color w:val="000000"/>
                <w:sz w:val="20"/>
                <w:szCs w:val="20"/>
              </w:rPr>
              <w:t>135</w:t>
            </w:r>
            <w:r w:rsidR="009D7F2B" w:rsidRPr="00B53423">
              <w:rPr>
                <w:rFonts w:cs="Calibri"/>
                <w:color w:val="000000"/>
                <w:sz w:val="20"/>
                <w:szCs w:val="20"/>
              </w:rPr>
              <w:t>%</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LMV-3: Public Lamps</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6.94</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114%</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6.94</w:t>
            </w:r>
          </w:p>
        </w:tc>
        <w:tc>
          <w:tcPr>
            <w:tcW w:w="771"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114%</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LMV-4: Institutions</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7.18</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118%</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7.</w:t>
            </w:r>
            <w:r w:rsidR="001508FD">
              <w:rPr>
                <w:rFonts w:cs="Calibri"/>
                <w:color w:val="000000"/>
                <w:sz w:val="20"/>
                <w:szCs w:val="20"/>
              </w:rPr>
              <w:t>34</w:t>
            </w:r>
          </w:p>
        </w:tc>
        <w:tc>
          <w:tcPr>
            <w:tcW w:w="771" w:type="pct"/>
            <w:shd w:val="clear" w:color="auto" w:fill="auto"/>
            <w:noWrap/>
            <w:vAlign w:val="bottom"/>
            <w:hideMark/>
          </w:tcPr>
          <w:p w:rsidR="009D7F2B" w:rsidRPr="00B53423" w:rsidRDefault="001508FD" w:rsidP="0015232B">
            <w:pPr>
              <w:spacing w:before="0"/>
              <w:jc w:val="center"/>
            </w:pPr>
            <w:r>
              <w:rPr>
                <w:rFonts w:cs="Calibri"/>
                <w:color w:val="000000"/>
                <w:sz w:val="20"/>
                <w:szCs w:val="20"/>
              </w:rPr>
              <w:t>120</w:t>
            </w:r>
            <w:r w:rsidR="009D7F2B" w:rsidRPr="00B53423">
              <w:rPr>
                <w:rFonts w:cs="Calibri"/>
                <w:color w:val="000000"/>
                <w:sz w:val="20"/>
                <w:szCs w:val="20"/>
              </w:rPr>
              <w:t>%</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LMV-5: Private Tube Wells</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3.73</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61%</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4.</w:t>
            </w:r>
            <w:r w:rsidR="001508FD">
              <w:rPr>
                <w:rFonts w:cs="Calibri"/>
                <w:color w:val="000000"/>
                <w:sz w:val="20"/>
                <w:szCs w:val="20"/>
              </w:rPr>
              <w:t>91</w:t>
            </w:r>
          </w:p>
        </w:tc>
        <w:tc>
          <w:tcPr>
            <w:tcW w:w="771" w:type="pct"/>
            <w:shd w:val="clear" w:color="auto" w:fill="auto"/>
            <w:noWrap/>
            <w:vAlign w:val="bottom"/>
            <w:hideMark/>
          </w:tcPr>
          <w:p w:rsidR="009D7F2B" w:rsidRPr="00B53423" w:rsidRDefault="001508FD" w:rsidP="0015232B">
            <w:pPr>
              <w:spacing w:before="0"/>
              <w:jc w:val="center"/>
            </w:pPr>
            <w:r>
              <w:rPr>
                <w:rFonts w:cs="Calibri"/>
                <w:color w:val="000000"/>
                <w:sz w:val="20"/>
                <w:szCs w:val="20"/>
              </w:rPr>
              <w:t>81</w:t>
            </w:r>
            <w:r w:rsidR="009D7F2B" w:rsidRPr="00B53423">
              <w:rPr>
                <w:rFonts w:cs="Calibri"/>
                <w:color w:val="000000"/>
                <w:sz w:val="20"/>
                <w:szCs w:val="20"/>
              </w:rPr>
              <w:t>%</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LMV 6: Small and Medium Power</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6.68</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110%</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7.</w:t>
            </w:r>
            <w:r w:rsidR="001508FD">
              <w:rPr>
                <w:rFonts w:cs="Calibri"/>
                <w:color w:val="000000"/>
                <w:sz w:val="20"/>
                <w:szCs w:val="20"/>
              </w:rPr>
              <w:t>40</w:t>
            </w:r>
          </w:p>
        </w:tc>
        <w:tc>
          <w:tcPr>
            <w:tcW w:w="771" w:type="pct"/>
            <w:shd w:val="clear" w:color="auto" w:fill="auto"/>
            <w:noWrap/>
            <w:vAlign w:val="bottom"/>
            <w:hideMark/>
          </w:tcPr>
          <w:p w:rsidR="009D7F2B" w:rsidRPr="00B53423" w:rsidRDefault="001508FD" w:rsidP="0015232B">
            <w:pPr>
              <w:spacing w:before="0"/>
              <w:jc w:val="center"/>
            </w:pPr>
            <w:r>
              <w:rPr>
                <w:rFonts w:cs="Calibri"/>
                <w:color w:val="000000"/>
                <w:sz w:val="20"/>
                <w:szCs w:val="20"/>
              </w:rPr>
              <w:t>122</w:t>
            </w:r>
            <w:r w:rsidR="009D7F2B" w:rsidRPr="00B53423">
              <w:rPr>
                <w:rFonts w:cs="Calibri"/>
                <w:color w:val="000000"/>
                <w:sz w:val="20"/>
                <w:szCs w:val="20"/>
              </w:rPr>
              <w:t>%</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LMV-7: Public Water Works</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8.12</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133%</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8.</w:t>
            </w:r>
            <w:r w:rsidR="001508FD">
              <w:rPr>
                <w:rFonts w:cs="Calibri"/>
                <w:color w:val="000000"/>
                <w:sz w:val="20"/>
                <w:szCs w:val="20"/>
              </w:rPr>
              <w:t>67</w:t>
            </w:r>
          </w:p>
        </w:tc>
        <w:tc>
          <w:tcPr>
            <w:tcW w:w="771" w:type="pct"/>
            <w:shd w:val="clear" w:color="auto" w:fill="auto"/>
            <w:noWrap/>
            <w:vAlign w:val="bottom"/>
            <w:hideMark/>
          </w:tcPr>
          <w:p w:rsidR="009D7F2B" w:rsidRPr="00B53423" w:rsidRDefault="001508FD" w:rsidP="0015232B">
            <w:pPr>
              <w:spacing w:before="0"/>
              <w:jc w:val="center"/>
            </w:pPr>
            <w:r>
              <w:rPr>
                <w:rFonts w:cs="Calibri"/>
                <w:color w:val="000000"/>
                <w:sz w:val="20"/>
                <w:szCs w:val="20"/>
              </w:rPr>
              <w:t>142</w:t>
            </w:r>
            <w:r w:rsidR="009D7F2B" w:rsidRPr="00B53423">
              <w:rPr>
                <w:rFonts w:cs="Calibri"/>
                <w:color w:val="000000"/>
                <w:sz w:val="20"/>
                <w:szCs w:val="20"/>
              </w:rPr>
              <w:t>%</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LMV-8: State Tube Wells</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0.00</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0.00</w:t>
            </w:r>
          </w:p>
        </w:tc>
        <w:tc>
          <w:tcPr>
            <w:tcW w:w="771"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LMV-9: Temporary Supply</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6.45</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106%</w:t>
            </w:r>
          </w:p>
        </w:tc>
        <w:tc>
          <w:tcPr>
            <w:tcW w:w="773" w:type="pct"/>
            <w:shd w:val="clear" w:color="auto" w:fill="auto"/>
            <w:noWrap/>
            <w:vAlign w:val="bottom"/>
            <w:hideMark/>
          </w:tcPr>
          <w:p w:rsidR="009D7F2B" w:rsidRPr="00B53423" w:rsidRDefault="001508FD" w:rsidP="0015232B">
            <w:pPr>
              <w:spacing w:before="0"/>
              <w:jc w:val="center"/>
            </w:pPr>
            <w:r>
              <w:rPr>
                <w:rFonts w:cs="Calibri"/>
                <w:color w:val="000000"/>
                <w:sz w:val="20"/>
                <w:szCs w:val="20"/>
              </w:rPr>
              <w:t>7.15</w:t>
            </w:r>
          </w:p>
        </w:tc>
        <w:tc>
          <w:tcPr>
            <w:tcW w:w="771" w:type="pct"/>
            <w:shd w:val="clear" w:color="auto" w:fill="auto"/>
            <w:noWrap/>
            <w:vAlign w:val="bottom"/>
            <w:hideMark/>
          </w:tcPr>
          <w:p w:rsidR="009D7F2B" w:rsidRPr="00B53423" w:rsidRDefault="001508FD" w:rsidP="0015232B">
            <w:pPr>
              <w:spacing w:before="0"/>
              <w:jc w:val="center"/>
            </w:pPr>
            <w:r>
              <w:rPr>
                <w:rFonts w:cs="Calibri"/>
                <w:color w:val="000000"/>
                <w:sz w:val="20"/>
                <w:szCs w:val="20"/>
              </w:rPr>
              <w:t>117</w:t>
            </w:r>
            <w:r w:rsidR="009D7F2B" w:rsidRPr="00B53423">
              <w:rPr>
                <w:rFonts w:cs="Calibri"/>
                <w:color w:val="000000"/>
                <w:sz w:val="20"/>
                <w:szCs w:val="20"/>
              </w:rPr>
              <w:t>%</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LMV-10: Departmental Employees</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3.38</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56%</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4.</w:t>
            </w:r>
            <w:r w:rsidR="001508FD">
              <w:rPr>
                <w:rFonts w:cs="Calibri"/>
                <w:color w:val="000000"/>
                <w:sz w:val="20"/>
                <w:szCs w:val="20"/>
              </w:rPr>
              <w:t>73</w:t>
            </w:r>
          </w:p>
        </w:tc>
        <w:tc>
          <w:tcPr>
            <w:tcW w:w="771" w:type="pct"/>
            <w:shd w:val="clear" w:color="auto" w:fill="auto"/>
            <w:noWrap/>
            <w:vAlign w:val="bottom"/>
            <w:hideMark/>
          </w:tcPr>
          <w:p w:rsidR="009D7F2B" w:rsidRPr="00B53423" w:rsidRDefault="001508FD" w:rsidP="0015232B">
            <w:pPr>
              <w:spacing w:before="0"/>
              <w:jc w:val="center"/>
            </w:pPr>
            <w:r>
              <w:rPr>
                <w:rFonts w:cs="Calibri"/>
                <w:color w:val="000000"/>
                <w:sz w:val="20"/>
                <w:szCs w:val="20"/>
              </w:rPr>
              <w:t>78</w:t>
            </w:r>
            <w:r w:rsidR="009D7F2B" w:rsidRPr="00B53423">
              <w:rPr>
                <w:rFonts w:cs="Calibri"/>
                <w:color w:val="000000"/>
                <w:sz w:val="20"/>
                <w:szCs w:val="20"/>
              </w:rPr>
              <w:t>%</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HV-1: Non-Industrial Bulk Loads</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7.13</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117%</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7.</w:t>
            </w:r>
            <w:r w:rsidR="001508FD">
              <w:rPr>
                <w:rFonts w:cs="Calibri"/>
                <w:color w:val="000000"/>
                <w:sz w:val="20"/>
                <w:szCs w:val="20"/>
              </w:rPr>
              <w:t>82</w:t>
            </w:r>
          </w:p>
        </w:tc>
        <w:tc>
          <w:tcPr>
            <w:tcW w:w="771" w:type="pct"/>
            <w:shd w:val="clear" w:color="auto" w:fill="auto"/>
            <w:noWrap/>
            <w:vAlign w:val="bottom"/>
            <w:hideMark/>
          </w:tcPr>
          <w:p w:rsidR="009D7F2B" w:rsidRPr="00B53423" w:rsidRDefault="001508FD" w:rsidP="0015232B">
            <w:pPr>
              <w:spacing w:before="0"/>
              <w:jc w:val="center"/>
            </w:pPr>
            <w:r>
              <w:rPr>
                <w:rFonts w:cs="Calibri"/>
                <w:color w:val="000000"/>
                <w:sz w:val="20"/>
                <w:szCs w:val="20"/>
              </w:rPr>
              <w:t>128</w:t>
            </w:r>
            <w:r w:rsidR="009D7F2B" w:rsidRPr="00B53423">
              <w:rPr>
                <w:rFonts w:cs="Calibri"/>
                <w:color w:val="000000"/>
                <w:sz w:val="20"/>
                <w:szCs w:val="20"/>
              </w:rPr>
              <w:t>%</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HV-2: Large and Heavy Power</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6.94</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114%</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7.</w:t>
            </w:r>
            <w:r w:rsidR="001508FD">
              <w:rPr>
                <w:rFonts w:cs="Calibri"/>
                <w:color w:val="000000"/>
                <w:sz w:val="20"/>
                <w:szCs w:val="20"/>
              </w:rPr>
              <w:t>35</w:t>
            </w:r>
          </w:p>
        </w:tc>
        <w:tc>
          <w:tcPr>
            <w:tcW w:w="771" w:type="pct"/>
            <w:shd w:val="clear" w:color="auto" w:fill="auto"/>
            <w:noWrap/>
            <w:vAlign w:val="bottom"/>
            <w:hideMark/>
          </w:tcPr>
          <w:p w:rsidR="009D7F2B" w:rsidRPr="00B53423" w:rsidRDefault="001508FD" w:rsidP="0015232B">
            <w:pPr>
              <w:spacing w:before="0"/>
              <w:jc w:val="center"/>
            </w:pPr>
            <w:r>
              <w:rPr>
                <w:rFonts w:cs="Calibri"/>
                <w:color w:val="000000"/>
                <w:sz w:val="20"/>
                <w:szCs w:val="20"/>
              </w:rPr>
              <w:t>121</w:t>
            </w:r>
            <w:r w:rsidR="009D7F2B" w:rsidRPr="00B53423">
              <w:rPr>
                <w:rFonts w:cs="Calibri"/>
                <w:color w:val="000000"/>
                <w:sz w:val="20"/>
                <w:szCs w:val="20"/>
              </w:rPr>
              <w:t>%</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HV-3: Railway Traction</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0.00</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0.00</w:t>
            </w:r>
          </w:p>
        </w:tc>
        <w:tc>
          <w:tcPr>
            <w:tcW w:w="771"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HV-4: Lift Irrigation</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0.00</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0.00</w:t>
            </w:r>
          </w:p>
        </w:tc>
        <w:tc>
          <w:tcPr>
            <w:tcW w:w="771"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w:t>
            </w:r>
          </w:p>
        </w:tc>
      </w:tr>
      <w:tr w:rsidR="009D7F2B" w:rsidRPr="00B53423" w:rsidTr="00856959">
        <w:trPr>
          <w:trHeight w:val="292"/>
        </w:trPr>
        <w:tc>
          <w:tcPr>
            <w:tcW w:w="1911" w:type="pct"/>
            <w:shd w:val="clear" w:color="auto" w:fill="auto"/>
            <w:noWrap/>
            <w:vAlign w:val="center"/>
            <w:hideMark/>
          </w:tcPr>
          <w:p w:rsidR="009D7F2B" w:rsidRPr="00B53423" w:rsidRDefault="009464AE" w:rsidP="0015232B">
            <w:pPr>
              <w:spacing w:before="0"/>
              <w:rPr>
                <w:b/>
              </w:rPr>
            </w:pPr>
            <w:r w:rsidRPr="00B53423">
              <w:rPr>
                <w:b/>
              </w:rPr>
              <w:t>Sub-Total</w:t>
            </w:r>
          </w:p>
        </w:tc>
        <w:tc>
          <w:tcPr>
            <w:tcW w:w="772" w:type="pct"/>
            <w:shd w:val="clear" w:color="auto" w:fill="auto"/>
            <w:noWrap/>
            <w:vAlign w:val="bottom"/>
            <w:hideMark/>
          </w:tcPr>
          <w:p w:rsidR="009D7F2B" w:rsidRPr="00B53423" w:rsidRDefault="009464AE" w:rsidP="0015232B">
            <w:pPr>
              <w:spacing w:before="0"/>
              <w:jc w:val="center"/>
              <w:rPr>
                <w:rFonts w:cs="Calibri"/>
                <w:b/>
                <w:color w:val="000000"/>
                <w:sz w:val="20"/>
                <w:szCs w:val="20"/>
              </w:rPr>
            </w:pPr>
            <w:r w:rsidRPr="00B53423">
              <w:rPr>
                <w:rFonts w:cs="Calibri"/>
                <w:b/>
                <w:color w:val="000000"/>
                <w:sz w:val="20"/>
                <w:szCs w:val="20"/>
              </w:rPr>
              <w:t>6.17</w:t>
            </w:r>
          </w:p>
        </w:tc>
        <w:tc>
          <w:tcPr>
            <w:tcW w:w="773" w:type="pct"/>
            <w:shd w:val="clear" w:color="auto" w:fill="auto"/>
            <w:noWrap/>
            <w:vAlign w:val="bottom"/>
            <w:hideMark/>
          </w:tcPr>
          <w:p w:rsidR="009D7F2B" w:rsidRPr="00B53423" w:rsidRDefault="009464AE" w:rsidP="0015232B">
            <w:pPr>
              <w:spacing w:before="0"/>
              <w:jc w:val="center"/>
              <w:rPr>
                <w:rFonts w:cs="Calibri"/>
                <w:b/>
                <w:color w:val="000000"/>
                <w:sz w:val="20"/>
                <w:szCs w:val="20"/>
              </w:rPr>
            </w:pPr>
            <w:r w:rsidRPr="00B53423">
              <w:rPr>
                <w:rFonts w:cs="Calibri"/>
                <w:b/>
                <w:color w:val="000000"/>
                <w:sz w:val="20"/>
                <w:szCs w:val="20"/>
              </w:rPr>
              <w:t>101%</w:t>
            </w:r>
          </w:p>
        </w:tc>
        <w:tc>
          <w:tcPr>
            <w:tcW w:w="773" w:type="pct"/>
            <w:shd w:val="clear" w:color="auto" w:fill="auto"/>
            <w:noWrap/>
            <w:vAlign w:val="bottom"/>
            <w:hideMark/>
          </w:tcPr>
          <w:p w:rsidR="009D7F2B" w:rsidRPr="00B53423" w:rsidRDefault="009464AE" w:rsidP="0015232B">
            <w:pPr>
              <w:spacing w:before="0"/>
              <w:jc w:val="center"/>
              <w:rPr>
                <w:rFonts w:cs="Calibri"/>
                <w:b/>
                <w:color w:val="000000"/>
                <w:sz w:val="20"/>
                <w:szCs w:val="20"/>
              </w:rPr>
            </w:pPr>
            <w:r w:rsidRPr="00B53423">
              <w:rPr>
                <w:rFonts w:cs="Calibri"/>
                <w:b/>
                <w:color w:val="000000"/>
                <w:sz w:val="20"/>
                <w:szCs w:val="20"/>
              </w:rPr>
              <w:t>6.</w:t>
            </w:r>
            <w:r w:rsidR="001508FD">
              <w:rPr>
                <w:rFonts w:cs="Calibri"/>
                <w:b/>
                <w:color w:val="000000"/>
                <w:sz w:val="20"/>
                <w:szCs w:val="20"/>
              </w:rPr>
              <w:t>52</w:t>
            </w:r>
          </w:p>
        </w:tc>
        <w:tc>
          <w:tcPr>
            <w:tcW w:w="771" w:type="pct"/>
            <w:shd w:val="clear" w:color="auto" w:fill="auto"/>
            <w:noWrap/>
            <w:vAlign w:val="bottom"/>
            <w:hideMark/>
          </w:tcPr>
          <w:p w:rsidR="009D7F2B" w:rsidRPr="00B53423" w:rsidRDefault="001508FD" w:rsidP="0015232B">
            <w:pPr>
              <w:spacing w:before="0"/>
              <w:jc w:val="center"/>
              <w:rPr>
                <w:rFonts w:cs="Calibri"/>
                <w:b/>
                <w:color w:val="000000"/>
                <w:sz w:val="20"/>
                <w:szCs w:val="20"/>
              </w:rPr>
            </w:pPr>
            <w:r>
              <w:rPr>
                <w:rFonts w:cs="Calibri"/>
                <w:b/>
                <w:color w:val="000000"/>
                <w:sz w:val="20"/>
                <w:szCs w:val="20"/>
              </w:rPr>
              <w:t>107</w:t>
            </w:r>
            <w:r w:rsidR="009464AE" w:rsidRPr="00B53423">
              <w:rPr>
                <w:rFonts w:cs="Calibri"/>
                <w:b/>
                <w:color w:val="000000"/>
                <w:sz w:val="20"/>
                <w:szCs w:val="20"/>
              </w:rPr>
              <w:t>%</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pPr>
            <w:r w:rsidRPr="00B53423">
              <w:t>Extra state &amp; Bulk</w:t>
            </w:r>
          </w:p>
        </w:tc>
        <w:tc>
          <w:tcPr>
            <w:tcW w:w="772"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0.00</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w:t>
            </w:r>
          </w:p>
        </w:tc>
        <w:tc>
          <w:tcPr>
            <w:tcW w:w="773"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0.00</w:t>
            </w:r>
          </w:p>
        </w:tc>
        <w:tc>
          <w:tcPr>
            <w:tcW w:w="771" w:type="pct"/>
            <w:shd w:val="clear" w:color="auto" w:fill="auto"/>
            <w:noWrap/>
            <w:vAlign w:val="bottom"/>
            <w:hideMark/>
          </w:tcPr>
          <w:p w:rsidR="009D7F2B" w:rsidRPr="00B53423" w:rsidRDefault="009D7F2B" w:rsidP="0015232B">
            <w:pPr>
              <w:spacing w:before="0"/>
              <w:jc w:val="center"/>
            </w:pPr>
            <w:r w:rsidRPr="00B53423">
              <w:rPr>
                <w:rFonts w:cs="Calibri"/>
                <w:color w:val="000000"/>
                <w:sz w:val="20"/>
                <w:szCs w:val="20"/>
              </w:rPr>
              <w:t>0%</w:t>
            </w:r>
          </w:p>
        </w:tc>
      </w:tr>
      <w:tr w:rsidR="009D7F2B" w:rsidRPr="00B53423" w:rsidTr="00856959">
        <w:trPr>
          <w:trHeight w:val="292"/>
        </w:trPr>
        <w:tc>
          <w:tcPr>
            <w:tcW w:w="1911" w:type="pct"/>
            <w:shd w:val="clear" w:color="auto" w:fill="auto"/>
            <w:noWrap/>
            <w:vAlign w:val="center"/>
            <w:hideMark/>
          </w:tcPr>
          <w:p w:rsidR="009D7F2B" w:rsidRPr="00B53423" w:rsidRDefault="009D7F2B" w:rsidP="0015232B">
            <w:pPr>
              <w:spacing w:before="0"/>
              <w:rPr>
                <w:b/>
              </w:rPr>
            </w:pPr>
            <w:r w:rsidRPr="00B53423">
              <w:rPr>
                <w:b/>
              </w:rPr>
              <w:t>Total</w:t>
            </w:r>
          </w:p>
        </w:tc>
        <w:tc>
          <w:tcPr>
            <w:tcW w:w="772" w:type="pct"/>
            <w:shd w:val="clear" w:color="auto" w:fill="auto"/>
            <w:noWrap/>
            <w:vAlign w:val="bottom"/>
            <w:hideMark/>
          </w:tcPr>
          <w:p w:rsidR="009D7F2B" w:rsidRPr="00B53423" w:rsidRDefault="009464AE" w:rsidP="0015232B">
            <w:pPr>
              <w:spacing w:before="0"/>
              <w:jc w:val="center"/>
              <w:rPr>
                <w:b/>
              </w:rPr>
            </w:pPr>
            <w:r w:rsidRPr="00B53423">
              <w:rPr>
                <w:rFonts w:cs="Calibri"/>
                <w:b/>
                <w:color w:val="000000"/>
                <w:sz w:val="20"/>
                <w:szCs w:val="20"/>
              </w:rPr>
              <w:t>6.17</w:t>
            </w:r>
          </w:p>
        </w:tc>
        <w:tc>
          <w:tcPr>
            <w:tcW w:w="773" w:type="pct"/>
            <w:shd w:val="clear" w:color="auto" w:fill="auto"/>
            <w:noWrap/>
            <w:vAlign w:val="bottom"/>
            <w:hideMark/>
          </w:tcPr>
          <w:p w:rsidR="009D7F2B" w:rsidRPr="00B53423" w:rsidRDefault="009464AE" w:rsidP="0015232B">
            <w:pPr>
              <w:spacing w:before="0"/>
              <w:jc w:val="center"/>
              <w:rPr>
                <w:b/>
              </w:rPr>
            </w:pPr>
            <w:r w:rsidRPr="00B53423">
              <w:rPr>
                <w:rFonts w:cs="Calibri"/>
                <w:b/>
                <w:color w:val="000000"/>
                <w:sz w:val="20"/>
                <w:szCs w:val="20"/>
              </w:rPr>
              <w:t>101%</w:t>
            </w:r>
          </w:p>
        </w:tc>
        <w:tc>
          <w:tcPr>
            <w:tcW w:w="773" w:type="pct"/>
            <w:shd w:val="clear" w:color="auto" w:fill="auto"/>
            <w:noWrap/>
            <w:vAlign w:val="bottom"/>
            <w:hideMark/>
          </w:tcPr>
          <w:p w:rsidR="009D7F2B" w:rsidRPr="00B53423" w:rsidRDefault="009464AE" w:rsidP="0015232B">
            <w:pPr>
              <w:spacing w:before="0"/>
              <w:jc w:val="center"/>
              <w:rPr>
                <w:b/>
              </w:rPr>
            </w:pPr>
            <w:r w:rsidRPr="00B53423">
              <w:rPr>
                <w:rFonts w:cs="Calibri"/>
                <w:b/>
                <w:color w:val="000000"/>
                <w:sz w:val="20"/>
                <w:szCs w:val="20"/>
              </w:rPr>
              <w:t>6.</w:t>
            </w:r>
            <w:r w:rsidR="001508FD">
              <w:rPr>
                <w:rFonts w:cs="Calibri"/>
                <w:b/>
                <w:color w:val="000000"/>
                <w:sz w:val="20"/>
                <w:szCs w:val="20"/>
              </w:rPr>
              <w:t>52</w:t>
            </w:r>
          </w:p>
        </w:tc>
        <w:tc>
          <w:tcPr>
            <w:tcW w:w="771" w:type="pct"/>
            <w:shd w:val="clear" w:color="auto" w:fill="auto"/>
            <w:noWrap/>
            <w:vAlign w:val="bottom"/>
            <w:hideMark/>
          </w:tcPr>
          <w:p w:rsidR="009D7F2B" w:rsidRPr="00B53423" w:rsidRDefault="001508FD" w:rsidP="0015232B">
            <w:pPr>
              <w:spacing w:before="0"/>
              <w:jc w:val="center"/>
              <w:rPr>
                <w:b/>
              </w:rPr>
            </w:pPr>
            <w:r>
              <w:rPr>
                <w:rFonts w:cs="Calibri"/>
                <w:b/>
                <w:color w:val="000000"/>
                <w:sz w:val="20"/>
                <w:szCs w:val="20"/>
              </w:rPr>
              <w:t>107</w:t>
            </w:r>
            <w:r w:rsidR="009464AE" w:rsidRPr="00B53423">
              <w:rPr>
                <w:rFonts w:cs="Calibri"/>
                <w:b/>
                <w:color w:val="000000"/>
                <w:sz w:val="20"/>
                <w:szCs w:val="20"/>
              </w:rPr>
              <w:t>%</w:t>
            </w:r>
          </w:p>
        </w:tc>
      </w:tr>
    </w:tbl>
    <w:p w:rsidR="00DE37E0" w:rsidRPr="00B53423" w:rsidRDefault="00DE37E0" w:rsidP="0015232B">
      <w:pPr>
        <w:spacing w:before="0"/>
      </w:pPr>
    </w:p>
    <w:p w:rsidR="008E5045" w:rsidRPr="00B53423" w:rsidRDefault="00533B3D" w:rsidP="0015232B">
      <w:pPr>
        <w:pStyle w:val="Heading2"/>
        <w:keepNext w:val="0"/>
        <w:ind w:left="720" w:hanging="1080"/>
      </w:pPr>
      <w:bookmarkStart w:id="981" w:name="_Toc399626252"/>
      <w:r w:rsidRPr="00B53423">
        <w:t>TREATMENT OF REVENUE GAP</w:t>
      </w:r>
      <w:bookmarkEnd w:id="981"/>
    </w:p>
    <w:p w:rsidR="008E5045" w:rsidRPr="00B53423" w:rsidRDefault="008E5045" w:rsidP="0015232B">
      <w:pPr>
        <w:pStyle w:val="Heading3"/>
        <w:keepNext w:val="0"/>
        <w:numPr>
          <w:ilvl w:val="0"/>
          <w:numId w:val="0"/>
        </w:numPr>
        <w:ind w:left="936"/>
      </w:pPr>
    </w:p>
    <w:p w:rsidR="009D7F2B" w:rsidRPr="00B53423" w:rsidRDefault="00533B3D" w:rsidP="0015232B">
      <w:pPr>
        <w:pStyle w:val="Heading3"/>
        <w:keepNext w:val="0"/>
        <w:ind w:hanging="1080"/>
      </w:pPr>
      <w:r w:rsidRPr="00B53423">
        <w:t>It may be observed that even after a considerable increase in Tariff allowed by the Commission in this Order, there is still a considerable accumulated revenue gap of Rs. 5</w:t>
      </w:r>
      <w:r w:rsidR="009D7F2B" w:rsidRPr="00B53423">
        <w:t>15.02</w:t>
      </w:r>
      <w:r w:rsidRPr="00B53423">
        <w:t xml:space="preserve"> Crore. The huge and ever increasing cumulative outstanding revenue gap to be recovered from the consumers is a matter of great concern for the Commission as well as the Licensee. The consumers on the other hand are aggrieved with the poor quality of supply and services being rendered by the Licensee and the constantly rising tariff. </w:t>
      </w:r>
      <w:r w:rsidR="009D7F2B" w:rsidRPr="00B53423">
        <w:t xml:space="preserve">The Commission issued an In-house paper on recovery of the cumulative revenue gap in which it was stated that </w:t>
      </w:r>
      <w:r w:rsidR="009D7F2B" w:rsidRPr="00B53423">
        <w:rPr>
          <w:rFonts w:eastAsiaTheme="minorHAnsi"/>
          <w:lang w:val="en-US"/>
        </w:rPr>
        <w:t>the recovery of the accumulated revenue gap if allowed to be recovered in less than three years may result in a massive tariff shock for the consumers. In view of the same and considering such a huge amount of accumulated revenue gap / regulatory asset, the Commission in its In-House paper proposed the recovery of the same in more than 3 years to avoid any tariff shock to the consumers. The above methodology may however be in variation with the provisions of the Distribution Tariff Regulations, 2006 and the findings of the Hon’ble ATE in its Judgment in OP No. 1 of 2011 but would be the most appropriate way for recovering the gap in the current scenario of large accumulated rev</w:t>
      </w:r>
      <w:r w:rsidR="00AE35CF" w:rsidRPr="00B53423">
        <w:rPr>
          <w:rFonts w:eastAsiaTheme="minorHAnsi"/>
          <w:lang w:val="en-US"/>
        </w:rPr>
        <w:t>enue gap. However, the Licensee</w:t>
      </w:r>
      <w:r w:rsidR="009D7F2B" w:rsidRPr="00B53423">
        <w:rPr>
          <w:rFonts w:eastAsiaTheme="minorHAnsi"/>
          <w:lang w:val="en-US"/>
        </w:rPr>
        <w:t xml:space="preserve"> submitted that the recovery of the accumulated revenue gap / regulatory asset may be allowed in a period not exceeding 3 years at the most and preferably within the control period which is line with the findings of the Hon’ble ATE.</w:t>
      </w:r>
    </w:p>
    <w:p w:rsidR="005B31C0" w:rsidRPr="00B53423" w:rsidRDefault="005B31C0" w:rsidP="0015232B">
      <w:pPr>
        <w:pStyle w:val="Heading3"/>
        <w:keepNext w:val="0"/>
        <w:numPr>
          <w:ilvl w:val="0"/>
          <w:numId w:val="0"/>
        </w:numPr>
        <w:ind w:left="720"/>
      </w:pPr>
    </w:p>
    <w:p w:rsidR="009D7F2B" w:rsidRPr="00B53423" w:rsidRDefault="009D7F2B" w:rsidP="0015232B">
      <w:pPr>
        <w:pStyle w:val="Heading3"/>
        <w:keepNext w:val="0"/>
        <w:ind w:hanging="1080"/>
      </w:pPr>
      <w:r w:rsidRPr="00B53423">
        <w:rPr>
          <w:rFonts w:eastAsiaTheme="minorHAnsi"/>
          <w:lang w:val="en-US"/>
        </w:rPr>
        <w:t xml:space="preserve">It may be noted that the total accumulated revenue gap / regulatory asset of Rs. </w:t>
      </w:r>
      <w:r w:rsidR="00AE35CF" w:rsidRPr="00B53423">
        <w:t>5</w:t>
      </w:r>
      <w:r w:rsidR="00902C01">
        <w:t>59.01</w:t>
      </w:r>
      <w:r w:rsidRPr="00B53423">
        <w:rPr>
          <w:rFonts w:eastAsiaTheme="minorHAnsi"/>
          <w:lang w:val="en-US"/>
        </w:rPr>
        <w:t xml:space="preserve"> Crore if allowed to be recovered within 3 years would result in an additional regulatory surcharge of around </w:t>
      </w:r>
      <w:r w:rsidR="00241434" w:rsidRPr="00B53423">
        <w:rPr>
          <w:rFonts w:eastAsiaTheme="minorHAnsi"/>
          <w:lang w:val="en-US"/>
        </w:rPr>
        <w:t>15</w:t>
      </w:r>
      <w:r w:rsidRPr="00B53423">
        <w:rPr>
          <w:rFonts w:eastAsiaTheme="minorHAnsi"/>
          <w:lang w:val="en-US"/>
        </w:rPr>
        <w:t>%. It may be noted that along with other reasons the major reasons which have resulted in such a huge accumulated revenue gap / regulatory asset are (a) Not filling the FPPPCA Petition and (b) Late filing of the True-up Petitions. If the Licensees would have filed the FPPPCA and True-up Petitions on time the accumulated revenue gap / regulatory asset would have been much lower. And in such a case the recovery of the same could have been allowed within 3 years of time. However, in the current scenario it would not be appropriate to give a huge tariff shock to the consumers. Also the Hon’ble ATE in its various Judgments has ruled that the increase in Tariff should not result in tariff shock for the consumers. A relevant extract of the Hon’ble ATE’s Judgment in Appeal No.10 of 2013 &amp; I.A. Nos. 29 &amp; 30 of 2013 dated 25</w:t>
      </w:r>
      <w:r w:rsidRPr="00B53423">
        <w:rPr>
          <w:rFonts w:eastAsiaTheme="minorHAnsi"/>
          <w:vertAlign w:val="superscript"/>
          <w:lang w:val="en-US"/>
        </w:rPr>
        <w:t>th</w:t>
      </w:r>
      <w:r w:rsidRPr="00B53423">
        <w:rPr>
          <w:rFonts w:eastAsiaTheme="minorHAnsi"/>
          <w:lang w:val="en-US"/>
        </w:rPr>
        <w:t xml:space="preserve"> October, 2013 in matter of Association of Approved &amp; Classified Hotels vs Kerala State Electricity Regulatory Commission and Kerala State Electricity Board is reproduced below</w:t>
      </w:r>
      <w:r w:rsidR="00241434" w:rsidRPr="00B53423">
        <w:rPr>
          <w:rFonts w:eastAsiaTheme="minorHAnsi"/>
          <w:lang w:val="en-US"/>
        </w:rPr>
        <w:t>:</w:t>
      </w:r>
    </w:p>
    <w:p w:rsidR="00241434" w:rsidRPr="00B53423" w:rsidRDefault="00241434" w:rsidP="0015232B">
      <w:pPr>
        <w:pStyle w:val="Heading3"/>
        <w:keepNext w:val="0"/>
        <w:numPr>
          <w:ilvl w:val="0"/>
          <w:numId w:val="0"/>
        </w:numPr>
        <w:ind w:left="810" w:firstLine="630"/>
        <w:rPr>
          <w:b/>
          <w:i/>
          <w:u w:val="single"/>
        </w:rPr>
      </w:pPr>
      <w:r w:rsidRPr="00B53423">
        <w:rPr>
          <w:b/>
          <w:i/>
          <w:u w:val="single"/>
        </w:rPr>
        <w:t>“21. Summary of our findings</w:t>
      </w:r>
    </w:p>
    <w:p w:rsidR="00241434" w:rsidRPr="00B53423" w:rsidRDefault="00241434" w:rsidP="0015232B">
      <w:pPr>
        <w:pStyle w:val="Heading3"/>
        <w:keepNext w:val="0"/>
        <w:numPr>
          <w:ilvl w:val="0"/>
          <w:numId w:val="0"/>
        </w:numPr>
        <w:ind w:left="1440"/>
        <w:rPr>
          <w:i/>
        </w:rPr>
      </w:pPr>
      <w:r w:rsidRPr="00B53423">
        <w:rPr>
          <w:i/>
        </w:rPr>
        <w:t>The tariff determined by the State Commission for HT IV Commercial Category is inconsistent with the provisions of Act and Tariff Policy and the dictum held by this Tribunal in various judgments. The tariff of consumers of this category has been increased exorbitantly giving them tariff shock. Accordingly, the tariff fixed by the State Commission for HT IV Commercial Category is set aside and they will be charged at the tariff as proposed by the Electricity Board in their petition to the State Commission i.e. fixed charges of Rs. 400 per kVA per month and energy charges of Rs. 5.50 per kWh…”</w:t>
      </w:r>
    </w:p>
    <w:p w:rsidR="005B31C0" w:rsidRPr="00B53423" w:rsidRDefault="005B31C0" w:rsidP="0015232B">
      <w:pPr>
        <w:pStyle w:val="Heading3"/>
        <w:keepNext w:val="0"/>
        <w:numPr>
          <w:ilvl w:val="0"/>
          <w:numId w:val="0"/>
        </w:numPr>
        <w:ind w:left="720"/>
      </w:pPr>
    </w:p>
    <w:p w:rsidR="005B31C0" w:rsidRPr="00B53423" w:rsidRDefault="00241434" w:rsidP="0015232B">
      <w:pPr>
        <w:pStyle w:val="Heading3"/>
        <w:keepNext w:val="0"/>
        <w:ind w:hanging="1080"/>
      </w:pPr>
      <w:r w:rsidRPr="00B53423">
        <w:t>G</w:t>
      </w:r>
      <w:r w:rsidRPr="00B53423">
        <w:rPr>
          <w:bCs w:val="0"/>
        </w:rPr>
        <w:t>iv</w:t>
      </w:r>
      <w:r w:rsidRPr="00B53423">
        <w:t xml:space="preserve">ing </w:t>
      </w:r>
      <w:r w:rsidRPr="00B53423">
        <w:rPr>
          <w:bCs w:val="0"/>
        </w:rPr>
        <w:t xml:space="preserve">due consideration </w:t>
      </w:r>
      <w:r w:rsidRPr="00B53423">
        <w:t xml:space="preserve">to the view of the Hon’ble ATE it may not be appropriate to allow the recovery of the entire accumulated revenue gap / regulatory asset within 3 years of time which may result in Tariff shock to the consumers. </w:t>
      </w:r>
      <w:r w:rsidR="007F7B53" w:rsidRPr="00B53423">
        <w:t>T</w:t>
      </w:r>
      <w:r w:rsidRPr="00B53423">
        <w:t>he Commission for liquidation of the Regulatory asset as approved in this Order has decided to introduce</w:t>
      </w:r>
      <w:r w:rsidR="007F7B53" w:rsidRPr="00B53423">
        <w:t xml:space="preserve"> a</w:t>
      </w:r>
      <w:r w:rsidRPr="00B53423">
        <w:t xml:space="preserve"> regulatory surcharge of 2.23% applicable on </w:t>
      </w:r>
      <w:r w:rsidRPr="00B53423">
        <w:rPr>
          <w:b/>
        </w:rPr>
        <w:t>“RATE”</w:t>
      </w:r>
      <w:r w:rsidRPr="00B53423">
        <w:t xml:space="preserve"> as defined in the Rate Schedule for FY 2014-15. </w:t>
      </w:r>
      <w:r w:rsidRPr="00B53423">
        <w:rPr>
          <w:b/>
        </w:rPr>
        <w:t>Such surcharge would be applicable in the supply areas of KESCO</w:t>
      </w:r>
      <w:r w:rsidR="007F7B53" w:rsidRPr="00B53423">
        <w:rPr>
          <w:b/>
        </w:rPr>
        <w:t xml:space="preserve"> only</w:t>
      </w:r>
      <w:r w:rsidRPr="00B53423">
        <w:rPr>
          <w:b/>
        </w:rPr>
        <w:t xml:space="preserve">. </w:t>
      </w:r>
      <w:r w:rsidRPr="00B53423">
        <w:t>T</w:t>
      </w:r>
      <w:r w:rsidR="007F7B53" w:rsidRPr="00B53423">
        <w:t>he details are provided in the T</w:t>
      </w:r>
      <w:r w:rsidRPr="00B53423">
        <w:t xml:space="preserve">able below: </w:t>
      </w:r>
    </w:p>
    <w:p w:rsidR="00241434" w:rsidRPr="00B53423" w:rsidRDefault="00241434" w:rsidP="0015232B">
      <w:pPr>
        <w:pStyle w:val="ListParagraph"/>
        <w:rPr>
          <w:rFonts w:asciiTheme="minorHAnsi" w:hAnsiTheme="minorHAnsi" w:cstheme="minorHAnsi"/>
        </w:rPr>
      </w:pPr>
    </w:p>
    <w:p w:rsidR="00241434" w:rsidRPr="00B53423" w:rsidRDefault="00241434" w:rsidP="0015232B">
      <w:pPr>
        <w:pStyle w:val="Heading3"/>
        <w:keepNext w:val="0"/>
        <w:numPr>
          <w:ilvl w:val="0"/>
          <w:numId w:val="0"/>
        </w:numPr>
        <w:ind w:left="936"/>
        <w:jc w:val="center"/>
        <w:rPr>
          <w:b/>
        </w:rPr>
      </w:pPr>
      <w:bookmarkStart w:id="982" w:name="_Toc399324272"/>
      <w:bookmarkStart w:id="983" w:name="_Toc399626444"/>
      <w:r w:rsidRPr="00B53423">
        <w:rPr>
          <w:b/>
        </w:rPr>
        <w:t xml:space="preserve">Table </w:t>
      </w:r>
      <w:r w:rsidR="005D68E7" w:rsidRPr="00B53423">
        <w:rPr>
          <w:b/>
        </w:rPr>
        <w:fldChar w:fldCharType="begin"/>
      </w:r>
      <w:r w:rsidRPr="00B53423">
        <w:rPr>
          <w:b/>
        </w:rPr>
        <w:instrText xml:space="preserve"> STYLEREF 1 \s </w:instrText>
      </w:r>
      <w:r w:rsidR="005D68E7" w:rsidRPr="00B53423">
        <w:rPr>
          <w:b/>
        </w:rPr>
        <w:fldChar w:fldCharType="separate"/>
      </w:r>
      <w:r w:rsidR="00847C1B">
        <w:rPr>
          <w:b/>
          <w:noProof/>
        </w:rPr>
        <w:t>12</w:t>
      </w:r>
      <w:r w:rsidR="005D68E7" w:rsidRPr="00B53423">
        <w:rPr>
          <w:b/>
        </w:rPr>
        <w:fldChar w:fldCharType="end"/>
      </w:r>
      <w:r w:rsidRPr="00B53423">
        <w:rPr>
          <w:b/>
        </w:rPr>
        <w:noBreakHyphen/>
      </w:r>
      <w:r w:rsidR="005D68E7" w:rsidRPr="00B53423">
        <w:rPr>
          <w:b/>
        </w:rPr>
        <w:fldChar w:fldCharType="begin"/>
      </w:r>
      <w:r w:rsidRPr="00B53423">
        <w:rPr>
          <w:b/>
        </w:rPr>
        <w:instrText xml:space="preserve"> SEQ Table \* ARABIC \s 1 </w:instrText>
      </w:r>
      <w:r w:rsidR="005D68E7" w:rsidRPr="00B53423">
        <w:rPr>
          <w:b/>
        </w:rPr>
        <w:fldChar w:fldCharType="separate"/>
      </w:r>
      <w:r w:rsidR="00847C1B">
        <w:rPr>
          <w:b/>
          <w:noProof/>
        </w:rPr>
        <w:t>4</w:t>
      </w:r>
      <w:r w:rsidR="005D68E7" w:rsidRPr="00B53423">
        <w:rPr>
          <w:b/>
        </w:rPr>
        <w:fldChar w:fldCharType="end"/>
      </w:r>
      <w:r w:rsidRPr="00B53423">
        <w:rPr>
          <w:b/>
        </w:rPr>
        <w:t>: REGULATORY SURCHARGE FOR FY 2014-15</w:t>
      </w:r>
      <w:bookmarkEnd w:id="982"/>
      <w:bookmarkEnd w:id="983"/>
    </w:p>
    <w:tbl>
      <w:tblPr>
        <w:tblW w:w="8200" w:type="dxa"/>
        <w:jc w:val="center"/>
        <w:tblInd w:w="103" w:type="dxa"/>
        <w:tblLook w:val="04A0"/>
      </w:tblPr>
      <w:tblGrid>
        <w:gridCol w:w="6716"/>
        <w:gridCol w:w="1484"/>
      </w:tblGrid>
      <w:tr w:rsidR="00241434" w:rsidRPr="00B53423" w:rsidTr="00241434">
        <w:trPr>
          <w:trHeight w:val="255"/>
          <w:tblHeader/>
          <w:jc w:val="center"/>
        </w:trPr>
        <w:tc>
          <w:tcPr>
            <w:tcW w:w="7110" w:type="dxa"/>
            <w:tcBorders>
              <w:top w:val="dotted" w:sz="4" w:space="0" w:color="auto"/>
              <w:left w:val="dotted" w:sz="4" w:space="0" w:color="auto"/>
              <w:bottom w:val="dotted" w:sz="4" w:space="0" w:color="auto"/>
              <w:right w:val="dotted" w:sz="4" w:space="0" w:color="auto"/>
            </w:tcBorders>
            <w:shd w:val="clear" w:color="000000" w:fill="DBE5F1"/>
            <w:vAlign w:val="bottom"/>
            <w:hideMark/>
          </w:tcPr>
          <w:p w:rsidR="005B31C0" w:rsidRPr="00B53423" w:rsidRDefault="00241434"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Particulars</w:t>
            </w:r>
          </w:p>
        </w:tc>
        <w:tc>
          <w:tcPr>
            <w:tcW w:w="1090" w:type="dxa"/>
            <w:tcBorders>
              <w:top w:val="dotted" w:sz="4" w:space="0" w:color="auto"/>
              <w:left w:val="nil"/>
              <w:bottom w:val="dotted" w:sz="4" w:space="0" w:color="auto"/>
              <w:right w:val="dotted" w:sz="4" w:space="0" w:color="auto"/>
            </w:tcBorders>
            <w:shd w:val="clear" w:color="000000" w:fill="DBE5F1"/>
            <w:noWrap/>
            <w:vAlign w:val="bottom"/>
            <w:hideMark/>
          </w:tcPr>
          <w:p w:rsidR="005B31C0" w:rsidRPr="00B53423" w:rsidRDefault="00241434"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KESCO</w:t>
            </w:r>
          </w:p>
        </w:tc>
      </w:tr>
      <w:tr w:rsidR="00241434" w:rsidRPr="00B53423" w:rsidTr="00241434">
        <w:trPr>
          <w:trHeight w:val="81"/>
          <w:jc w:val="center"/>
        </w:trPr>
        <w:tc>
          <w:tcPr>
            <w:tcW w:w="7110" w:type="dxa"/>
            <w:tcBorders>
              <w:top w:val="nil"/>
              <w:left w:val="dotted" w:sz="4" w:space="0" w:color="auto"/>
              <w:bottom w:val="dotted" w:sz="4" w:space="0" w:color="auto"/>
              <w:right w:val="dotted" w:sz="4" w:space="0" w:color="auto"/>
            </w:tcBorders>
            <w:shd w:val="clear" w:color="auto" w:fill="auto"/>
            <w:vAlign w:val="center"/>
            <w:hideMark/>
          </w:tcPr>
          <w:p w:rsidR="00241434" w:rsidRPr="00B53423" w:rsidRDefault="00241434"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Revenue Gap for FY 2008-09</w:t>
            </w:r>
          </w:p>
        </w:tc>
        <w:tc>
          <w:tcPr>
            <w:tcW w:w="1090" w:type="dxa"/>
            <w:tcBorders>
              <w:top w:val="nil"/>
              <w:left w:val="nil"/>
              <w:bottom w:val="dotted" w:sz="4" w:space="0" w:color="auto"/>
              <w:right w:val="dotted" w:sz="4" w:space="0" w:color="auto"/>
            </w:tcBorders>
            <w:shd w:val="clear" w:color="auto" w:fill="auto"/>
            <w:noWrap/>
            <w:vAlign w:val="bottom"/>
            <w:hideMark/>
          </w:tcPr>
          <w:p w:rsidR="00241434" w:rsidRPr="00B53423" w:rsidRDefault="00BC60A3" w:rsidP="0015232B">
            <w:pPr>
              <w:spacing w:before="0" w:line="240" w:lineRule="auto"/>
              <w:jc w:val="right"/>
              <w:rPr>
                <w:rFonts w:asciiTheme="minorHAnsi" w:hAnsiTheme="minorHAnsi" w:cstheme="minorHAnsi"/>
                <w:color w:val="000000"/>
                <w:lang w:val="en-US"/>
              </w:rPr>
            </w:pPr>
            <w:r w:rsidRPr="00B53423">
              <w:rPr>
                <w:rFonts w:cs="Calibri"/>
                <w:color w:val="000000"/>
                <w:sz w:val="22"/>
                <w:szCs w:val="22"/>
              </w:rPr>
              <w:t>52.38</w:t>
            </w:r>
          </w:p>
        </w:tc>
      </w:tr>
      <w:tr w:rsidR="00241434" w:rsidRPr="00B53423" w:rsidTr="00241434">
        <w:trPr>
          <w:trHeight w:val="81"/>
          <w:jc w:val="center"/>
        </w:trPr>
        <w:tc>
          <w:tcPr>
            <w:tcW w:w="7110" w:type="dxa"/>
            <w:tcBorders>
              <w:top w:val="nil"/>
              <w:left w:val="dotted" w:sz="4" w:space="0" w:color="auto"/>
              <w:bottom w:val="dotted" w:sz="4" w:space="0" w:color="auto"/>
              <w:right w:val="dotted" w:sz="4" w:space="0" w:color="auto"/>
            </w:tcBorders>
            <w:shd w:val="clear" w:color="auto" w:fill="auto"/>
            <w:vAlign w:val="center"/>
            <w:hideMark/>
          </w:tcPr>
          <w:p w:rsidR="00241434" w:rsidRPr="00B53423" w:rsidRDefault="00241434"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Revenue Gap for FY 2009-10</w:t>
            </w:r>
          </w:p>
        </w:tc>
        <w:tc>
          <w:tcPr>
            <w:tcW w:w="1090" w:type="dxa"/>
            <w:tcBorders>
              <w:top w:val="nil"/>
              <w:left w:val="nil"/>
              <w:bottom w:val="dotted" w:sz="4" w:space="0" w:color="auto"/>
              <w:right w:val="dotted" w:sz="4" w:space="0" w:color="auto"/>
            </w:tcBorders>
            <w:shd w:val="clear" w:color="auto" w:fill="auto"/>
            <w:noWrap/>
            <w:vAlign w:val="bottom"/>
            <w:hideMark/>
          </w:tcPr>
          <w:p w:rsidR="00241434" w:rsidRPr="00B53423" w:rsidRDefault="00BC60A3" w:rsidP="0015232B">
            <w:pPr>
              <w:spacing w:before="0" w:line="240" w:lineRule="auto"/>
              <w:jc w:val="right"/>
              <w:rPr>
                <w:rFonts w:asciiTheme="minorHAnsi" w:hAnsiTheme="minorHAnsi" w:cstheme="minorHAnsi"/>
                <w:color w:val="000000"/>
                <w:lang w:val="en-US"/>
              </w:rPr>
            </w:pPr>
            <w:r w:rsidRPr="00B53423">
              <w:rPr>
                <w:rFonts w:cs="Calibri"/>
                <w:color w:val="000000"/>
                <w:sz w:val="22"/>
                <w:szCs w:val="22"/>
              </w:rPr>
              <w:t>73.15</w:t>
            </w:r>
          </w:p>
        </w:tc>
      </w:tr>
      <w:tr w:rsidR="00241434" w:rsidRPr="00B53423" w:rsidTr="00241434">
        <w:trPr>
          <w:trHeight w:val="255"/>
          <w:jc w:val="center"/>
        </w:trPr>
        <w:tc>
          <w:tcPr>
            <w:tcW w:w="7110" w:type="dxa"/>
            <w:tcBorders>
              <w:top w:val="nil"/>
              <w:left w:val="dotted" w:sz="4" w:space="0" w:color="auto"/>
              <w:bottom w:val="dotted" w:sz="4" w:space="0" w:color="auto"/>
              <w:right w:val="dotted" w:sz="4" w:space="0" w:color="auto"/>
            </w:tcBorders>
            <w:shd w:val="clear" w:color="auto" w:fill="auto"/>
            <w:vAlign w:val="center"/>
            <w:hideMark/>
          </w:tcPr>
          <w:p w:rsidR="00241434" w:rsidRPr="00B53423" w:rsidRDefault="00241434"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Revenue Gap for FY 2010-11</w:t>
            </w:r>
          </w:p>
        </w:tc>
        <w:tc>
          <w:tcPr>
            <w:tcW w:w="1090" w:type="dxa"/>
            <w:tcBorders>
              <w:top w:val="nil"/>
              <w:left w:val="nil"/>
              <w:bottom w:val="dotted" w:sz="4" w:space="0" w:color="auto"/>
              <w:right w:val="dotted" w:sz="4" w:space="0" w:color="auto"/>
            </w:tcBorders>
            <w:shd w:val="clear" w:color="auto" w:fill="auto"/>
            <w:noWrap/>
            <w:vAlign w:val="bottom"/>
            <w:hideMark/>
          </w:tcPr>
          <w:p w:rsidR="00241434" w:rsidRPr="00B53423" w:rsidRDefault="00BC60A3" w:rsidP="0015232B">
            <w:pPr>
              <w:spacing w:before="0" w:line="240" w:lineRule="auto"/>
              <w:jc w:val="right"/>
              <w:rPr>
                <w:rFonts w:asciiTheme="minorHAnsi" w:hAnsiTheme="minorHAnsi" w:cstheme="minorHAnsi"/>
                <w:color w:val="000000"/>
                <w:lang w:val="en-US"/>
              </w:rPr>
            </w:pPr>
            <w:r w:rsidRPr="00B53423">
              <w:rPr>
                <w:rFonts w:cs="Calibri"/>
                <w:color w:val="000000"/>
                <w:sz w:val="22"/>
                <w:szCs w:val="22"/>
              </w:rPr>
              <w:t>160.65</w:t>
            </w:r>
          </w:p>
        </w:tc>
      </w:tr>
      <w:tr w:rsidR="00241434" w:rsidRPr="00B53423" w:rsidTr="00241434">
        <w:trPr>
          <w:trHeight w:val="255"/>
          <w:jc w:val="center"/>
        </w:trPr>
        <w:tc>
          <w:tcPr>
            <w:tcW w:w="7110" w:type="dxa"/>
            <w:tcBorders>
              <w:top w:val="nil"/>
              <w:left w:val="dotted" w:sz="4" w:space="0" w:color="auto"/>
              <w:bottom w:val="dotted" w:sz="4" w:space="0" w:color="auto"/>
              <w:right w:val="dotted" w:sz="4" w:space="0" w:color="auto"/>
            </w:tcBorders>
            <w:shd w:val="clear" w:color="auto" w:fill="auto"/>
            <w:vAlign w:val="center"/>
            <w:hideMark/>
          </w:tcPr>
          <w:p w:rsidR="00241434" w:rsidRPr="00B53423" w:rsidRDefault="00241434"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Revenue Gap for FY 2011-12</w:t>
            </w:r>
          </w:p>
        </w:tc>
        <w:tc>
          <w:tcPr>
            <w:tcW w:w="1090" w:type="dxa"/>
            <w:tcBorders>
              <w:top w:val="nil"/>
              <w:left w:val="nil"/>
              <w:bottom w:val="dotted" w:sz="4" w:space="0" w:color="auto"/>
              <w:right w:val="dotted" w:sz="4" w:space="0" w:color="auto"/>
            </w:tcBorders>
            <w:shd w:val="clear" w:color="auto" w:fill="auto"/>
            <w:noWrap/>
            <w:vAlign w:val="bottom"/>
            <w:hideMark/>
          </w:tcPr>
          <w:p w:rsidR="00241434" w:rsidRPr="00B53423" w:rsidRDefault="00BC60A3" w:rsidP="0015232B">
            <w:pPr>
              <w:spacing w:before="0" w:line="240" w:lineRule="auto"/>
              <w:jc w:val="right"/>
              <w:rPr>
                <w:rFonts w:asciiTheme="minorHAnsi" w:hAnsiTheme="minorHAnsi" w:cstheme="minorHAnsi"/>
                <w:color w:val="000000"/>
                <w:lang w:val="en-US"/>
              </w:rPr>
            </w:pPr>
            <w:r w:rsidRPr="00B53423">
              <w:rPr>
                <w:rFonts w:cs="Calibri"/>
                <w:color w:val="000000"/>
                <w:sz w:val="22"/>
                <w:szCs w:val="22"/>
              </w:rPr>
              <w:t>292.11</w:t>
            </w:r>
          </w:p>
        </w:tc>
      </w:tr>
      <w:tr w:rsidR="00241434" w:rsidRPr="00B53423" w:rsidTr="00241434">
        <w:trPr>
          <w:trHeight w:val="81"/>
          <w:jc w:val="center"/>
        </w:trPr>
        <w:tc>
          <w:tcPr>
            <w:tcW w:w="7110" w:type="dxa"/>
            <w:tcBorders>
              <w:top w:val="nil"/>
              <w:left w:val="dotted" w:sz="4" w:space="0" w:color="auto"/>
              <w:bottom w:val="dotted" w:sz="4" w:space="0" w:color="auto"/>
              <w:right w:val="dotted" w:sz="4" w:space="0" w:color="auto"/>
            </w:tcBorders>
            <w:shd w:val="clear" w:color="auto" w:fill="auto"/>
            <w:vAlign w:val="center"/>
            <w:hideMark/>
          </w:tcPr>
          <w:p w:rsidR="00241434" w:rsidRPr="00B53423" w:rsidRDefault="00241434" w:rsidP="0015232B">
            <w:pPr>
              <w:spacing w:before="0" w:line="240" w:lineRule="auto"/>
              <w:jc w:val="left"/>
              <w:rPr>
                <w:rFonts w:asciiTheme="minorHAnsi" w:hAnsiTheme="minorHAnsi" w:cstheme="minorHAnsi"/>
                <w:b/>
                <w:color w:val="000000"/>
                <w:lang w:val="en-US"/>
              </w:rPr>
            </w:pPr>
            <w:r w:rsidRPr="00B53423">
              <w:rPr>
                <w:rFonts w:asciiTheme="minorHAnsi" w:hAnsiTheme="minorHAnsi" w:cstheme="minorHAnsi"/>
                <w:b/>
                <w:color w:val="000000"/>
                <w:lang w:val="en-US"/>
              </w:rPr>
              <w:t>Revenue Gap for FY 2008-09 to FY 2011-12</w:t>
            </w:r>
          </w:p>
        </w:tc>
        <w:tc>
          <w:tcPr>
            <w:tcW w:w="1090" w:type="dxa"/>
            <w:tcBorders>
              <w:top w:val="nil"/>
              <w:left w:val="nil"/>
              <w:bottom w:val="dotted" w:sz="4" w:space="0" w:color="auto"/>
              <w:right w:val="dotted" w:sz="4" w:space="0" w:color="auto"/>
            </w:tcBorders>
            <w:shd w:val="clear" w:color="auto" w:fill="auto"/>
            <w:noWrap/>
            <w:vAlign w:val="bottom"/>
            <w:hideMark/>
          </w:tcPr>
          <w:p w:rsidR="00241434" w:rsidRPr="00B53423" w:rsidRDefault="00BC60A3" w:rsidP="0015232B">
            <w:pPr>
              <w:spacing w:before="0" w:line="240" w:lineRule="auto"/>
              <w:jc w:val="right"/>
              <w:rPr>
                <w:rFonts w:asciiTheme="minorHAnsi" w:hAnsiTheme="minorHAnsi" w:cstheme="minorHAnsi"/>
                <w:b/>
                <w:bCs/>
                <w:color w:val="000000"/>
                <w:lang w:val="en-US"/>
              </w:rPr>
            </w:pPr>
            <w:r w:rsidRPr="00B53423">
              <w:rPr>
                <w:rFonts w:cs="Calibri"/>
                <w:color w:val="000000"/>
                <w:sz w:val="22"/>
                <w:szCs w:val="22"/>
              </w:rPr>
              <w:t>578.29</w:t>
            </w:r>
          </w:p>
        </w:tc>
      </w:tr>
      <w:tr w:rsidR="00241434" w:rsidRPr="00B53423" w:rsidTr="00241434">
        <w:trPr>
          <w:trHeight w:val="81"/>
          <w:jc w:val="center"/>
        </w:trPr>
        <w:tc>
          <w:tcPr>
            <w:tcW w:w="7110" w:type="dxa"/>
            <w:tcBorders>
              <w:top w:val="nil"/>
              <w:left w:val="dotted" w:sz="4" w:space="0" w:color="auto"/>
              <w:bottom w:val="dotted" w:sz="4" w:space="0" w:color="auto"/>
              <w:right w:val="dotted" w:sz="4" w:space="0" w:color="auto"/>
            </w:tcBorders>
            <w:shd w:val="clear" w:color="auto" w:fill="auto"/>
            <w:vAlign w:val="center"/>
            <w:hideMark/>
          </w:tcPr>
          <w:p w:rsidR="00241434" w:rsidRPr="00B53423" w:rsidRDefault="00241434"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Revenue Gap / (Surplus) for FY 2014-15 (at existing Tariff)</w:t>
            </w:r>
          </w:p>
        </w:tc>
        <w:tc>
          <w:tcPr>
            <w:tcW w:w="1090" w:type="dxa"/>
            <w:tcBorders>
              <w:top w:val="nil"/>
              <w:left w:val="nil"/>
              <w:bottom w:val="dotted" w:sz="4" w:space="0" w:color="auto"/>
              <w:right w:val="dotted" w:sz="4" w:space="0" w:color="auto"/>
            </w:tcBorders>
            <w:shd w:val="clear" w:color="auto" w:fill="auto"/>
            <w:noWrap/>
            <w:vAlign w:val="bottom"/>
            <w:hideMark/>
          </w:tcPr>
          <w:p w:rsidR="00241434" w:rsidRPr="00B53423" w:rsidRDefault="00BC60A3" w:rsidP="0015232B">
            <w:pPr>
              <w:spacing w:before="0" w:line="240" w:lineRule="auto"/>
              <w:jc w:val="right"/>
              <w:rPr>
                <w:rFonts w:asciiTheme="minorHAnsi" w:hAnsiTheme="minorHAnsi" w:cstheme="minorHAnsi"/>
                <w:color w:val="000000"/>
                <w:lang w:val="en-US"/>
              </w:rPr>
            </w:pPr>
            <w:r w:rsidRPr="00B53423">
              <w:rPr>
                <w:rFonts w:cs="Calibri"/>
                <w:color w:val="000000"/>
                <w:sz w:val="22"/>
                <w:szCs w:val="22"/>
              </w:rPr>
              <w:t xml:space="preserve"> (19.29)</w:t>
            </w:r>
          </w:p>
        </w:tc>
      </w:tr>
      <w:tr w:rsidR="00241434" w:rsidRPr="00B53423" w:rsidTr="00241434">
        <w:trPr>
          <w:trHeight w:val="255"/>
          <w:jc w:val="center"/>
        </w:trPr>
        <w:tc>
          <w:tcPr>
            <w:tcW w:w="7110" w:type="dxa"/>
            <w:tcBorders>
              <w:top w:val="nil"/>
              <w:left w:val="dotted" w:sz="4" w:space="0" w:color="auto"/>
              <w:bottom w:val="dotted" w:sz="4" w:space="0" w:color="auto"/>
              <w:right w:val="dotted" w:sz="4" w:space="0" w:color="auto"/>
            </w:tcBorders>
            <w:shd w:val="clear" w:color="auto" w:fill="auto"/>
            <w:vAlign w:val="center"/>
            <w:hideMark/>
          </w:tcPr>
          <w:p w:rsidR="00241434" w:rsidRPr="00B53423" w:rsidRDefault="00241434"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Increase in Revenue due to Tariff revision</w:t>
            </w:r>
          </w:p>
        </w:tc>
        <w:tc>
          <w:tcPr>
            <w:tcW w:w="1090" w:type="dxa"/>
            <w:tcBorders>
              <w:top w:val="nil"/>
              <w:left w:val="nil"/>
              <w:bottom w:val="dotted" w:sz="4" w:space="0" w:color="auto"/>
              <w:right w:val="dotted" w:sz="4" w:space="0" w:color="auto"/>
            </w:tcBorders>
            <w:shd w:val="clear" w:color="auto" w:fill="auto"/>
            <w:noWrap/>
            <w:vAlign w:val="bottom"/>
            <w:hideMark/>
          </w:tcPr>
          <w:p w:rsidR="00241434" w:rsidRPr="00B53423" w:rsidRDefault="00BC60A3" w:rsidP="0015232B">
            <w:pPr>
              <w:spacing w:before="0" w:line="240" w:lineRule="auto"/>
              <w:jc w:val="right"/>
              <w:rPr>
                <w:rFonts w:asciiTheme="minorHAnsi" w:hAnsiTheme="minorHAnsi" w:cstheme="minorHAnsi"/>
                <w:color w:val="000000"/>
                <w:lang w:val="en-US"/>
              </w:rPr>
            </w:pPr>
            <w:r w:rsidRPr="00B53423">
              <w:rPr>
                <w:rFonts w:cs="Calibri"/>
                <w:color w:val="000000"/>
                <w:sz w:val="22"/>
                <w:szCs w:val="22"/>
              </w:rPr>
              <w:t>43.98</w:t>
            </w:r>
          </w:p>
        </w:tc>
      </w:tr>
      <w:tr w:rsidR="00241434" w:rsidRPr="00B53423" w:rsidTr="00241434">
        <w:trPr>
          <w:trHeight w:val="255"/>
          <w:jc w:val="center"/>
        </w:trPr>
        <w:tc>
          <w:tcPr>
            <w:tcW w:w="7110" w:type="dxa"/>
            <w:tcBorders>
              <w:top w:val="nil"/>
              <w:left w:val="dotted" w:sz="4" w:space="0" w:color="auto"/>
              <w:bottom w:val="dotted" w:sz="4" w:space="0" w:color="auto"/>
              <w:right w:val="dotted" w:sz="4" w:space="0" w:color="auto"/>
            </w:tcBorders>
            <w:shd w:val="clear" w:color="auto" w:fill="auto"/>
            <w:vAlign w:val="center"/>
            <w:hideMark/>
          </w:tcPr>
          <w:p w:rsidR="00241434" w:rsidRPr="00B53423" w:rsidRDefault="00241434"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Total approved revenue for FY 2014-15</w:t>
            </w:r>
          </w:p>
        </w:tc>
        <w:tc>
          <w:tcPr>
            <w:tcW w:w="1090" w:type="dxa"/>
            <w:tcBorders>
              <w:top w:val="nil"/>
              <w:left w:val="nil"/>
              <w:bottom w:val="dotted" w:sz="4" w:space="0" w:color="auto"/>
              <w:right w:val="dotted" w:sz="4" w:space="0" w:color="auto"/>
            </w:tcBorders>
            <w:shd w:val="clear" w:color="auto" w:fill="auto"/>
            <w:noWrap/>
            <w:vAlign w:val="bottom"/>
            <w:hideMark/>
          </w:tcPr>
          <w:p w:rsidR="00241434" w:rsidRPr="00B53423" w:rsidRDefault="00BC60A3" w:rsidP="0015232B">
            <w:pPr>
              <w:spacing w:before="0" w:line="240" w:lineRule="auto"/>
              <w:jc w:val="right"/>
              <w:rPr>
                <w:rFonts w:asciiTheme="minorHAnsi" w:hAnsiTheme="minorHAnsi" w:cstheme="minorHAnsi"/>
                <w:color w:val="000000"/>
                <w:lang w:val="en-US"/>
              </w:rPr>
            </w:pPr>
            <w:r w:rsidRPr="00B53423">
              <w:rPr>
                <w:rFonts w:cs="Calibri"/>
                <w:color w:val="000000"/>
                <w:sz w:val="22"/>
                <w:szCs w:val="22"/>
              </w:rPr>
              <w:t xml:space="preserve">  1,570.54 </w:t>
            </w:r>
          </w:p>
        </w:tc>
      </w:tr>
      <w:tr w:rsidR="00241434" w:rsidRPr="00B53423" w:rsidTr="00241434">
        <w:trPr>
          <w:trHeight w:val="584"/>
          <w:jc w:val="center"/>
        </w:trPr>
        <w:tc>
          <w:tcPr>
            <w:tcW w:w="7110" w:type="dxa"/>
            <w:tcBorders>
              <w:top w:val="nil"/>
              <w:left w:val="dotted" w:sz="4" w:space="0" w:color="auto"/>
              <w:bottom w:val="dotted" w:sz="4" w:space="0" w:color="auto"/>
              <w:right w:val="dotted" w:sz="4" w:space="0" w:color="auto"/>
            </w:tcBorders>
            <w:shd w:val="clear" w:color="auto" w:fill="auto"/>
            <w:vAlign w:val="center"/>
            <w:hideMark/>
          </w:tcPr>
          <w:p w:rsidR="00241434" w:rsidRPr="00B53423" w:rsidRDefault="00241434" w:rsidP="0015232B">
            <w:pPr>
              <w:spacing w:before="0" w:line="240" w:lineRule="auto"/>
              <w:jc w:val="left"/>
              <w:rPr>
                <w:rFonts w:asciiTheme="minorHAnsi" w:hAnsiTheme="minorHAnsi" w:cstheme="minorHAnsi"/>
                <w:b/>
                <w:color w:val="000000"/>
                <w:lang w:val="en-US"/>
              </w:rPr>
            </w:pPr>
            <w:r w:rsidRPr="00B53423">
              <w:rPr>
                <w:rFonts w:asciiTheme="minorHAnsi" w:hAnsiTheme="minorHAnsi" w:cstheme="minorHAnsi"/>
                <w:b/>
                <w:color w:val="000000"/>
                <w:lang w:val="en-US"/>
              </w:rPr>
              <w:t>Net Revenue Gap for FY 2014-15 after tariff increase (Including gap for FY 2008-09 to FY 2011-12)</w:t>
            </w:r>
          </w:p>
        </w:tc>
        <w:tc>
          <w:tcPr>
            <w:tcW w:w="1090" w:type="dxa"/>
            <w:tcBorders>
              <w:top w:val="nil"/>
              <w:left w:val="nil"/>
              <w:bottom w:val="dotted" w:sz="4" w:space="0" w:color="auto"/>
              <w:right w:val="dotted" w:sz="4" w:space="0" w:color="auto"/>
            </w:tcBorders>
            <w:shd w:val="clear" w:color="auto" w:fill="auto"/>
            <w:noWrap/>
            <w:vAlign w:val="bottom"/>
            <w:hideMark/>
          </w:tcPr>
          <w:p w:rsidR="00241434" w:rsidRPr="00B53423" w:rsidRDefault="00BC60A3" w:rsidP="0015232B">
            <w:pPr>
              <w:spacing w:before="0" w:line="240" w:lineRule="auto"/>
              <w:jc w:val="right"/>
              <w:rPr>
                <w:rFonts w:asciiTheme="minorHAnsi" w:hAnsiTheme="minorHAnsi" w:cstheme="minorHAnsi"/>
                <w:b/>
                <w:bCs/>
                <w:color w:val="000000"/>
                <w:lang w:val="en-US"/>
              </w:rPr>
            </w:pPr>
            <w:r w:rsidRPr="00B53423">
              <w:rPr>
                <w:rFonts w:cs="Calibri"/>
                <w:color w:val="000000"/>
                <w:sz w:val="22"/>
                <w:szCs w:val="22"/>
              </w:rPr>
              <w:t xml:space="preserve">            515.02 </w:t>
            </w:r>
          </w:p>
        </w:tc>
      </w:tr>
      <w:tr w:rsidR="00241434" w:rsidRPr="00B53423" w:rsidTr="00241434">
        <w:trPr>
          <w:trHeight w:val="255"/>
          <w:jc w:val="center"/>
        </w:trPr>
        <w:tc>
          <w:tcPr>
            <w:tcW w:w="7110" w:type="dxa"/>
            <w:tcBorders>
              <w:top w:val="nil"/>
              <w:left w:val="dotted" w:sz="4" w:space="0" w:color="auto"/>
              <w:bottom w:val="dotted" w:sz="4" w:space="0" w:color="auto"/>
              <w:right w:val="dotted" w:sz="4" w:space="0" w:color="auto"/>
            </w:tcBorders>
            <w:shd w:val="clear" w:color="auto" w:fill="auto"/>
            <w:vAlign w:val="center"/>
            <w:hideMark/>
          </w:tcPr>
          <w:p w:rsidR="00241434" w:rsidRPr="00B53423" w:rsidRDefault="00241434"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Carrying Cost on the Regulatory Asset</w:t>
            </w:r>
          </w:p>
        </w:tc>
        <w:tc>
          <w:tcPr>
            <w:tcW w:w="1090" w:type="dxa"/>
            <w:tcBorders>
              <w:top w:val="nil"/>
              <w:left w:val="nil"/>
              <w:bottom w:val="dotted" w:sz="4" w:space="0" w:color="auto"/>
              <w:right w:val="dotted" w:sz="4" w:space="0" w:color="auto"/>
            </w:tcBorders>
            <w:shd w:val="clear" w:color="auto" w:fill="auto"/>
            <w:noWrap/>
            <w:vAlign w:val="center"/>
            <w:hideMark/>
          </w:tcPr>
          <w:p w:rsidR="00241434" w:rsidRPr="00B53423" w:rsidRDefault="00285F9C" w:rsidP="0015232B">
            <w:pPr>
              <w:spacing w:before="0" w:line="240" w:lineRule="auto"/>
              <w:ind w:left="720"/>
              <w:jc w:val="right"/>
              <w:rPr>
                <w:rFonts w:asciiTheme="minorHAnsi" w:hAnsiTheme="minorHAnsi" w:cstheme="minorHAnsi"/>
                <w:color w:val="000000"/>
                <w:lang w:val="en-US"/>
              </w:rPr>
            </w:pPr>
            <w:r w:rsidRPr="00B53423">
              <w:rPr>
                <w:rFonts w:asciiTheme="minorHAnsi" w:hAnsiTheme="minorHAnsi" w:cstheme="minorHAnsi"/>
                <w:color w:val="000000"/>
                <w:lang w:val="en-US"/>
              </w:rPr>
              <w:t>15.02</w:t>
            </w:r>
          </w:p>
        </w:tc>
      </w:tr>
      <w:tr w:rsidR="00241434" w:rsidRPr="00B53423" w:rsidTr="00241434">
        <w:trPr>
          <w:trHeight w:val="255"/>
          <w:jc w:val="center"/>
        </w:trPr>
        <w:tc>
          <w:tcPr>
            <w:tcW w:w="7110" w:type="dxa"/>
            <w:tcBorders>
              <w:top w:val="nil"/>
              <w:left w:val="dotted" w:sz="4" w:space="0" w:color="auto"/>
              <w:bottom w:val="dotted" w:sz="4" w:space="0" w:color="auto"/>
              <w:right w:val="dotted" w:sz="4" w:space="0" w:color="auto"/>
            </w:tcBorders>
            <w:shd w:val="clear" w:color="auto" w:fill="auto"/>
            <w:vAlign w:val="center"/>
            <w:hideMark/>
          </w:tcPr>
          <w:p w:rsidR="00241434" w:rsidRPr="00B53423" w:rsidRDefault="00241434"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Recovery through Regulatory Surcharge</w:t>
            </w:r>
          </w:p>
        </w:tc>
        <w:tc>
          <w:tcPr>
            <w:tcW w:w="1090" w:type="dxa"/>
            <w:tcBorders>
              <w:top w:val="nil"/>
              <w:left w:val="nil"/>
              <w:bottom w:val="dotted" w:sz="4" w:space="0" w:color="auto"/>
              <w:right w:val="dotted" w:sz="4" w:space="0" w:color="auto"/>
            </w:tcBorders>
            <w:shd w:val="clear" w:color="auto" w:fill="auto"/>
            <w:noWrap/>
            <w:vAlign w:val="center"/>
            <w:hideMark/>
          </w:tcPr>
          <w:p w:rsidR="00241434" w:rsidRPr="00B53423" w:rsidRDefault="005A1C9B" w:rsidP="0015232B">
            <w:pPr>
              <w:spacing w:before="0" w:line="240" w:lineRule="auto"/>
              <w:jc w:val="right"/>
              <w:rPr>
                <w:rFonts w:asciiTheme="minorHAnsi" w:hAnsiTheme="minorHAnsi" w:cstheme="minorHAnsi"/>
                <w:color w:val="000000"/>
                <w:lang w:val="en-US"/>
              </w:rPr>
            </w:pPr>
            <w:r w:rsidRPr="00B53423">
              <w:rPr>
                <w:rFonts w:asciiTheme="minorHAnsi" w:hAnsiTheme="minorHAnsi" w:cstheme="minorHAnsi"/>
                <w:color w:val="000000"/>
                <w:lang w:val="en-US"/>
              </w:rPr>
              <w:t>18.51</w:t>
            </w:r>
          </w:p>
        </w:tc>
      </w:tr>
      <w:tr w:rsidR="00241434" w:rsidRPr="00B53423" w:rsidTr="00241434">
        <w:trPr>
          <w:trHeight w:val="647"/>
          <w:jc w:val="center"/>
        </w:trPr>
        <w:tc>
          <w:tcPr>
            <w:tcW w:w="7110" w:type="dxa"/>
            <w:tcBorders>
              <w:top w:val="nil"/>
              <w:left w:val="dotted" w:sz="4" w:space="0" w:color="auto"/>
              <w:bottom w:val="dotted" w:sz="4" w:space="0" w:color="auto"/>
              <w:right w:val="dotted" w:sz="4" w:space="0" w:color="auto"/>
            </w:tcBorders>
            <w:shd w:val="clear" w:color="auto" w:fill="auto"/>
            <w:vAlign w:val="center"/>
            <w:hideMark/>
          </w:tcPr>
          <w:p w:rsidR="00241434" w:rsidRPr="00B53423" w:rsidRDefault="00241434" w:rsidP="0015232B">
            <w:pPr>
              <w:spacing w:before="0" w:line="240" w:lineRule="auto"/>
              <w:jc w:val="left"/>
              <w:rPr>
                <w:rFonts w:asciiTheme="minorHAnsi" w:hAnsiTheme="minorHAnsi" w:cstheme="minorHAnsi"/>
                <w:b/>
                <w:color w:val="000000"/>
                <w:lang w:val="en-US"/>
              </w:rPr>
            </w:pPr>
            <w:r w:rsidRPr="00B53423">
              <w:rPr>
                <w:rFonts w:asciiTheme="minorHAnsi" w:hAnsiTheme="minorHAnsi" w:cstheme="minorHAnsi"/>
                <w:b/>
                <w:color w:val="000000"/>
                <w:lang w:val="en-US"/>
              </w:rPr>
              <w:t>Net Revenue Gap after considering part recovery of Regulatory Asset admitted by the Commission in this Order</w:t>
            </w:r>
          </w:p>
        </w:tc>
        <w:tc>
          <w:tcPr>
            <w:tcW w:w="1090" w:type="dxa"/>
            <w:tcBorders>
              <w:top w:val="nil"/>
              <w:left w:val="nil"/>
              <w:bottom w:val="dotted" w:sz="4" w:space="0" w:color="auto"/>
              <w:right w:val="dotted" w:sz="4" w:space="0" w:color="auto"/>
            </w:tcBorders>
            <w:shd w:val="clear" w:color="auto" w:fill="auto"/>
            <w:noWrap/>
            <w:vAlign w:val="center"/>
            <w:hideMark/>
          </w:tcPr>
          <w:p w:rsidR="00241434" w:rsidRPr="00B53423" w:rsidRDefault="005A1C9B" w:rsidP="0015232B">
            <w:pPr>
              <w:spacing w:before="0" w:line="240" w:lineRule="auto"/>
              <w:jc w:val="right"/>
              <w:rPr>
                <w:rFonts w:asciiTheme="minorHAnsi" w:hAnsiTheme="minorHAnsi" w:cstheme="minorHAnsi"/>
                <w:b/>
                <w:bCs/>
                <w:color w:val="000000"/>
                <w:lang w:val="en-US"/>
              </w:rPr>
            </w:pPr>
            <w:r w:rsidRPr="00B53423">
              <w:rPr>
                <w:rFonts w:asciiTheme="minorHAnsi" w:hAnsiTheme="minorHAnsi" w:cstheme="minorHAnsi"/>
                <w:b/>
                <w:bCs/>
                <w:color w:val="000000"/>
                <w:lang w:val="en-US"/>
              </w:rPr>
              <w:t>511.53</w:t>
            </w:r>
          </w:p>
        </w:tc>
      </w:tr>
    </w:tbl>
    <w:p w:rsidR="005B31C0" w:rsidRPr="00B53423" w:rsidRDefault="005B31C0" w:rsidP="0015232B">
      <w:pPr>
        <w:pStyle w:val="Heading3"/>
        <w:keepNext w:val="0"/>
        <w:numPr>
          <w:ilvl w:val="0"/>
          <w:numId w:val="0"/>
        </w:numPr>
        <w:ind w:left="720"/>
      </w:pPr>
    </w:p>
    <w:p w:rsidR="005B31C0" w:rsidRPr="00B53423" w:rsidRDefault="005B31C0" w:rsidP="0015232B">
      <w:pPr>
        <w:pStyle w:val="Heading3"/>
        <w:keepNext w:val="0"/>
        <w:numPr>
          <w:ilvl w:val="0"/>
          <w:numId w:val="0"/>
        </w:numPr>
        <w:ind w:left="720"/>
      </w:pPr>
    </w:p>
    <w:p w:rsidR="00241434" w:rsidRPr="00B53423" w:rsidRDefault="00241434" w:rsidP="0015232B">
      <w:pPr>
        <w:pStyle w:val="Heading3"/>
        <w:keepNext w:val="0"/>
        <w:ind w:hanging="1080"/>
      </w:pPr>
      <w:r w:rsidRPr="00B53423">
        <w:t>It has been further, observed that the Distribution losses of the Licensee have been consistently higher as compared to the losses approved by the Commission. The Commission is of the view that the utilities cannot be given a free hand to keep incurring the losses due to inefficiencies while the consumers are forced to pay for these losses. Even though the case for Regulatory Surcharge is well made out but it needs to be supported by the positive evidence of the efforts made by the licensee to reduce losses so as to increase the revenue realisation. The Commission is therefore of the view to approve the Regulatory Surcharge linked with the performance parameters. This performance linked Regulatory Surcharge will hopefully motivate the Licensee to take concrete steps to reduce the losses.</w:t>
      </w:r>
    </w:p>
    <w:p w:rsidR="005B31C0" w:rsidRPr="00B53423" w:rsidRDefault="005B31C0" w:rsidP="0015232B">
      <w:pPr>
        <w:pStyle w:val="Heading3"/>
        <w:keepNext w:val="0"/>
        <w:numPr>
          <w:ilvl w:val="0"/>
          <w:numId w:val="0"/>
        </w:numPr>
        <w:ind w:left="720"/>
      </w:pPr>
    </w:p>
    <w:p w:rsidR="00241434" w:rsidRPr="00B53423" w:rsidRDefault="00241434" w:rsidP="0015232B">
      <w:pPr>
        <w:pStyle w:val="Heading3"/>
        <w:keepNext w:val="0"/>
        <w:ind w:hanging="1080"/>
      </w:pPr>
      <w:r w:rsidRPr="00B53423">
        <w:t>The above philosophy of the Commission can be supported by the fact, that in the deficit scenario prevailing in the State the under-achievement of the Distribution Losses results in lower sales which further, results in lower overall revenue. Further, as the recovery of Regulatory Surcharge is also proportionate to actual Revenue for the year, therefore the higher losses would result in lower recovery of Regulatory Surcharge. In such a case it would not be appropriate to pass on the above under-recovery of Regulatory Surcharge to the consumer which has been resulted due to the under-performance of the Distribution Licensees</w:t>
      </w:r>
      <w:r w:rsidR="009E3783" w:rsidRPr="00B53423">
        <w:t>.</w:t>
      </w:r>
    </w:p>
    <w:p w:rsidR="005B31C0" w:rsidRPr="00B53423" w:rsidRDefault="005B31C0" w:rsidP="0015232B">
      <w:pPr>
        <w:pStyle w:val="ListParagraph"/>
      </w:pPr>
    </w:p>
    <w:p w:rsidR="009E3783" w:rsidRPr="00B53423" w:rsidRDefault="009E3783" w:rsidP="0015232B">
      <w:pPr>
        <w:pStyle w:val="Heading3"/>
        <w:keepNext w:val="0"/>
        <w:ind w:hanging="1080"/>
      </w:pPr>
      <w:bookmarkStart w:id="984" w:name="_Ref399502472"/>
      <w:r w:rsidRPr="00B53423">
        <w:t>In view of the above, the applicable Regulatory Surcharge for FY 2014-15 shall be 2.23%. However, the Regulatory Surcharge for subsequent year shall be linked with the actual performance of the Licensees in previous year i.e. the regulatory surcharge for FY 2015-16 will depend on the performance of the Licensees in FY 2014-15. In case the Distribution Licensees fail to achieve the target distribution losses in FY 2014-15, the regulatory surcharge for subsequent year i.e. FY 2015-16 shall be reduced by 10% over the applicable regulatory surcharge for the previous year (i.e. FY 2014-15). The Commission at the end of FY 2015-16 shall again review the applicability of the regulatory surcharge for future years i.e. beyond 2015-16 based on the actual performance of Licensee in the past years.</w:t>
      </w:r>
      <w:bookmarkEnd w:id="984"/>
    </w:p>
    <w:p w:rsidR="005B31C0" w:rsidRPr="00B53423" w:rsidRDefault="005B31C0" w:rsidP="0015232B">
      <w:pPr>
        <w:pStyle w:val="ListParagraph"/>
      </w:pPr>
    </w:p>
    <w:p w:rsidR="009E3783" w:rsidRPr="00B53423" w:rsidRDefault="009E3783" w:rsidP="0015232B">
      <w:pPr>
        <w:pStyle w:val="Heading3"/>
        <w:keepNext w:val="0"/>
        <w:ind w:hanging="1080"/>
      </w:pPr>
      <w:r w:rsidRPr="00B53423">
        <w:t>It may be clarified that the Regulatory Surcharge reduced on account of the under-achieved performance targets shall be considered as deemed recovery. The Commission after accounting the actual recovery and the deemed recovery shall true-up the over / under recovery of the accumulated Regulatory Surcharge while undertaking the Truing up of the relevant year.</w:t>
      </w:r>
    </w:p>
    <w:p w:rsidR="005B31C0" w:rsidRPr="00B53423" w:rsidRDefault="005B31C0" w:rsidP="0015232B">
      <w:pPr>
        <w:pStyle w:val="ListParagraph"/>
      </w:pPr>
    </w:p>
    <w:p w:rsidR="009E3783" w:rsidRPr="00B53423" w:rsidRDefault="009E3783" w:rsidP="0015232B">
      <w:pPr>
        <w:pStyle w:val="Heading3"/>
        <w:keepNext w:val="0"/>
        <w:ind w:hanging="1080"/>
      </w:pPr>
      <w:r w:rsidRPr="00B53423">
        <w:t xml:space="preserve">The Licensee is </w:t>
      </w:r>
      <w:r w:rsidR="00BC60A3" w:rsidRPr="00B53423">
        <w:rPr>
          <w:b/>
        </w:rPr>
        <w:t>directed to depict the Regulatory Surcharge separately and distinctly in the electricity bills of the consumers. The Commission directs the Licensee to maintain separate accounting fields for the regulatory surcharge approved in this Order, and capture the amount collected as Regulatory Surcharge in both of its financial and commercial statements</w:t>
      </w:r>
      <w:r w:rsidRPr="00B53423">
        <w:t>. This would enable the Licensee to correctly report the amounts collected towards Regulatory Surcharge.</w:t>
      </w:r>
    </w:p>
    <w:p w:rsidR="005B31C0" w:rsidRPr="00B53423" w:rsidRDefault="005B31C0" w:rsidP="0015232B">
      <w:pPr>
        <w:pStyle w:val="ListParagraph"/>
      </w:pPr>
    </w:p>
    <w:p w:rsidR="009E3783" w:rsidRPr="00B53423" w:rsidRDefault="009E3783" w:rsidP="0015232B">
      <w:pPr>
        <w:pStyle w:val="Heading3"/>
        <w:keepNext w:val="0"/>
        <w:ind w:hanging="1080"/>
      </w:pPr>
      <w:r w:rsidRPr="00B53423">
        <w:t xml:space="preserve">The </w:t>
      </w:r>
      <w:r w:rsidR="00BC60A3" w:rsidRPr="00B53423">
        <w:rPr>
          <w:b/>
        </w:rPr>
        <w:t>Licensee is directed to submit the actual Regulatory Surcharge recovered in FY 2014-15 on account of the Revenue Gap / Regulatory Asset admitted by the Commission in this Order along with the actual Distribution Losses achieved in FY 2014-15 added in FY 2014-15 by 15</w:t>
      </w:r>
      <w:r w:rsidR="00BC60A3" w:rsidRPr="00B53423">
        <w:rPr>
          <w:b/>
          <w:vertAlign w:val="superscript"/>
        </w:rPr>
        <w:t>th</w:t>
      </w:r>
      <w:r w:rsidR="00BC60A3" w:rsidRPr="00B53423">
        <w:rPr>
          <w:b/>
        </w:rPr>
        <w:t xml:space="preserve"> April, 2015</w:t>
      </w:r>
      <w:r w:rsidRPr="00B53423">
        <w:rPr>
          <w:b/>
        </w:rPr>
        <w:t>.</w:t>
      </w:r>
    </w:p>
    <w:p w:rsidR="005B31C0" w:rsidRPr="00B53423" w:rsidRDefault="005B31C0" w:rsidP="0015232B">
      <w:pPr>
        <w:pStyle w:val="ListParagraph"/>
      </w:pPr>
    </w:p>
    <w:p w:rsidR="009E3783" w:rsidRPr="00B53423" w:rsidRDefault="009E3783" w:rsidP="0015232B">
      <w:pPr>
        <w:pStyle w:val="Heading3"/>
        <w:keepNext w:val="0"/>
        <w:ind w:hanging="1080"/>
      </w:pPr>
      <w:r w:rsidRPr="00B53423">
        <w:t xml:space="preserve">Based on the achievement or under-achievement of target Distribution Losses the Regulatory Surcharge for subsequent financial year i.e. FY 2015-16 shall be revised as detailed in </w:t>
      </w:r>
      <w:r w:rsidR="00BC60A3" w:rsidRPr="00B53423">
        <w:t xml:space="preserve">Para </w:t>
      </w:r>
      <w:r w:rsidR="005A1C9B" w:rsidRPr="00B53423">
        <w:t xml:space="preserve"> </w:t>
      </w:r>
      <w:fldSimple w:instr=" REF _Ref399502472 \r \h  \* MERGEFORMAT ">
        <w:r w:rsidR="00847C1B">
          <w:t>12.3.6</w:t>
        </w:r>
      </w:fldSimple>
      <w:r w:rsidR="00FC0E06" w:rsidRPr="00B53423">
        <w:t xml:space="preserve"> </w:t>
      </w:r>
      <w:r w:rsidRPr="00B53423">
        <w:t>above and the same shall be applicable for FY 2015-16.</w:t>
      </w:r>
    </w:p>
    <w:p w:rsidR="00A40430" w:rsidRDefault="00A40430" w:rsidP="00A40430">
      <w:pPr>
        <w:pStyle w:val="Heading3"/>
        <w:keepNext w:val="0"/>
        <w:numPr>
          <w:ilvl w:val="0"/>
          <w:numId w:val="0"/>
        </w:numPr>
        <w:ind w:left="720"/>
      </w:pPr>
    </w:p>
    <w:p w:rsidR="009E3783" w:rsidRPr="00B53423" w:rsidRDefault="009E3783" w:rsidP="0015232B">
      <w:pPr>
        <w:pStyle w:val="Heading3"/>
        <w:keepNext w:val="0"/>
        <w:ind w:hanging="1080"/>
      </w:pPr>
      <w:r w:rsidRPr="00B53423">
        <w:t>Further, the huge and ever increasing cumulative outstanding revenue gap to be recovered from the consumers is a matter of great concern for the Commission as well as the Licensee. The Commission further directs the Licensees to also consult the Government for providing any relief in this matter which is of great concern</w:t>
      </w:r>
      <w:r w:rsidR="00A40430">
        <w:t>.</w:t>
      </w:r>
    </w:p>
    <w:p w:rsidR="005B31C0" w:rsidRPr="00B53423" w:rsidRDefault="005B31C0" w:rsidP="0015232B">
      <w:pPr>
        <w:pStyle w:val="Heading3"/>
        <w:keepNext w:val="0"/>
        <w:numPr>
          <w:ilvl w:val="0"/>
          <w:numId w:val="0"/>
        </w:numPr>
        <w:ind w:left="720"/>
      </w:pPr>
    </w:p>
    <w:p w:rsidR="00DE37E0" w:rsidRPr="00B53423" w:rsidRDefault="00DE37E0" w:rsidP="0015232B">
      <w:pPr>
        <w:spacing w:line="240" w:lineRule="auto"/>
        <w:jc w:val="left"/>
        <w:rPr>
          <w:rFonts w:cs="Arial"/>
          <w:b/>
          <w:bCs/>
          <w:color w:val="333399"/>
          <w:kern w:val="32"/>
          <w:szCs w:val="32"/>
        </w:rPr>
      </w:pPr>
      <w:bookmarkStart w:id="985" w:name="_Toc336438751"/>
      <w:bookmarkStart w:id="986" w:name="_Toc337201449"/>
      <w:bookmarkStart w:id="987" w:name="_Toc257717228"/>
      <w:r w:rsidRPr="00B53423">
        <w:br w:type="page"/>
      </w:r>
    </w:p>
    <w:p w:rsidR="00A71B2A" w:rsidRPr="00B53423" w:rsidRDefault="00A71B2A" w:rsidP="0015232B">
      <w:pPr>
        <w:pStyle w:val="Heading1"/>
        <w:keepNext w:val="0"/>
        <w:numPr>
          <w:ilvl w:val="0"/>
          <w:numId w:val="1"/>
        </w:numPr>
        <w:ind w:left="810" w:hanging="1170"/>
        <w:sectPr w:rsidR="00A71B2A" w:rsidRPr="00B53423" w:rsidSect="005D7AFD">
          <w:headerReference w:type="default" r:id="rId21"/>
          <w:footerReference w:type="even" r:id="rId22"/>
          <w:footerReference w:type="default" r:id="rId23"/>
          <w:pgSz w:w="11909" w:h="16834" w:code="9"/>
          <w:pgMar w:top="990" w:right="1440" w:bottom="1440" w:left="1728" w:header="1008" w:footer="1008" w:gutter="0"/>
          <w:cols w:space="720"/>
        </w:sectPr>
      </w:pPr>
      <w:bookmarkStart w:id="988" w:name="_Toc357345053"/>
      <w:bookmarkStart w:id="989" w:name="_Toc357733351"/>
    </w:p>
    <w:p w:rsidR="00DE37E0" w:rsidRPr="00B53423" w:rsidRDefault="003A6B3B" w:rsidP="0015232B">
      <w:pPr>
        <w:pStyle w:val="Heading1"/>
        <w:keepNext w:val="0"/>
        <w:numPr>
          <w:ilvl w:val="0"/>
          <w:numId w:val="1"/>
        </w:numPr>
        <w:ind w:left="810" w:hanging="1170"/>
        <w:rPr>
          <w:color w:val="auto"/>
        </w:rPr>
      </w:pPr>
      <w:bookmarkStart w:id="990" w:name="_Toc399626253"/>
      <w:r w:rsidRPr="00B53423">
        <w:rPr>
          <w:color w:val="auto"/>
        </w:rPr>
        <w:t>DIRECTIVES</w:t>
      </w:r>
      <w:bookmarkEnd w:id="985"/>
      <w:bookmarkEnd w:id="986"/>
      <w:bookmarkEnd w:id="988"/>
      <w:bookmarkEnd w:id="989"/>
      <w:bookmarkEnd w:id="990"/>
    </w:p>
    <w:p w:rsidR="00DE37E0" w:rsidRPr="00B53423" w:rsidRDefault="00DE37E0" w:rsidP="0015232B">
      <w:pPr>
        <w:pStyle w:val="Heading2"/>
        <w:keepNext w:val="0"/>
        <w:ind w:left="810" w:hanging="1170"/>
      </w:pPr>
      <w:bookmarkStart w:id="991" w:name="_Toc337201450"/>
      <w:bookmarkStart w:id="992" w:name="_Toc357345054"/>
      <w:bookmarkStart w:id="993" w:name="_Toc357733352"/>
      <w:bookmarkStart w:id="994" w:name="_Toc399626254"/>
      <w:r w:rsidRPr="00B53423">
        <w:t xml:space="preserve">DIRECTIVES PROVIDED BY COMMISSION AND THEIR COMPLIANCE BY </w:t>
      </w:r>
      <w:bookmarkEnd w:id="991"/>
      <w:bookmarkEnd w:id="992"/>
      <w:r w:rsidRPr="00B53423">
        <w:t>LICENSEE</w:t>
      </w:r>
      <w:bookmarkEnd w:id="993"/>
      <w:bookmarkEnd w:id="994"/>
    </w:p>
    <w:p w:rsidR="00DE37E0" w:rsidRPr="00B53423" w:rsidRDefault="00DE37E0" w:rsidP="0015232B">
      <w:pPr>
        <w:pStyle w:val="Heading3"/>
        <w:keepNext w:val="0"/>
        <w:numPr>
          <w:ilvl w:val="0"/>
          <w:numId w:val="0"/>
        </w:numPr>
        <w:ind w:left="936"/>
      </w:pPr>
    </w:p>
    <w:p w:rsidR="00A71B2A" w:rsidRPr="00B53423" w:rsidRDefault="00A71B2A" w:rsidP="0015232B">
      <w:pPr>
        <w:pStyle w:val="Heading3"/>
        <w:keepNext w:val="0"/>
        <w:spacing w:before="120" w:after="120"/>
        <w:ind w:left="810" w:hanging="1170"/>
      </w:pPr>
      <w:r w:rsidRPr="00B53423">
        <w:t>The Commission had issued several directives to the Licensee in the previous Tariff Order dated 31</w:t>
      </w:r>
      <w:r w:rsidRPr="00B53423">
        <w:rPr>
          <w:vertAlign w:val="superscript"/>
        </w:rPr>
        <w:t>st</w:t>
      </w:r>
      <w:r w:rsidRPr="00B53423">
        <w:t xml:space="preserve"> may, 2013. The status of compliance as submitted by the Licensee is as detailed in the following Table:</w:t>
      </w:r>
    </w:p>
    <w:p w:rsidR="00A71B2A" w:rsidRPr="00B53423" w:rsidRDefault="00120B36" w:rsidP="00120B36">
      <w:pPr>
        <w:pStyle w:val="Heading3"/>
        <w:keepNext w:val="0"/>
        <w:numPr>
          <w:ilvl w:val="0"/>
          <w:numId w:val="0"/>
        </w:numPr>
        <w:ind w:left="936"/>
        <w:jc w:val="center"/>
      </w:pPr>
      <w:bookmarkStart w:id="995" w:name="_Toc399626445"/>
      <w:r w:rsidRPr="00120B36">
        <w:rPr>
          <w:b/>
        </w:rPr>
        <w:t xml:space="preserve">TABLE </w:t>
      </w:r>
      <w:r w:rsidR="005D68E7" w:rsidRPr="00120B36">
        <w:rPr>
          <w:b/>
        </w:rPr>
        <w:fldChar w:fldCharType="begin"/>
      </w:r>
      <w:r w:rsidRPr="00120B36">
        <w:rPr>
          <w:b/>
        </w:rPr>
        <w:instrText xml:space="preserve"> STYLEREF 1 \s </w:instrText>
      </w:r>
      <w:r w:rsidR="005D68E7" w:rsidRPr="00120B36">
        <w:rPr>
          <w:b/>
        </w:rPr>
        <w:fldChar w:fldCharType="separate"/>
      </w:r>
      <w:r w:rsidR="00847C1B">
        <w:rPr>
          <w:b/>
          <w:noProof/>
        </w:rPr>
        <w:t>13</w:t>
      </w:r>
      <w:r w:rsidR="005D68E7" w:rsidRPr="00120B36">
        <w:rPr>
          <w:b/>
        </w:rPr>
        <w:fldChar w:fldCharType="end"/>
      </w:r>
      <w:r w:rsidRPr="00120B36">
        <w:rPr>
          <w:b/>
        </w:rPr>
        <w:noBreakHyphen/>
      </w:r>
      <w:r w:rsidR="005D68E7" w:rsidRPr="00120B36">
        <w:rPr>
          <w:b/>
        </w:rPr>
        <w:fldChar w:fldCharType="begin"/>
      </w:r>
      <w:r w:rsidRPr="00120B36">
        <w:rPr>
          <w:b/>
        </w:rPr>
        <w:instrText xml:space="preserve"> SEQ Table \* ARABIC \s 1 </w:instrText>
      </w:r>
      <w:r w:rsidR="005D68E7" w:rsidRPr="00120B36">
        <w:rPr>
          <w:b/>
        </w:rPr>
        <w:fldChar w:fldCharType="separate"/>
      </w:r>
      <w:r w:rsidR="00847C1B">
        <w:rPr>
          <w:b/>
          <w:noProof/>
        </w:rPr>
        <w:t>1</w:t>
      </w:r>
      <w:r w:rsidR="005D68E7" w:rsidRPr="00120B36">
        <w:rPr>
          <w:b/>
        </w:rPr>
        <w:fldChar w:fldCharType="end"/>
      </w:r>
      <w:r w:rsidRPr="00120B36">
        <w:rPr>
          <w:b/>
        </w:rPr>
        <w:t xml:space="preserve">: STATUS OF COMPLIANCE </w:t>
      </w:r>
      <w:r w:rsidR="00EC637C">
        <w:rPr>
          <w:b/>
        </w:rPr>
        <w:t xml:space="preserve">OF </w:t>
      </w:r>
      <w:r w:rsidRPr="00120B36">
        <w:rPr>
          <w:b/>
        </w:rPr>
        <w:t>DIRECTIVES</w:t>
      </w:r>
      <w:bookmarkEnd w:id="995"/>
    </w:p>
    <w:tbl>
      <w:tblPr>
        <w:tblW w:w="4914"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854"/>
        <w:gridCol w:w="4362"/>
        <w:gridCol w:w="2049"/>
        <w:gridCol w:w="4339"/>
        <w:gridCol w:w="2765"/>
      </w:tblGrid>
      <w:tr w:rsidR="00A71B2A" w:rsidRPr="00B53423" w:rsidTr="00265950">
        <w:trPr>
          <w:trHeight w:val="1340"/>
          <w:tblHeader/>
          <w:jc w:val="center"/>
        </w:trPr>
        <w:tc>
          <w:tcPr>
            <w:tcW w:w="297" w:type="pct"/>
            <w:shd w:val="clear" w:color="auto" w:fill="DBE5F1"/>
            <w:hideMark/>
          </w:tcPr>
          <w:p w:rsidR="00A71B2A" w:rsidRPr="00B53423" w:rsidRDefault="00A71B2A" w:rsidP="0015232B">
            <w:pPr>
              <w:spacing w:before="60" w:after="60"/>
              <w:jc w:val="center"/>
              <w:rPr>
                <w:rFonts w:cs="Calibri"/>
                <w:b/>
                <w:bCs/>
                <w:color w:val="000000"/>
              </w:rPr>
            </w:pPr>
            <w:r w:rsidRPr="00B53423">
              <w:rPr>
                <w:rFonts w:cs="Calibri"/>
                <w:b/>
                <w:bCs/>
                <w:color w:val="000000"/>
              </w:rPr>
              <w:t>S. No</w:t>
            </w:r>
          </w:p>
        </w:tc>
        <w:tc>
          <w:tcPr>
            <w:tcW w:w="1518" w:type="pct"/>
            <w:shd w:val="clear" w:color="auto" w:fill="DBE5F1"/>
            <w:hideMark/>
          </w:tcPr>
          <w:p w:rsidR="00A71B2A" w:rsidRPr="00B53423" w:rsidRDefault="00A71B2A" w:rsidP="0015232B">
            <w:pPr>
              <w:spacing w:before="60" w:after="60"/>
              <w:rPr>
                <w:rFonts w:cs="Calibri"/>
                <w:b/>
                <w:bCs/>
                <w:color w:val="000000"/>
              </w:rPr>
            </w:pPr>
            <w:r w:rsidRPr="00B53423">
              <w:rPr>
                <w:rFonts w:cs="Calibri"/>
                <w:b/>
                <w:bCs/>
                <w:color w:val="000000"/>
              </w:rPr>
              <w:t>Description of Directive</w:t>
            </w:r>
          </w:p>
        </w:tc>
        <w:tc>
          <w:tcPr>
            <w:tcW w:w="713" w:type="pct"/>
            <w:shd w:val="clear" w:color="auto" w:fill="DBE5F1"/>
            <w:hideMark/>
          </w:tcPr>
          <w:p w:rsidR="00A71B2A" w:rsidRPr="00B53423" w:rsidRDefault="00A71B2A" w:rsidP="0015232B">
            <w:pPr>
              <w:spacing w:before="60" w:after="60"/>
              <w:rPr>
                <w:rFonts w:cs="Calibri"/>
                <w:b/>
                <w:bCs/>
                <w:color w:val="000000"/>
              </w:rPr>
            </w:pPr>
            <w:r w:rsidRPr="00B53423">
              <w:rPr>
                <w:rFonts w:cs="Calibri"/>
                <w:b/>
                <w:bCs/>
                <w:color w:val="000000"/>
              </w:rPr>
              <w:t>Time Period for compliance from the date of issue of the Tariff Order</w:t>
            </w:r>
          </w:p>
        </w:tc>
        <w:tc>
          <w:tcPr>
            <w:tcW w:w="1510" w:type="pct"/>
            <w:shd w:val="clear" w:color="auto" w:fill="DBE5F1"/>
          </w:tcPr>
          <w:p w:rsidR="00A71B2A" w:rsidRPr="00B53423" w:rsidRDefault="00A71B2A" w:rsidP="0015232B">
            <w:pPr>
              <w:spacing w:before="60" w:after="60"/>
              <w:jc w:val="center"/>
              <w:rPr>
                <w:rFonts w:cs="Calibri"/>
                <w:b/>
                <w:bCs/>
                <w:color w:val="000000"/>
              </w:rPr>
            </w:pPr>
            <w:r w:rsidRPr="00B53423">
              <w:rPr>
                <w:rFonts w:cs="Calibri"/>
                <w:b/>
                <w:bCs/>
                <w:color w:val="000000"/>
              </w:rPr>
              <w:t>Status of Compliance</w:t>
            </w:r>
          </w:p>
        </w:tc>
        <w:tc>
          <w:tcPr>
            <w:tcW w:w="962" w:type="pct"/>
            <w:shd w:val="clear" w:color="auto" w:fill="DBE5F1"/>
          </w:tcPr>
          <w:p w:rsidR="00A71B2A" w:rsidRPr="00B53423" w:rsidRDefault="00A71B2A" w:rsidP="0015232B">
            <w:pPr>
              <w:spacing w:before="60" w:after="60"/>
              <w:jc w:val="center"/>
              <w:rPr>
                <w:rFonts w:cs="Calibri"/>
                <w:b/>
                <w:bCs/>
                <w:color w:val="000000"/>
              </w:rPr>
            </w:pPr>
            <w:r w:rsidRPr="00B53423">
              <w:rPr>
                <w:rFonts w:cs="Calibri"/>
                <w:b/>
                <w:bCs/>
                <w:color w:val="000000"/>
              </w:rPr>
              <w:t>Commission’s Direction</w:t>
            </w:r>
          </w:p>
        </w:tc>
      </w:tr>
      <w:tr w:rsidR="00A71B2A" w:rsidRPr="00B53423" w:rsidTr="00265950">
        <w:trPr>
          <w:trHeight w:val="557"/>
          <w:jc w:val="center"/>
        </w:trPr>
        <w:tc>
          <w:tcPr>
            <w:tcW w:w="297" w:type="pct"/>
            <w:shd w:val="clear" w:color="auto" w:fill="auto"/>
            <w:noWrap/>
            <w:hideMark/>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hideMark/>
          </w:tcPr>
          <w:p w:rsidR="00A71B2A" w:rsidRPr="00B53423" w:rsidRDefault="00A71B2A" w:rsidP="0015232B">
            <w:pPr>
              <w:spacing w:before="60" w:after="60"/>
              <w:rPr>
                <w:rFonts w:cs="Calibri"/>
              </w:rPr>
            </w:pPr>
            <w:r w:rsidRPr="00B53423">
              <w:rPr>
                <w:rFonts w:cs="Calibri"/>
                <w:color w:val="000000"/>
              </w:rPr>
              <w:t>The Commission directs the Licensee to pressingly pursue the proposal for allocation of PPAs to Discoms with GoUP and expedite the process of allocation.</w:t>
            </w:r>
          </w:p>
        </w:tc>
        <w:tc>
          <w:tcPr>
            <w:tcW w:w="713" w:type="pct"/>
            <w:shd w:val="clear" w:color="auto" w:fill="auto"/>
            <w:noWrap/>
            <w:hideMark/>
          </w:tcPr>
          <w:p w:rsidR="00A71B2A" w:rsidRPr="00B53423" w:rsidRDefault="00A71B2A" w:rsidP="0015232B">
            <w:pPr>
              <w:spacing w:before="60" w:after="60"/>
              <w:jc w:val="center"/>
              <w:rPr>
                <w:rFonts w:cs="Calibri"/>
              </w:rPr>
            </w:pPr>
            <w:r w:rsidRPr="00B53423">
              <w:rPr>
                <w:rFonts w:cs="Calibri"/>
              </w:rPr>
              <w:t>Immediate</w:t>
            </w:r>
          </w:p>
        </w:tc>
        <w:tc>
          <w:tcPr>
            <w:tcW w:w="1510" w:type="pct"/>
          </w:tcPr>
          <w:p w:rsidR="00A71B2A" w:rsidRPr="00B53423" w:rsidRDefault="00A71B2A" w:rsidP="0015232B">
            <w:pPr>
              <w:spacing w:before="60" w:after="60"/>
              <w:rPr>
                <w:rFonts w:cs="Calibri"/>
              </w:rPr>
            </w:pPr>
            <w:r w:rsidRPr="00B53423">
              <w:rPr>
                <w:rFonts w:cs="Calibri"/>
              </w:rPr>
              <w:t>Licensee submitted that the draft proposal for allocation of PPAs to Discoms has already been sent to GoUP for notification and the matter is still pending at GoUP level.</w:t>
            </w:r>
          </w:p>
        </w:tc>
        <w:tc>
          <w:tcPr>
            <w:tcW w:w="962" w:type="pct"/>
          </w:tcPr>
          <w:p w:rsidR="00A71B2A" w:rsidRPr="00B53423" w:rsidRDefault="00A71B2A" w:rsidP="0015232B">
            <w:pPr>
              <w:spacing w:before="60" w:after="60"/>
              <w:rPr>
                <w:rFonts w:cs="Calibri"/>
              </w:rPr>
            </w:pPr>
            <w:r w:rsidRPr="00B53423">
              <w:rPr>
                <w:rFonts w:cs="Calibri"/>
                <w:color w:val="000000"/>
              </w:rPr>
              <w:t>The Licensee should expedite the process of allocation and submit the status of the same in next Tariff filling.</w:t>
            </w:r>
          </w:p>
        </w:tc>
      </w:tr>
      <w:tr w:rsidR="00A71B2A" w:rsidRPr="00B53423" w:rsidTr="00265950">
        <w:trPr>
          <w:trHeight w:val="55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color w:val="000000"/>
              </w:rPr>
            </w:pPr>
          </w:p>
        </w:tc>
        <w:tc>
          <w:tcPr>
            <w:tcW w:w="1518" w:type="pct"/>
            <w:shd w:val="clear" w:color="auto" w:fill="auto"/>
            <w:noWrap/>
          </w:tcPr>
          <w:p w:rsidR="00A71B2A" w:rsidRPr="00B53423" w:rsidRDefault="00A71B2A" w:rsidP="0015232B">
            <w:pPr>
              <w:spacing w:before="60" w:after="60"/>
              <w:rPr>
                <w:rFonts w:cs="Calibri"/>
                <w:color w:val="000000"/>
              </w:rPr>
            </w:pPr>
            <w:r w:rsidRPr="00B53423">
              <w:rPr>
                <w:rFonts w:cs="Calibri"/>
              </w:rPr>
              <w:t xml:space="preserve">The Commission directs the Licensee to file its ARR / Tariff Petition for FY 2014-15 along with True up Petition for FY 2011-12 based on audited accounts. </w:t>
            </w:r>
          </w:p>
        </w:tc>
        <w:tc>
          <w:tcPr>
            <w:tcW w:w="713" w:type="pct"/>
            <w:shd w:val="clear" w:color="auto" w:fill="auto"/>
            <w:noWrap/>
          </w:tcPr>
          <w:p w:rsidR="00A71B2A" w:rsidRPr="00B53423" w:rsidRDefault="00A71B2A" w:rsidP="0015232B">
            <w:pPr>
              <w:spacing w:before="60" w:after="60"/>
              <w:jc w:val="center"/>
              <w:rPr>
                <w:rFonts w:cs="Calibri"/>
                <w:color w:val="000000"/>
              </w:rPr>
            </w:pPr>
            <w:r w:rsidRPr="00B53423">
              <w:rPr>
                <w:rFonts w:cs="Calibri"/>
              </w:rPr>
              <w:t>By 30</w:t>
            </w:r>
            <w:r w:rsidRPr="00B53423">
              <w:rPr>
                <w:rFonts w:cs="Calibri"/>
                <w:vertAlign w:val="superscript"/>
              </w:rPr>
              <w:t>th</w:t>
            </w:r>
            <w:r w:rsidRPr="00B53423">
              <w:rPr>
                <w:rFonts w:cs="Calibri"/>
              </w:rPr>
              <w:t xml:space="preserve"> November, 2013</w:t>
            </w:r>
          </w:p>
        </w:tc>
        <w:tc>
          <w:tcPr>
            <w:tcW w:w="1510" w:type="pct"/>
          </w:tcPr>
          <w:p w:rsidR="00A71B2A" w:rsidRPr="00B53423" w:rsidRDefault="00A71B2A" w:rsidP="0015232B">
            <w:pPr>
              <w:spacing w:before="60" w:after="60"/>
              <w:rPr>
                <w:rFonts w:cs="Calibri"/>
              </w:rPr>
            </w:pPr>
            <w:r w:rsidRPr="00B53423">
              <w:rPr>
                <w:rFonts w:cs="Calibri"/>
              </w:rPr>
              <w:t>Licensee submitted that the current petition is being filed by in a time bound manner. The true up for FY 2011-12 based on audited accounts is also being filed along with the ARR Petition</w:t>
            </w:r>
          </w:p>
        </w:tc>
        <w:tc>
          <w:tcPr>
            <w:tcW w:w="962" w:type="pct"/>
          </w:tcPr>
          <w:p w:rsidR="00A71B2A" w:rsidRPr="00B53423" w:rsidRDefault="00A71B2A" w:rsidP="0015232B">
            <w:pPr>
              <w:spacing w:before="60" w:after="60"/>
              <w:rPr>
                <w:rFonts w:cs="Calibri"/>
              </w:rPr>
            </w:pPr>
            <w:r w:rsidRPr="00B53423">
              <w:rPr>
                <w:rFonts w:cs="Calibri"/>
              </w:rPr>
              <w:t>-</w:t>
            </w:r>
          </w:p>
        </w:tc>
      </w:tr>
      <w:tr w:rsidR="00A71B2A" w:rsidRPr="00B53423" w:rsidTr="00265950">
        <w:trPr>
          <w:trHeight w:val="55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color w:val="000000"/>
              </w:rPr>
            </w:pPr>
          </w:p>
        </w:tc>
        <w:tc>
          <w:tcPr>
            <w:tcW w:w="1518" w:type="pct"/>
            <w:shd w:val="clear" w:color="auto" w:fill="auto"/>
            <w:noWrap/>
          </w:tcPr>
          <w:p w:rsidR="00A71B2A" w:rsidRPr="00B53423" w:rsidRDefault="00A71B2A" w:rsidP="0015232B">
            <w:pPr>
              <w:spacing w:before="60" w:after="60"/>
              <w:rPr>
                <w:rFonts w:cs="Calibri"/>
              </w:rPr>
            </w:pPr>
            <w:r w:rsidRPr="00B53423">
              <w:rPr>
                <w:rFonts w:cs="Calibri"/>
              </w:rPr>
              <w:t>The Commission directs the Licensee to submit the supplementary audit report of the AGUP for FY 2009-10 and 2010-11.</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rPr>
              <w:t>Within 7 days of the date of its finalization by the AGUP</w:t>
            </w:r>
          </w:p>
        </w:tc>
        <w:tc>
          <w:tcPr>
            <w:tcW w:w="1510" w:type="pct"/>
          </w:tcPr>
          <w:p w:rsidR="00A71B2A" w:rsidRPr="00B53423" w:rsidRDefault="00A71B2A" w:rsidP="0015232B">
            <w:pPr>
              <w:spacing w:before="60" w:after="60"/>
              <w:rPr>
                <w:rFonts w:cs="Calibri"/>
              </w:rPr>
            </w:pPr>
            <w:r w:rsidRPr="00B53423">
              <w:rPr>
                <w:rFonts w:cs="Calibri"/>
              </w:rPr>
              <w:t>Licensee submitted that the supplementary audit report of the AGUP for FY 2009-10, 2010-11 and 2011-12 are being filed along with the current Petition.</w:t>
            </w:r>
          </w:p>
        </w:tc>
        <w:tc>
          <w:tcPr>
            <w:tcW w:w="962" w:type="pct"/>
          </w:tcPr>
          <w:p w:rsidR="00A71B2A" w:rsidRPr="00B53423" w:rsidRDefault="00A71B2A" w:rsidP="0015232B">
            <w:pPr>
              <w:spacing w:before="60" w:after="60"/>
              <w:rPr>
                <w:rFonts w:cs="Calibri"/>
              </w:rPr>
            </w:pPr>
            <w:r w:rsidRPr="00B53423">
              <w:rPr>
                <w:rFonts w:cs="Calibri"/>
              </w:rPr>
              <w:t>-</w:t>
            </w:r>
          </w:p>
        </w:tc>
      </w:tr>
      <w:tr w:rsidR="00A71B2A" w:rsidRPr="00B53423" w:rsidTr="00265950">
        <w:trPr>
          <w:trHeight w:val="43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color w:val="000000"/>
              </w:rPr>
            </w:pPr>
          </w:p>
        </w:tc>
        <w:tc>
          <w:tcPr>
            <w:tcW w:w="1518" w:type="pct"/>
            <w:shd w:val="clear" w:color="auto" w:fill="auto"/>
            <w:noWrap/>
          </w:tcPr>
          <w:p w:rsidR="00A71B2A" w:rsidRPr="00B53423" w:rsidRDefault="00A71B2A" w:rsidP="0015232B">
            <w:pPr>
              <w:spacing w:before="60" w:after="60"/>
              <w:rPr>
                <w:rFonts w:cs="Calibri"/>
                <w:color w:val="000000"/>
              </w:rPr>
            </w:pPr>
            <w:r w:rsidRPr="00B53423">
              <w:rPr>
                <w:rFonts w:cs="Calibri"/>
                <w:color w:val="000000"/>
              </w:rPr>
              <w:t xml:space="preserve">The scheme of the Act requires the Licensee to work with complete functional autonomy and independence. The Commission, with a view to ensure functional autonomy, independence, transparency and regulatory discipline, hereby direct, that in case of all future ARR submissions, each distribution Licensee shall file independent ARR petitions, rate schedule, response to deficiency notes, additional submissions, response to stakeholder queries, etc directly before the Commission and not through its holding company namely UPPCL. </w:t>
            </w:r>
          </w:p>
        </w:tc>
        <w:tc>
          <w:tcPr>
            <w:tcW w:w="713" w:type="pct"/>
            <w:shd w:val="clear" w:color="auto" w:fill="auto"/>
            <w:noWrap/>
          </w:tcPr>
          <w:p w:rsidR="00A71B2A" w:rsidRPr="00B53423" w:rsidRDefault="00A71B2A" w:rsidP="0015232B">
            <w:pPr>
              <w:spacing w:before="60" w:after="60"/>
              <w:jc w:val="center"/>
              <w:rPr>
                <w:rFonts w:cs="Calibri"/>
                <w:color w:val="000000"/>
              </w:rPr>
            </w:pPr>
            <w:r w:rsidRPr="00B53423">
              <w:rPr>
                <w:rFonts w:cs="Calibri"/>
                <w:color w:val="000000"/>
              </w:rPr>
              <w:t>Along with the petition for FY 2014-15</w:t>
            </w:r>
          </w:p>
        </w:tc>
        <w:tc>
          <w:tcPr>
            <w:tcW w:w="1510" w:type="pct"/>
          </w:tcPr>
          <w:p w:rsidR="00A71B2A" w:rsidRPr="00B53423" w:rsidRDefault="00265950" w:rsidP="0015232B">
            <w:pPr>
              <w:spacing w:before="60" w:after="60"/>
              <w:rPr>
                <w:rFonts w:cs="Calibri"/>
                <w:color w:val="000000"/>
              </w:rPr>
            </w:pPr>
            <w:r w:rsidRPr="00B53423">
              <w:rPr>
                <w:rFonts w:cs="Calibri"/>
                <w:color w:val="000000"/>
              </w:rPr>
              <w:t xml:space="preserve">The Petitioner is filing the ARR Petition independently and not through its holding company. </w:t>
            </w:r>
          </w:p>
        </w:tc>
        <w:tc>
          <w:tcPr>
            <w:tcW w:w="962" w:type="pct"/>
          </w:tcPr>
          <w:p w:rsidR="00A71B2A" w:rsidRPr="00B53423" w:rsidRDefault="00A71B2A" w:rsidP="0015232B">
            <w:pPr>
              <w:spacing w:before="60" w:after="60"/>
              <w:rPr>
                <w:rFonts w:cs="Calibri"/>
                <w:color w:val="000000"/>
              </w:rPr>
            </w:pPr>
            <w:r w:rsidRPr="00B53423">
              <w:rPr>
                <w:rFonts w:cs="Calibri"/>
                <w:color w:val="000000"/>
              </w:rPr>
              <w:t>-</w:t>
            </w:r>
          </w:p>
        </w:tc>
      </w:tr>
      <w:tr w:rsidR="00A71B2A" w:rsidRPr="00B53423" w:rsidTr="00265950">
        <w:trPr>
          <w:trHeight w:val="2271"/>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color w:val="000000"/>
              </w:rPr>
            </w:pPr>
          </w:p>
        </w:tc>
        <w:tc>
          <w:tcPr>
            <w:tcW w:w="1518" w:type="pct"/>
            <w:shd w:val="clear" w:color="auto" w:fill="auto"/>
            <w:noWrap/>
          </w:tcPr>
          <w:p w:rsidR="00A71B2A" w:rsidRPr="00B53423" w:rsidRDefault="00A71B2A" w:rsidP="0015232B">
            <w:pPr>
              <w:spacing w:before="60" w:after="60"/>
              <w:rPr>
                <w:rFonts w:cs="Calibri"/>
                <w:color w:val="000000"/>
              </w:rPr>
            </w:pPr>
            <w:r w:rsidRPr="00B53423">
              <w:rPr>
                <w:rFonts w:cs="Calibri"/>
                <w:color w:val="000000"/>
              </w:rPr>
              <w:t>The Commission directs the Licensee to pressingly pursue the GoUP for finalization of the Transfer Scheme and submit a copy of the same.</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color w:val="000000"/>
              </w:rPr>
              <w:t>Within 3 months</w:t>
            </w:r>
          </w:p>
        </w:tc>
        <w:tc>
          <w:tcPr>
            <w:tcW w:w="1510" w:type="pct"/>
          </w:tcPr>
          <w:p w:rsidR="00A71B2A" w:rsidRPr="00B53423" w:rsidRDefault="00A71B2A" w:rsidP="0015232B">
            <w:pPr>
              <w:spacing w:before="60" w:after="60"/>
              <w:rPr>
                <w:rFonts w:cs="Calibri"/>
                <w:color w:val="000000"/>
              </w:rPr>
            </w:pPr>
            <w:r w:rsidRPr="00B53423">
              <w:rPr>
                <w:rFonts w:cs="Calibri"/>
                <w:color w:val="000000"/>
              </w:rPr>
              <w:t>Licensee submitted that matter is being handled through the holding company namely UPPCL on behalf of all the Discoms which is pressingly pursuing the matter with the GoUP for the finalization of the Transfer Scheme.</w:t>
            </w:r>
          </w:p>
        </w:tc>
        <w:tc>
          <w:tcPr>
            <w:tcW w:w="962" w:type="pct"/>
          </w:tcPr>
          <w:p w:rsidR="00A71B2A" w:rsidRPr="00B53423" w:rsidRDefault="00A71B2A" w:rsidP="0015232B">
            <w:pPr>
              <w:spacing w:before="60" w:after="60"/>
              <w:rPr>
                <w:rFonts w:cs="Calibri"/>
                <w:color w:val="000000"/>
              </w:rPr>
            </w:pPr>
            <w:r w:rsidRPr="00B53423">
              <w:rPr>
                <w:rFonts w:cs="Calibri"/>
                <w:color w:val="000000"/>
              </w:rPr>
              <w:t>The Licensee should expedite the process of finalization of transfer scheme and submit the status of the same in next Tariff filling.</w:t>
            </w:r>
          </w:p>
        </w:tc>
      </w:tr>
      <w:tr w:rsidR="00265950" w:rsidRPr="00B53423" w:rsidTr="00265950">
        <w:trPr>
          <w:trHeight w:val="2271"/>
          <w:jc w:val="center"/>
        </w:trPr>
        <w:tc>
          <w:tcPr>
            <w:tcW w:w="297" w:type="pct"/>
            <w:shd w:val="clear" w:color="auto" w:fill="auto"/>
            <w:noWrap/>
          </w:tcPr>
          <w:p w:rsidR="00265950" w:rsidRPr="00B53423" w:rsidRDefault="00265950" w:rsidP="000174C0">
            <w:pPr>
              <w:pStyle w:val="ListParagraph"/>
              <w:numPr>
                <w:ilvl w:val="0"/>
                <w:numId w:val="79"/>
              </w:numPr>
              <w:spacing w:before="60" w:after="60"/>
              <w:jc w:val="center"/>
              <w:rPr>
                <w:rFonts w:cs="Calibri"/>
                <w:color w:val="000000"/>
              </w:rPr>
            </w:pPr>
          </w:p>
        </w:tc>
        <w:tc>
          <w:tcPr>
            <w:tcW w:w="1518" w:type="pct"/>
            <w:shd w:val="clear" w:color="auto" w:fill="auto"/>
            <w:noWrap/>
          </w:tcPr>
          <w:p w:rsidR="00265950" w:rsidRPr="00B53423" w:rsidRDefault="00265950" w:rsidP="0015232B">
            <w:pPr>
              <w:spacing w:before="60" w:after="60"/>
              <w:rPr>
                <w:rFonts w:cs="Calibri"/>
                <w:color w:val="000000"/>
              </w:rPr>
            </w:pPr>
            <w:r w:rsidRPr="00B53423">
              <w:rPr>
                <w:rFonts w:cs="Calibri"/>
                <w:color w:val="000000"/>
              </w:rPr>
              <w:t>The Commission directs the Licensee to submit its share of apportioned O&amp;M expenses of UPPCL from FY 2007-08 onwards. The same would be considered along with the true up petitions filed by the Licensee.</w:t>
            </w:r>
          </w:p>
        </w:tc>
        <w:tc>
          <w:tcPr>
            <w:tcW w:w="713" w:type="pct"/>
            <w:shd w:val="clear" w:color="auto" w:fill="auto"/>
            <w:noWrap/>
          </w:tcPr>
          <w:p w:rsidR="00265950" w:rsidRPr="00B53423" w:rsidRDefault="00265950" w:rsidP="0015232B">
            <w:pPr>
              <w:spacing w:before="60" w:after="60"/>
              <w:jc w:val="center"/>
              <w:rPr>
                <w:rFonts w:eastAsia="Arial Unicode MS" w:cs="Calibri"/>
                <w:b/>
                <w:bCs/>
                <w:color w:val="000000"/>
              </w:rPr>
            </w:pPr>
            <w:r w:rsidRPr="00B53423">
              <w:rPr>
                <w:rFonts w:cs="Calibri"/>
                <w:color w:val="000000"/>
              </w:rPr>
              <w:t>Within 1 month</w:t>
            </w:r>
          </w:p>
        </w:tc>
        <w:tc>
          <w:tcPr>
            <w:tcW w:w="1510" w:type="pct"/>
          </w:tcPr>
          <w:p w:rsidR="00265950" w:rsidRPr="00B53423" w:rsidRDefault="00265950" w:rsidP="0015232B">
            <w:pPr>
              <w:spacing w:before="60" w:after="60"/>
              <w:rPr>
                <w:rFonts w:cs="Calibri"/>
                <w:color w:val="000000"/>
              </w:rPr>
            </w:pPr>
            <w:r w:rsidRPr="00B53423">
              <w:rPr>
                <w:rFonts w:cs="Calibri"/>
                <w:color w:val="000000"/>
              </w:rPr>
              <w:t>The Petitioner submitted it has requested the UPPCL to file the details of the O&amp;M expenses for the FY 2008-09 to 2011-12 before the Commission and the same may be considered by the Commission while conducting the final truing up for FY 2008-09 to 2011-12.</w:t>
            </w:r>
          </w:p>
        </w:tc>
        <w:tc>
          <w:tcPr>
            <w:tcW w:w="962" w:type="pct"/>
          </w:tcPr>
          <w:p w:rsidR="00265950" w:rsidRPr="00B53423" w:rsidRDefault="00265950" w:rsidP="0015232B">
            <w:pPr>
              <w:spacing w:before="60" w:after="60"/>
              <w:rPr>
                <w:rFonts w:cs="Calibri"/>
                <w:color w:val="000000"/>
              </w:rPr>
            </w:pPr>
            <w:r w:rsidRPr="00B53423">
              <w:rPr>
                <w:rFonts w:cs="Calibri"/>
                <w:color w:val="000000"/>
              </w:rPr>
              <w:t>-</w:t>
            </w:r>
          </w:p>
        </w:tc>
      </w:tr>
      <w:tr w:rsidR="00A71B2A" w:rsidRPr="00B53423" w:rsidTr="00265950">
        <w:trPr>
          <w:trHeight w:val="593"/>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color w:val="000000"/>
              </w:rPr>
            </w:pPr>
          </w:p>
        </w:tc>
        <w:tc>
          <w:tcPr>
            <w:tcW w:w="1518" w:type="pct"/>
            <w:shd w:val="clear" w:color="auto" w:fill="auto"/>
            <w:noWrap/>
          </w:tcPr>
          <w:p w:rsidR="00A71B2A" w:rsidRPr="00B53423" w:rsidRDefault="00A71B2A" w:rsidP="0015232B">
            <w:pPr>
              <w:spacing w:before="60" w:after="60"/>
              <w:rPr>
                <w:rFonts w:cs="Calibri"/>
                <w:color w:val="000000"/>
              </w:rPr>
            </w:pPr>
            <w:r w:rsidRPr="00B53423">
              <w:rPr>
                <w:rFonts w:cs="Calibri"/>
                <w:color w:val="000000"/>
              </w:rPr>
              <w:t>The Commission directs the Licensee to frame an appropriate policy on capitalization of (i) employee costs, and (ii) A&amp;G expenses.</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rPr>
              <w:t>Along with the petition for FY 2014-15</w:t>
            </w:r>
          </w:p>
        </w:tc>
        <w:tc>
          <w:tcPr>
            <w:tcW w:w="1510" w:type="pct"/>
          </w:tcPr>
          <w:p w:rsidR="00A71B2A" w:rsidRPr="00B53423" w:rsidRDefault="00A71B2A" w:rsidP="0015232B">
            <w:pPr>
              <w:spacing w:before="60" w:after="60"/>
              <w:rPr>
                <w:rFonts w:cs="Calibri"/>
                <w:color w:val="000000"/>
              </w:rPr>
            </w:pPr>
            <w:r w:rsidRPr="00B53423">
              <w:rPr>
                <w:rFonts w:cs="Calibri"/>
                <w:color w:val="000000"/>
              </w:rPr>
              <w:t>The licensee’s policy on capitalization of (i) employee costs, and (ii) A&amp;G expenses has been provided in the Notes on Accounts annexed with the audited accounts which is reproduced below:</w:t>
            </w:r>
          </w:p>
          <w:p w:rsidR="00A71B2A" w:rsidRPr="00B53423" w:rsidRDefault="00A71B2A" w:rsidP="0015232B">
            <w:pPr>
              <w:spacing w:before="60" w:after="60"/>
              <w:rPr>
                <w:rFonts w:cs="Calibri"/>
              </w:rPr>
            </w:pPr>
            <w:r w:rsidRPr="00B53423">
              <w:rPr>
                <w:rFonts w:cs="Calibri"/>
                <w:color w:val="000000"/>
              </w:rPr>
              <w:t>“Due to multiplicity of functional units as well as multiplicity of function at particular unit, employee cost and general &amp; administration expenses to capital works are capitalised @ 15% on distribution and deposit work, 11% on other works on the amount of total expenditure.”</w:t>
            </w:r>
          </w:p>
        </w:tc>
        <w:tc>
          <w:tcPr>
            <w:tcW w:w="962" w:type="pct"/>
          </w:tcPr>
          <w:p w:rsidR="00A71B2A" w:rsidRPr="00B53423" w:rsidRDefault="00A71B2A" w:rsidP="0015232B">
            <w:pPr>
              <w:spacing w:before="60" w:after="60"/>
              <w:rPr>
                <w:rFonts w:cs="Calibri"/>
                <w:color w:val="000000"/>
              </w:rPr>
            </w:pPr>
            <w:r w:rsidRPr="00B53423">
              <w:rPr>
                <w:rFonts w:cs="Calibri"/>
                <w:color w:val="000000"/>
              </w:rPr>
              <w:t xml:space="preserve">The Licensee has quoted the extract of the audited accounts. However, still the Licensee has not framed any policy in the same. Licensee should frame a policy capitalization of (i) employee costs, and (ii) A&amp;G expenses. Licensee should also submit </w:t>
            </w:r>
            <w:proofErr w:type="gramStart"/>
            <w:r w:rsidRPr="00B53423">
              <w:rPr>
                <w:rFonts w:cs="Calibri"/>
                <w:color w:val="000000"/>
              </w:rPr>
              <w:t>an</w:t>
            </w:r>
            <w:proofErr w:type="gramEnd"/>
            <w:r w:rsidRPr="00B53423">
              <w:rPr>
                <w:rFonts w:cs="Calibri"/>
                <w:color w:val="000000"/>
              </w:rPr>
              <w:t xml:space="preserve"> detailed note on the framed policy in its next ARR filing.</w:t>
            </w:r>
          </w:p>
        </w:tc>
      </w:tr>
      <w:tr w:rsidR="00A71B2A" w:rsidRPr="00B53423" w:rsidTr="00265950">
        <w:trPr>
          <w:trHeight w:val="593"/>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color w:val="000000"/>
              </w:rPr>
            </w:pPr>
          </w:p>
        </w:tc>
        <w:tc>
          <w:tcPr>
            <w:tcW w:w="1518" w:type="pct"/>
            <w:shd w:val="clear" w:color="auto" w:fill="auto"/>
            <w:noWrap/>
          </w:tcPr>
          <w:p w:rsidR="00A71B2A" w:rsidRPr="00B53423" w:rsidRDefault="00A71B2A" w:rsidP="0015232B">
            <w:pPr>
              <w:spacing w:before="60" w:after="60"/>
              <w:rPr>
                <w:rFonts w:cs="Calibri"/>
                <w:color w:val="000000"/>
              </w:rPr>
            </w:pPr>
            <w:r w:rsidRPr="00B53423">
              <w:rPr>
                <w:rFonts w:cs="Calibri"/>
                <w:color w:val="000000"/>
              </w:rPr>
              <w:t>The Commission directs the Licensee to submit Fresh Actuarial Valuation Study Report in respect to employee expenses.</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rPr>
              <w:t>Along with the Petition for FY 2014-15</w:t>
            </w:r>
          </w:p>
        </w:tc>
        <w:tc>
          <w:tcPr>
            <w:tcW w:w="1510" w:type="pct"/>
          </w:tcPr>
          <w:p w:rsidR="00A71B2A" w:rsidRPr="00B53423" w:rsidRDefault="00A71B2A" w:rsidP="0015232B">
            <w:pPr>
              <w:spacing w:before="60" w:after="60"/>
              <w:rPr>
                <w:rFonts w:cs="Calibri"/>
              </w:rPr>
            </w:pPr>
            <w:r w:rsidRPr="00B53423">
              <w:rPr>
                <w:rFonts w:cs="Calibri"/>
                <w:color w:val="000000"/>
              </w:rPr>
              <w:t>Licensee submitted that the matter would be taken up at UPPCL level as the employees the Licensee are not its core employees but common employees across all 4 Discoms, UPPTCL and UPPCL.</w:t>
            </w:r>
          </w:p>
        </w:tc>
        <w:tc>
          <w:tcPr>
            <w:tcW w:w="962" w:type="pct"/>
          </w:tcPr>
          <w:p w:rsidR="00A71B2A" w:rsidRPr="00B53423" w:rsidRDefault="00A71B2A" w:rsidP="0015232B">
            <w:pPr>
              <w:spacing w:before="60" w:after="60"/>
              <w:rPr>
                <w:rFonts w:cs="Calibri"/>
                <w:color w:val="000000"/>
              </w:rPr>
            </w:pPr>
            <w:r w:rsidRPr="00B53423">
              <w:rPr>
                <w:rFonts w:cs="Calibri"/>
                <w:color w:val="000000"/>
              </w:rPr>
              <w:t>As directed in the previous Order, the Licensee should submit the Fresh Actuarial Valuation Study Report in respect to employee expenses in its next ARR filing.</w:t>
            </w:r>
          </w:p>
        </w:tc>
      </w:tr>
      <w:tr w:rsidR="00A71B2A" w:rsidRPr="00B53423" w:rsidTr="00265950">
        <w:trPr>
          <w:trHeight w:val="64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color w:val="000000"/>
              </w:rPr>
            </w:pPr>
          </w:p>
        </w:tc>
        <w:tc>
          <w:tcPr>
            <w:tcW w:w="1518" w:type="pct"/>
            <w:shd w:val="clear" w:color="auto" w:fill="auto"/>
            <w:noWrap/>
          </w:tcPr>
          <w:p w:rsidR="00A71B2A" w:rsidRPr="00B53423" w:rsidRDefault="00A71B2A" w:rsidP="0015232B">
            <w:pPr>
              <w:spacing w:before="60" w:after="60"/>
              <w:rPr>
                <w:rFonts w:cs="Calibri"/>
                <w:color w:val="000000"/>
              </w:rPr>
            </w:pPr>
            <w:r w:rsidRPr="00B53423">
              <w:rPr>
                <w:rFonts w:cs="Calibri"/>
                <w:color w:val="000000"/>
              </w:rPr>
              <w:t>The Commission directs the Licensee to submit statutory auditor certificate towards pay revision impacts which are uncontrollable in nature in FY 2008-09, 2009-10, 2010-11 and 2011-12.</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rPr>
              <w:t xml:space="preserve">Within 1 month </w:t>
            </w:r>
          </w:p>
        </w:tc>
        <w:tc>
          <w:tcPr>
            <w:tcW w:w="1510" w:type="pct"/>
          </w:tcPr>
          <w:p w:rsidR="00A71B2A" w:rsidRPr="00B53423" w:rsidRDefault="00265950" w:rsidP="0015232B">
            <w:pPr>
              <w:spacing w:before="60" w:after="60"/>
              <w:rPr>
                <w:rFonts w:cs="Calibri"/>
              </w:rPr>
            </w:pPr>
            <w:r w:rsidRPr="00B53423">
              <w:rPr>
                <w:rFonts w:cs="Calibri"/>
              </w:rPr>
              <w:t>The Licensee submitted the statement of payments towards pay revision impacts which are uncontrollable in nature for the period FY 2007-08 to 2011-12 duly certified by a chartered accountant along with the Petition</w:t>
            </w:r>
          </w:p>
        </w:tc>
        <w:tc>
          <w:tcPr>
            <w:tcW w:w="962" w:type="pct"/>
          </w:tcPr>
          <w:p w:rsidR="00A71B2A" w:rsidRPr="00B53423" w:rsidRDefault="00A71B2A" w:rsidP="0015232B">
            <w:pPr>
              <w:spacing w:before="60" w:after="60"/>
              <w:rPr>
                <w:rFonts w:cs="Calibri"/>
              </w:rPr>
            </w:pPr>
            <w:r w:rsidRPr="00B53423">
              <w:rPr>
                <w:rFonts w:cs="Calibri"/>
              </w:rPr>
              <w:t>-</w:t>
            </w:r>
          </w:p>
        </w:tc>
      </w:tr>
      <w:tr w:rsidR="00A71B2A" w:rsidRPr="00B53423" w:rsidTr="00265950">
        <w:trPr>
          <w:trHeight w:val="28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hideMark/>
          </w:tcPr>
          <w:p w:rsidR="00A71B2A" w:rsidRPr="00B53423" w:rsidRDefault="00A71B2A" w:rsidP="0015232B">
            <w:pPr>
              <w:spacing w:before="60" w:after="60"/>
              <w:rPr>
                <w:rFonts w:cs="Calibri"/>
              </w:rPr>
            </w:pPr>
            <w:r w:rsidRPr="00B53423">
              <w:rPr>
                <w:rFonts w:cs="Calibri"/>
              </w:rPr>
              <w:t xml:space="preserve">As lack of approved transparent policy on identifying and writing off bad debts is hindering allowance of bad debts as an ARR component; the Commission directs the Licensee to submit ten sample cases of LT &amp; HT consumers where orders have been issued for writing off bad debts, clearly depicting the procedure adopted for writing off bad debts along with policy framework for managing bad debts for the Commission’s perusal. </w:t>
            </w:r>
          </w:p>
        </w:tc>
        <w:tc>
          <w:tcPr>
            <w:tcW w:w="713" w:type="pct"/>
            <w:shd w:val="clear" w:color="auto" w:fill="auto"/>
            <w:noWrap/>
            <w:hideMark/>
          </w:tcPr>
          <w:p w:rsidR="00A71B2A" w:rsidRPr="00B53423" w:rsidRDefault="00A71B2A" w:rsidP="0015232B">
            <w:pPr>
              <w:spacing w:before="60" w:after="60"/>
              <w:jc w:val="center"/>
              <w:rPr>
                <w:rFonts w:cs="Calibri"/>
              </w:rPr>
            </w:pPr>
            <w:r w:rsidRPr="00B53423">
              <w:rPr>
                <w:rFonts w:cs="Calibri"/>
              </w:rPr>
              <w:t>Within 1 month</w:t>
            </w:r>
          </w:p>
        </w:tc>
        <w:tc>
          <w:tcPr>
            <w:tcW w:w="1510" w:type="pct"/>
          </w:tcPr>
          <w:p w:rsidR="00A71B2A" w:rsidRPr="00B53423" w:rsidRDefault="00A71B2A" w:rsidP="0015232B">
            <w:pPr>
              <w:spacing w:before="60" w:after="60"/>
              <w:rPr>
                <w:rFonts w:cs="Calibri"/>
                <w:color w:val="000000"/>
              </w:rPr>
            </w:pPr>
            <w:r w:rsidRPr="00B53423">
              <w:rPr>
                <w:rFonts w:cs="Calibri"/>
                <w:color w:val="000000"/>
              </w:rPr>
              <w:t xml:space="preserve">Licensee submitted that it has recently framed a policy for identifying and writing off old arrears which has been provided to the Commission along with this submission. Appropriate directions have been issued to the field units to compile the sample cases based on this recently issued order of the licensee. </w:t>
            </w:r>
          </w:p>
          <w:p w:rsidR="00A71B2A" w:rsidRPr="00B53423" w:rsidRDefault="00A71B2A" w:rsidP="0015232B">
            <w:pPr>
              <w:spacing w:before="60" w:after="60"/>
              <w:rPr>
                <w:rFonts w:cs="Calibri"/>
              </w:rPr>
            </w:pPr>
          </w:p>
        </w:tc>
        <w:tc>
          <w:tcPr>
            <w:tcW w:w="962" w:type="pct"/>
          </w:tcPr>
          <w:p w:rsidR="00A71B2A" w:rsidRPr="00B53423" w:rsidRDefault="00A71B2A" w:rsidP="0015232B">
            <w:pPr>
              <w:spacing w:before="60" w:after="60"/>
              <w:rPr>
                <w:rFonts w:cs="Calibri"/>
              </w:rPr>
            </w:pPr>
            <w:r w:rsidRPr="00B53423">
              <w:rPr>
                <w:rFonts w:cs="Calibri"/>
              </w:rPr>
              <w:t>As per Regulation 4.4 of Distribution Tariff Regulations the Licensee is required to take prior approval of the Commission for policy on bad debts. Further, such policy should detail the mechanism to identify consumers who are not paying up and ensure that Licensee has made adequate attempts to collect from such consumers.</w:t>
            </w:r>
          </w:p>
        </w:tc>
      </w:tr>
      <w:tr w:rsidR="00A71B2A" w:rsidRPr="00B53423" w:rsidTr="00265950">
        <w:trPr>
          <w:trHeight w:val="64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hideMark/>
          </w:tcPr>
          <w:p w:rsidR="00A71B2A" w:rsidRPr="00B53423" w:rsidRDefault="00A71B2A" w:rsidP="0015232B">
            <w:pPr>
              <w:spacing w:before="60" w:after="60"/>
              <w:rPr>
                <w:rFonts w:cs="Calibri"/>
              </w:rPr>
            </w:pPr>
            <w:r w:rsidRPr="00B53423">
              <w:rPr>
                <w:rFonts w:cs="Calibri"/>
              </w:rPr>
              <w:t>The Commission directs the Licensee to evolve principles for prudent segregation of ARR towards wheeling function and retail supply function embedded in the distribution function in accordance with Clause 2.1.2 of the Distribution Tariff Regulations.</w:t>
            </w:r>
          </w:p>
        </w:tc>
        <w:tc>
          <w:tcPr>
            <w:tcW w:w="713" w:type="pct"/>
            <w:shd w:val="clear" w:color="auto" w:fill="auto"/>
            <w:noWrap/>
            <w:hideMark/>
          </w:tcPr>
          <w:p w:rsidR="00A71B2A" w:rsidRPr="00B53423" w:rsidRDefault="00A71B2A" w:rsidP="0015232B">
            <w:pPr>
              <w:spacing w:before="60" w:after="60"/>
              <w:jc w:val="center"/>
              <w:rPr>
                <w:rFonts w:cs="Calibri"/>
              </w:rPr>
            </w:pPr>
            <w:r w:rsidRPr="00B53423">
              <w:rPr>
                <w:rFonts w:cs="Calibri"/>
              </w:rPr>
              <w:t>Within 4 months</w:t>
            </w:r>
          </w:p>
        </w:tc>
        <w:tc>
          <w:tcPr>
            <w:tcW w:w="1510" w:type="pct"/>
          </w:tcPr>
          <w:p w:rsidR="00A71B2A" w:rsidRPr="00B53423" w:rsidRDefault="00A71B2A" w:rsidP="0015232B">
            <w:pPr>
              <w:spacing w:before="60" w:after="60" w:line="240" w:lineRule="auto"/>
              <w:rPr>
                <w:rFonts w:cs="Calibri"/>
              </w:rPr>
            </w:pPr>
            <w:r w:rsidRPr="00B53423">
              <w:rPr>
                <w:rFonts w:cs="Calibri"/>
              </w:rPr>
              <w:t>The Licensee submitted that the same would be taken up subsequent to the notification of the Multi Year Tariff Regulations which are current under formulation.</w:t>
            </w:r>
          </w:p>
          <w:p w:rsidR="00A71B2A" w:rsidRPr="00B53423" w:rsidRDefault="00A71B2A" w:rsidP="0015232B">
            <w:pPr>
              <w:spacing w:before="60" w:after="60"/>
              <w:rPr>
                <w:rFonts w:cs="Calibri"/>
              </w:rPr>
            </w:pPr>
          </w:p>
        </w:tc>
        <w:tc>
          <w:tcPr>
            <w:tcW w:w="962" w:type="pct"/>
          </w:tcPr>
          <w:p w:rsidR="00A71B2A" w:rsidRPr="00B53423" w:rsidRDefault="00A71B2A" w:rsidP="0015232B">
            <w:pPr>
              <w:spacing w:before="60" w:after="60" w:line="240" w:lineRule="auto"/>
              <w:rPr>
                <w:rFonts w:cs="Calibri"/>
              </w:rPr>
            </w:pPr>
            <w:r w:rsidRPr="00B53423">
              <w:rPr>
                <w:rFonts w:cs="Calibri"/>
              </w:rPr>
              <w:t>-</w:t>
            </w:r>
          </w:p>
        </w:tc>
      </w:tr>
      <w:tr w:rsidR="00A71B2A" w:rsidRPr="00B53423" w:rsidTr="00265950">
        <w:trPr>
          <w:trHeight w:val="1583"/>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tcPr>
          <w:p w:rsidR="00A71B2A" w:rsidRPr="00B53423" w:rsidRDefault="00A71B2A" w:rsidP="0015232B">
            <w:pPr>
              <w:autoSpaceDE w:val="0"/>
              <w:autoSpaceDN w:val="0"/>
              <w:adjustRightInd w:val="0"/>
              <w:spacing w:before="60" w:after="60"/>
              <w:rPr>
                <w:rFonts w:cs="Calibri"/>
                <w:lang w:val="en-IN"/>
              </w:rPr>
            </w:pPr>
            <w:r w:rsidRPr="00B53423">
              <w:rPr>
                <w:rFonts w:cs="Calibri"/>
                <w:lang w:val="en-IN"/>
              </w:rPr>
              <w:t>The Commission directs the Licensee to submit a long term business plan in accordance with Clause 2.1.7 of the Distribution Tariff Regulations.</w:t>
            </w:r>
          </w:p>
          <w:p w:rsidR="00A71B2A" w:rsidRPr="00B53423" w:rsidRDefault="00A71B2A" w:rsidP="0015232B">
            <w:pPr>
              <w:autoSpaceDE w:val="0"/>
              <w:autoSpaceDN w:val="0"/>
              <w:adjustRightInd w:val="0"/>
              <w:spacing w:before="60" w:after="60"/>
              <w:rPr>
                <w:rFonts w:cs="Calibri"/>
              </w:rPr>
            </w:pPr>
            <w:r w:rsidRPr="00B53423">
              <w:rPr>
                <w:rFonts w:cs="Calibri"/>
                <w:lang w:val="en-IN"/>
              </w:rPr>
              <w:t>The Licensee in such business plan shall identify capex projects for the ensuing year and subsequent four years and submit detailed capital investment plan along with a financing plan for undertaking the identified projects in order to meet the requirement of load growth, refurbishment and replacement of equipment, reduction in distribution losses, improvement of voltage profile, improvement in quality of supply, system reliability, metering, communication and computerization, etc.</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rPr>
              <w:t>Within 3 months</w:t>
            </w:r>
          </w:p>
        </w:tc>
        <w:tc>
          <w:tcPr>
            <w:tcW w:w="1510" w:type="pct"/>
          </w:tcPr>
          <w:p w:rsidR="00A71B2A" w:rsidRPr="00B53423" w:rsidRDefault="00A71B2A" w:rsidP="0015232B">
            <w:pPr>
              <w:spacing w:before="60" w:after="60" w:line="240" w:lineRule="auto"/>
              <w:rPr>
                <w:rFonts w:cs="Calibri"/>
              </w:rPr>
            </w:pPr>
            <w:r w:rsidRPr="00B53423">
              <w:rPr>
                <w:rFonts w:cs="Calibri"/>
              </w:rPr>
              <w:t>Licensee submitted that the same would be taken up subsequent to the notification of the Multi Year Tariff Regulations which are current under formulation.</w:t>
            </w:r>
          </w:p>
          <w:p w:rsidR="00A71B2A" w:rsidRPr="00B53423" w:rsidRDefault="00A71B2A" w:rsidP="0015232B">
            <w:pPr>
              <w:spacing w:before="60" w:after="60"/>
              <w:rPr>
                <w:rFonts w:cs="Calibri"/>
              </w:rPr>
            </w:pPr>
          </w:p>
        </w:tc>
        <w:tc>
          <w:tcPr>
            <w:tcW w:w="962" w:type="pct"/>
          </w:tcPr>
          <w:p w:rsidR="00A71B2A" w:rsidRPr="00B53423" w:rsidRDefault="00A71B2A" w:rsidP="0015232B">
            <w:pPr>
              <w:spacing w:before="60" w:after="60" w:line="240" w:lineRule="auto"/>
              <w:rPr>
                <w:rFonts w:cs="Calibri"/>
              </w:rPr>
            </w:pPr>
            <w:r w:rsidRPr="00B53423">
              <w:rPr>
                <w:rFonts w:cs="Calibri"/>
              </w:rPr>
              <w:t>-</w:t>
            </w:r>
          </w:p>
        </w:tc>
      </w:tr>
      <w:tr w:rsidR="00A71B2A" w:rsidRPr="00B53423" w:rsidTr="00265950">
        <w:trPr>
          <w:trHeight w:val="64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tcPr>
          <w:p w:rsidR="00A71B2A" w:rsidRPr="00B53423" w:rsidRDefault="00A71B2A" w:rsidP="0015232B">
            <w:pPr>
              <w:autoSpaceDE w:val="0"/>
              <w:autoSpaceDN w:val="0"/>
              <w:adjustRightInd w:val="0"/>
              <w:spacing w:before="60" w:after="60"/>
              <w:rPr>
                <w:rFonts w:cs="Calibri"/>
                <w:lang w:val="en-IN"/>
              </w:rPr>
            </w:pPr>
            <w:r w:rsidRPr="00B53423">
              <w:rPr>
                <w:rFonts w:cs="Calibri"/>
                <w:lang w:val="en-IN"/>
              </w:rPr>
              <w:t>The Commission directs the Licensee to conduct benchmarking studies to determine the desired performance standards in accordance with Clause 2.1.8 of the Distribution Tariff Regulations.</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rPr>
              <w:t>Within 3 months</w:t>
            </w:r>
          </w:p>
        </w:tc>
        <w:tc>
          <w:tcPr>
            <w:tcW w:w="1510" w:type="pct"/>
          </w:tcPr>
          <w:p w:rsidR="00A71B2A" w:rsidRPr="00B53423" w:rsidRDefault="00A71B2A" w:rsidP="0015232B">
            <w:pPr>
              <w:spacing w:before="60" w:after="60"/>
              <w:rPr>
                <w:rFonts w:cs="Calibri"/>
              </w:rPr>
            </w:pPr>
            <w:r w:rsidRPr="00B53423">
              <w:rPr>
                <w:rFonts w:cs="Calibri"/>
              </w:rPr>
              <w:t>Licensee submitted that The Commission has written a letter to the licensee dated 3</w:t>
            </w:r>
            <w:r w:rsidRPr="00B53423">
              <w:rPr>
                <w:rFonts w:cs="Calibri"/>
                <w:vertAlign w:val="superscript"/>
              </w:rPr>
              <w:t>rd</w:t>
            </w:r>
            <w:r w:rsidRPr="00B53423">
              <w:rPr>
                <w:rFonts w:cs="Calibri"/>
              </w:rPr>
              <w:t xml:space="preserve"> February, 2014 indicating the scope of work for the benchmarking studies.  Based on the letter from UPERC, the Terms of Reference for the benchmarking studies is being revised.</w:t>
            </w:r>
          </w:p>
          <w:p w:rsidR="00A71B2A" w:rsidRPr="00B53423" w:rsidRDefault="00A71B2A" w:rsidP="0015232B">
            <w:pPr>
              <w:spacing w:before="60" w:after="60"/>
              <w:rPr>
                <w:rFonts w:cs="Calibri"/>
              </w:rPr>
            </w:pPr>
          </w:p>
        </w:tc>
        <w:tc>
          <w:tcPr>
            <w:tcW w:w="962" w:type="pct"/>
          </w:tcPr>
          <w:p w:rsidR="00A71B2A" w:rsidRPr="00B53423" w:rsidRDefault="00A71B2A" w:rsidP="0015232B">
            <w:pPr>
              <w:spacing w:before="60" w:after="60"/>
              <w:rPr>
                <w:rFonts w:cs="Calibri"/>
              </w:rPr>
            </w:pPr>
            <w:r w:rsidRPr="00B53423">
              <w:rPr>
                <w:rFonts w:cs="Calibri"/>
              </w:rPr>
              <w:t>The Licensee should expedite the process and update the Commission in its next ARR filing.</w:t>
            </w:r>
          </w:p>
        </w:tc>
      </w:tr>
      <w:tr w:rsidR="00A71B2A" w:rsidRPr="00B53423" w:rsidTr="00265950">
        <w:trPr>
          <w:trHeight w:val="64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tcPr>
          <w:p w:rsidR="00A71B2A" w:rsidRPr="00B53423" w:rsidRDefault="00A71B2A" w:rsidP="0015232B">
            <w:pPr>
              <w:autoSpaceDE w:val="0"/>
              <w:autoSpaceDN w:val="0"/>
              <w:adjustRightInd w:val="0"/>
              <w:spacing w:before="60" w:after="60"/>
              <w:rPr>
                <w:rFonts w:cs="Calibri"/>
                <w:lang w:val="en-IN"/>
              </w:rPr>
            </w:pPr>
            <w:r w:rsidRPr="00B53423">
              <w:rPr>
                <w:rFonts w:cs="Calibri"/>
                <w:lang w:val="en-IN"/>
              </w:rPr>
              <w:t xml:space="preserve">The Commission directs the Licensee to conduct proper loss estimate studies for </w:t>
            </w:r>
            <w:r w:rsidRPr="00B53423">
              <w:rPr>
                <w:rFonts w:cs="Calibri"/>
              </w:rPr>
              <w:t>assessment of technical and commercial losses</w:t>
            </w:r>
            <w:r w:rsidRPr="00B53423">
              <w:rPr>
                <w:rFonts w:cs="Calibri"/>
                <w:lang w:val="en-IN"/>
              </w:rPr>
              <w:t xml:space="preserve"> under its supervision so that the Commission may set the base line losses in accordance with Clause 3.2.3 and Clause 3.2.4 of the Distribution Tariff Regulations and submit the report to the Commission.</w:t>
            </w:r>
          </w:p>
          <w:p w:rsidR="00A71B2A" w:rsidRPr="00B53423" w:rsidRDefault="00A71B2A" w:rsidP="0015232B">
            <w:pPr>
              <w:autoSpaceDE w:val="0"/>
              <w:autoSpaceDN w:val="0"/>
              <w:adjustRightInd w:val="0"/>
              <w:spacing w:before="60" w:after="60"/>
              <w:rPr>
                <w:rFonts w:cs="Calibri"/>
                <w:lang w:val="en-IN"/>
              </w:rPr>
            </w:pPr>
            <w:r w:rsidRPr="00B53423">
              <w:rPr>
                <w:rFonts w:cs="Calibri"/>
              </w:rPr>
              <w:t>The study shall segregate voltage-wise distribution losses into technical loss (i.e. Ohmic/Core loss in the lines, substations and equipment) and commercial loss (i.e. unaccounted energy due to metering inaccuracies/inadequacies, pilferage of energy, improper billing, no billing, unrealized revenues etc.).</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rPr>
              <w:t>Within 3 months</w:t>
            </w:r>
          </w:p>
        </w:tc>
        <w:tc>
          <w:tcPr>
            <w:tcW w:w="1510" w:type="pct"/>
          </w:tcPr>
          <w:p w:rsidR="00A71B2A" w:rsidRPr="00B53423" w:rsidRDefault="00A71B2A" w:rsidP="0015232B">
            <w:pPr>
              <w:spacing w:before="60" w:after="60" w:line="240" w:lineRule="auto"/>
              <w:rPr>
                <w:rFonts w:cs="Calibri"/>
              </w:rPr>
            </w:pPr>
            <w:r w:rsidRPr="00B53423">
              <w:rPr>
                <w:rFonts w:cs="Calibri"/>
              </w:rPr>
              <w:t>Licensee submitted that PFC Consulting Ltd has been appointed by the Licensee to draft a strategy paper for the turnaround of the distribution licensees which covers the voltage wise loss studies.</w:t>
            </w:r>
          </w:p>
          <w:p w:rsidR="00A71B2A" w:rsidRPr="00B53423" w:rsidRDefault="00A71B2A" w:rsidP="0015232B">
            <w:pPr>
              <w:spacing w:before="60" w:after="60"/>
              <w:rPr>
                <w:rFonts w:cs="Calibri"/>
              </w:rPr>
            </w:pPr>
          </w:p>
        </w:tc>
        <w:tc>
          <w:tcPr>
            <w:tcW w:w="962" w:type="pct"/>
          </w:tcPr>
          <w:p w:rsidR="00A71B2A" w:rsidRPr="00B53423" w:rsidRDefault="00A71B2A" w:rsidP="0015232B">
            <w:pPr>
              <w:spacing w:before="60" w:after="60" w:line="240" w:lineRule="auto"/>
              <w:rPr>
                <w:rFonts w:cs="Calibri"/>
              </w:rPr>
            </w:pPr>
            <w:r w:rsidRPr="00B53423">
              <w:rPr>
                <w:rFonts w:cs="Calibri"/>
              </w:rPr>
              <w:t>The Licensee should expedite process and complete the study at the earliest.</w:t>
            </w:r>
          </w:p>
        </w:tc>
      </w:tr>
      <w:tr w:rsidR="00A71B2A" w:rsidRPr="00B53423" w:rsidTr="00265950">
        <w:trPr>
          <w:trHeight w:val="64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tcPr>
          <w:p w:rsidR="00A71B2A" w:rsidRPr="00B53423" w:rsidRDefault="00A71B2A" w:rsidP="0015232B">
            <w:pPr>
              <w:autoSpaceDE w:val="0"/>
              <w:autoSpaceDN w:val="0"/>
              <w:adjustRightInd w:val="0"/>
              <w:spacing w:before="60" w:after="60"/>
              <w:rPr>
                <w:rFonts w:cs="Calibri"/>
                <w:lang w:val="en-IN"/>
              </w:rPr>
            </w:pPr>
            <w:r w:rsidRPr="00B53423">
              <w:rPr>
                <w:rFonts w:cs="Calibri"/>
                <w:lang w:val="en-IN"/>
              </w:rPr>
              <w:t>The Commission directs the Licensee to submit completion report in respect of all capital projects which have achieved the Commercial Operation Date during FY 2011-12 in accordance with Clause 4.5.7 of the Distribution Tariff Regulations.</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rPr>
              <w:t>Along with the true up petition for FY 2011-12</w:t>
            </w:r>
          </w:p>
        </w:tc>
        <w:tc>
          <w:tcPr>
            <w:tcW w:w="1510" w:type="pct"/>
          </w:tcPr>
          <w:p w:rsidR="00A71B2A" w:rsidRPr="00B53423" w:rsidRDefault="00A71B2A" w:rsidP="0015232B">
            <w:pPr>
              <w:spacing w:before="60" w:after="60" w:line="240" w:lineRule="auto"/>
              <w:rPr>
                <w:rFonts w:cs="Calibri"/>
              </w:rPr>
            </w:pPr>
            <w:r w:rsidRPr="00B53423">
              <w:rPr>
                <w:rFonts w:cs="Calibri"/>
              </w:rPr>
              <w:t>Licensee submitted that as per the principles laid down in the Distribution Tariff Regulations, 2006 submission of Project Completion Reports are required to be submitted in cases where prior approval for capital expenditure has been obtained from the Commission. As the individual distribution capex schemes were below the threshold limit, hence no prior approval was obtained.</w:t>
            </w:r>
          </w:p>
        </w:tc>
        <w:tc>
          <w:tcPr>
            <w:tcW w:w="962" w:type="pct"/>
          </w:tcPr>
          <w:p w:rsidR="00A71B2A" w:rsidRPr="00B53423" w:rsidRDefault="00A71B2A" w:rsidP="0015232B">
            <w:pPr>
              <w:spacing w:before="60" w:after="60" w:line="240" w:lineRule="auto"/>
              <w:rPr>
                <w:rFonts w:cs="Calibri"/>
              </w:rPr>
            </w:pPr>
            <w:r w:rsidRPr="00B53423">
              <w:rPr>
                <w:rFonts w:cs="Calibri"/>
              </w:rPr>
              <w:t>-</w:t>
            </w:r>
          </w:p>
        </w:tc>
      </w:tr>
      <w:tr w:rsidR="00A71B2A" w:rsidRPr="00B53423" w:rsidTr="00265950">
        <w:trPr>
          <w:trHeight w:val="64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tcPr>
          <w:p w:rsidR="00A71B2A" w:rsidRPr="00B53423" w:rsidRDefault="00A71B2A" w:rsidP="0015232B">
            <w:pPr>
              <w:spacing w:before="60" w:after="60"/>
              <w:rPr>
                <w:rFonts w:cs="Calibri"/>
              </w:rPr>
            </w:pPr>
            <w:r w:rsidRPr="00B53423">
              <w:rPr>
                <w:rFonts w:cs="Calibri"/>
              </w:rPr>
              <w:t>The Commission directs the Licensee to conduct Cost of Service studies which would serve as a tool for alignment of costs and charges and submit details regarding the cost of service studies for each category or voltage level.</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rPr>
              <w:t>Within 6 months</w:t>
            </w:r>
          </w:p>
        </w:tc>
        <w:tc>
          <w:tcPr>
            <w:tcW w:w="1510" w:type="pct"/>
          </w:tcPr>
          <w:p w:rsidR="00A71B2A" w:rsidRPr="00B53423" w:rsidRDefault="00A71B2A" w:rsidP="0015232B">
            <w:pPr>
              <w:spacing w:before="60" w:after="60" w:line="240" w:lineRule="auto"/>
              <w:rPr>
                <w:rFonts w:cs="Calibri"/>
              </w:rPr>
            </w:pPr>
            <w:r w:rsidRPr="00B53423">
              <w:rPr>
                <w:rFonts w:cs="Calibri"/>
              </w:rPr>
              <w:t>Licensee submitted that PFC Consulting Ltd has been appointed by the Licensee to draft a strategy paper for the turnaround of the distribution licensees which covers the assessment of cost of service for different categories of consumers.</w:t>
            </w:r>
          </w:p>
          <w:p w:rsidR="00A71B2A" w:rsidRPr="00B53423" w:rsidRDefault="00A71B2A" w:rsidP="0015232B">
            <w:pPr>
              <w:spacing w:before="60" w:after="60"/>
              <w:rPr>
                <w:rFonts w:cs="Calibri"/>
              </w:rPr>
            </w:pPr>
          </w:p>
        </w:tc>
        <w:tc>
          <w:tcPr>
            <w:tcW w:w="962" w:type="pct"/>
          </w:tcPr>
          <w:p w:rsidR="00A71B2A" w:rsidRPr="00B53423" w:rsidRDefault="00A71B2A" w:rsidP="0015232B">
            <w:pPr>
              <w:spacing w:before="60" w:after="60" w:line="240" w:lineRule="auto"/>
              <w:rPr>
                <w:rFonts w:cs="Calibri"/>
              </w:rPr>
            </w:pPr>
            <w:r w:rsidRPr="00B53423">
              <w:rPr>
                <w:rFonts w:cs="Calibri"/>
              </w:rPr>
              <w:t>The Licensee should expedite process and complete the study at the earliest.</w:t>
            </w:r>
          </w:p>
        </w:tc>
      </w:tr>
      <w:tr w:rsidR="00A71B2A" w:rsidRPr="00B53423" w:rsidTr="00265950">
        <w:trPr>
          <w:trHeight w:val="64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tcPr>
          <w:p w:rsidR="00A71B2A" w:rsidRPr="00B53423" w:rsidRDefault="00A71B2A" w:rsidP="0015232B">
            <w:pPr>
              <w:spacing w:before="60" w:after="60"/>
              <w:rPr>
                <w:rFonts w:cs="Calibri"/>
              </w:rPr>
            </w:pPr>
            <w:r w:rsidRPr="00B53423">
              <w:rPr>
                <w:rFonts w:cs="Calibri"/>
              </w:rPr>
              <w:t>Commission directs the Licensee to submit a road map for 100% metering in its licensed area. However, based on the ground realities, if the Distribution Licensee seeks exemption towards its metering obligation for any particular category of consumers, it must provide the Commission revised norms specific for its supply area, based on fresh studies, for assessment of consumption for these categories. Sales forecast for un-metered categories shall be validated with norms approved by the Commission on the basis of above study carried out by the Licensee.</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rPr>
              <w:t>Within 2 months</w:t>
            </w:r>
          </w:p>
        </w:tc>
        <w:tc>
          <w:tcPr>
            <w:tcW w:w="1510" w:type="pct"/>
          </w:tcPr>
          <w:p w:rsidR="00A71B2A" w:rsidRPr="00B53423" w:rsidRDefault="00A71B2A" w:rsidP="0015232B">
            <w:pPr>
              <w:autoSpaceDE w:val="0"/>
              <w:autoSpaceDN w:val="0"/>
              <w:adjustRightInd w:val="0"/>
              <w:spacing w:after="120"/>
              <w:rPr>
                <w:rFonts w:cs="Calibri"/>
              </w:rPr>
            </w:pPr>
            <w:r w:rsidRPr="00B53423">
              <w:rPr>
                <w:rFonts w:cs="Calibri"/>
                <w:color w:val="000000"/>
              </w:rPr>
              <w:t>Licensee submitted that this work is being taken up under the R-APDRP scheme. 100% Metering would be achieved during the FRP period</w:t>
            </w:r>
          </w:p>
        </w:tc>
        <w:tc>
          <w:tcPr>
            <w:tcW w:w="962" w:type="pct"/>
          </w:tcPr>
          <w:p w:rsidR="00A71B2A" w:rsidRPr="00B53423" w:rsidRDefault="00A71B2A" w:rsidP="0015232B">
            <w:pPr>
              <w:autoSpaceDE w:val="0"/>
              <w:autoSpaceDN w:val="0"/>
              <w:adjustRightInd w:val="0"/>
              <w:spacing w:after="120"/>
              <w:rPr>
                <w:rFonts w:cs="Calibri"/>
                <w:color w:val="000000"/>
              </w:rPr>
            </w:pPr>
            <w:r w:rsidRPr="00B53423">
              <w:rPr>
                <w:rFonts w:cs="Calibri"/>
                <w:color w:val="000000"/>
              </w:rPr>
              <w:t>The Licensee is directed to achieve 100% metering within 6 months of time.</w:t>
            </w:r>
          </w:p>
        </w:tc>
      </w:tr>
      <w:tr w:rsidR="00A71B2A" w:rsidRPr="00B53423" w:rsidTr="00265950">
        <w:trPr>
          <w:trHeight w:val="64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tcPr>
          <w:p w:rsidR="00A71B2A" w:rsidRPr="00B53423" w:rsidRDefault="00A71B2A" w:rsidP="0015232B">
            <w:pPr>
              <w:spacing w:before="60" w:after="60"/>
              <w:rPr>
                <w:rFonts w:cs="Calibri"/>
              </w:rPr>
            </w:pPr>
            <w:r w:rsidRPr="00B53423">
              <w:rPr>
                <w:rFonts w:cs="Calibri"/>
              </w:rPr>
              <w:t>The Commission directs the Licensee to install electronic meters in the residential consumers under LMV-10 category and submit a progress report every month.</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rPr>
              <w:t xml:space="preserve">Within one month </w:t>
            </w:r>
          </w:p>
        </w:tc>
        <w:tc>
          <w:tcPr>
            <w:tcW w:w="1510" w:type="pct"/>
          </w:tcPr>
          <w:p w:rsidR="00A71B2A" w:rsidRPr="00B53423" w:rsidRDefault="00A71B2A" w:rsidP="0015232B">
            <w:pPr>
              <w:spacing w:before="60" w:after="60"/>
              <w:rPr>
                <w:rFonts w:cs="Calibri"/>
              </w:rPr>
            </w:pPr>
            <w:r w:rsidRPr="00B53423">
              <w:t>Licensee submitted that Section 23 (7) of Electricity Reforms Act, 1999 provides that “terms and condition of service of the personnel shall not be less favourable to the terms and condition which were applicable to them before the transfer”.  The same spirit has been echoed under first proviso of section 133 (2) of the Electricity Act, 2003. The benefits for employees / pensioners as provided in section 12 (b) (ii) of the Uttar Pradesh Reform Transfer Scheme, 2000 include “concessional rate of electricity”, which means concession in rate of electricity to the extent it is not inferior to what was existing before 14th January, 2000.</w:t>
            </w:r>
          </w:p>
        </w:tc>
        <w:tc>
          <w:tcPr>
            <w:tcW w:w="962" w:type="pct"/>
          </w:tcPr>
          <w:p w:rsidR="00A71B2A" w:rsidRPr="00B53423" w:rsidRDefault="00A71B2A" w:rsidP="0015232B">
            <w:pPr>
              <w:spacing w:before="60" w:after="60"/>
            </w:pPr>
            <w:r w:rsidRPr="00B53423">
              <w:t xml:space="preserve">The referred statutory provision nowhere specifies that the LMV-10 consumers can be unmetered supply. </w:t>
            </w:r>
            <w:r w:rsidRPr="00B53423">
              <w:rPr>
                <w:rFonts w:cs="Calibri"/>
              </w:rPr>
              <w:t>The Commission again directs the Licensee to install electronic meters in the residential consumers under LMV-10 category and submit a progress report every month.</w:t>
            </w:r>
            <w:r w:rsidRPr="00B53423">
              <w:t xml:space="preserve"> </w:t>
            </w:r>
          </w:p>
        </w:tc>
      </w:tr>
      <w:tr w:rsidR="00A71B2A" w:rsidRPr="00B53423" w:rsidTr="00265950">
        <w:trPr>
          <w:trHeight w:val="64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tcPr>
          <w:p w:rsidR="00A71B2A" w:rsidRPr="00B53423" w:rsidRDefault="00A71B2A" w:rsidP="0015232B">
            <w:pPr>
              <w:autoSpaceDE w:val="0"/>
              <w:autoSpaceDN w:val="0"/>
              <w:adjustRightInd w:val="0"/>
              <w:spacing w:before="60" w:after="60"/>
              <w:rPr>
                <w:rFonts w:cs="Calibri"/>
              </w:rPr>
            </w:pPr>
            <w:r w:rsidRPr="00B53423">
              <w:rPr>
                <w:rFonts w:cs="Calibri"/>
                <w:lang w:val="en-IN"/>
              </w:rPr>
              <w:t>The Commission directs the Licensee to submit data related to its peak demand and off peak demand in MW along with its sales projections in accordance with Clause 3.1.4 of the Distribution Tariff Regulations.</w:t>
            </w:r>
          </w:p>
        </w:tc>
        <w:tc>
          <w:tcPr>
            <w:tcW w:w="713" w:type="pct"/>
            <w:shd w:val="clear" w:color="auto" w:fill="auto"/>
            <w:noWrap/>
          </w:tcPr>
          <w:p w:rsidR="00A71B2A" w:rsidRPr="00B53423" w:rsidRDefault="00A71B2A" w:rsidP="0015232B">
            <w:pPr>
              <w:spacing w:before="60" w:after="60"/>
              <w:jc w:val="center"/>
              <w:rPr>
                <w:rFonts w:cs="Calibri"/>
              </w:rPr>
            </w:pPr>
            <w:r w:rsidRPr="00B53423">
              <w:rPr>
                <w:rFonts w:cs="Calibri"/>
              </w:rPr>
              <w:t>Along with the petition for FY 2014-15</w:t>
            </w:r>
          </w:p>
        </w:tc>
        <w:tc>
          <w:tcPr>
            <w:tcW w:w="1510" w:type="pct"/>
          </w:tcPr>
          <w:p w:rsidR="00A71B2A" w:rsidRPr="00B53423" w:rsidRDefault="00A71B2A" w:rsidP="0015232B">
            <w:pPr>
              <w:spacing w:before="60" w:after="60"/>
            </w:pPr>
            <w:r w:rsidRPr="00B53423">
              <w:t>Licensee submitted that Commission has approved the MYT Regulations and has sent them for notification. It is understood that subsequent to the notification of the MYT Regulations, the Tariff Regulations of 2006 would cease to be applicable. The Licensee would take suitable steps to abide by the stipulations of the new regulations subsequent to its notification.</w:t>
            </w:r>
          </w:p>
          <w:p w:rsidR="00A71B2A" w:rsidRPr="00B53423" w:rsidRDefault="00A71B2A" w:rsidP="0015232B">
            <w:pPr>
              <w:spacing w:before="60" w:after="60"/>
            </w:pPr>
          </w:p>
          <w:p w:rsidR="00A71B2A" w:rsidRPr="00B53423" w:rsidRDefault="00A71B2A" w:rsidP="0015232B">
            <w:pPr>
              <w:spacing w:before="60" w:after="60"/>
            </w:pPr>
          </w:p>
        </w:tc>
        <w:tc>
          <w:tcPr>
            <w:tcW w:w="962" w:type="pct"/>
          </w:tcPr>
          <w:p w:rsidR="00A71B2A" w:rsidRPr="00B53423" w:rsidRDefault="00A71B2A" w:rsidP="0015232B">
            <w:pPr>
              <w:spacing w:before="60" w:after="60"/>
            </w:pPr>
            <w:r w:rsidRPr="00B53423">
              <w:t>The Licensee should ensure the compliance of the Commission’s directions based on the MYT Regulations to be notified.</w:t>
            </w:r>
          </w:p>
        </w:tc>
      </w:tr>
      <w:tr w:rsidR="00A71B2A" w:rsidRPr="00B53423" w:rsidTr="00265950">
        <w:trPr>
          <w:trHeight w:val="647"/>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tcPr>
          <w:p w:rsidR="00A71B2A" w:rsidRPr="00B53423" w:rsidRDefault="00A71B2A" w:rsidP="0015232B">
            <w:pPr>
              <w:autoSpaceDE w:val="0"/>
              <w:autoSpaceDN w:val="0"/>
              <w:adjustRightInd w:val="0"/>
              <w:spacing w:before="60" w:after="60"/>
              <w:rPr>
                <w:rFonts w:cs="Calibri"/>
                <w:lang w:val="en-IN"/>
              </w:rPr>
            </w:pPr>
            <w:r w:rsidRPr="00B53423">
              <w:rPr>
                <w:rFonts w:cs="Calibri"/>
                <w:lang w:val="en-IN"/>
              </w:rPr>
              <w:t>The Commission directs the Licensee to reconcile the inter-unit balances lying un-reconciled either itself or through independent chartered accountant firms.</w:t>
            </w:r>
          </w:p>
        </w:tc>
        <w:tc>
          <w:tcPr>
            <w:tcW w:w="713" w:type="pct"/>
            <w:shd w:val="clear" w:color="auto" w:fill="auto"/>
            <w:noWrap/>
          </w:tcPr>
          <w:p w:rsidR="00A71B2A" w:rsidRPr="00B53423" w:rsidRDefault="00A71B2A" w:rsidP="0015232B">
            <w:pPr>
              <w:spacing w:before="60" w:after="60"/>
              <w:jc w:val="center"/>
              <w:rPr>
                <w:rFonts w:cs="Calibri"/>
                <w:lang w:val="en-IN"/>
              </w:rPr>
            </w:pPr>
            <w:r w:rsidRPr="00B53423">
              <w:rPr>
                <w:rFonts w:cs="Calibri"/>
                <w:lang w:val="en-IN"/>
              </w:rPr>
              <w:t>Along with the petition for FY 2014-15</w:t>
            </w:r>
          </w:p>
        </w:tc>
        <w:tc>
          <w:tcPr>
            <w:tcW w:w="1510" w:type="pct"/>
          </w:tcPr>
          <w:p w:rsidR="00A71B2A" w:rsidRPr="00B53423" w:rsidRDefault="00A71B2A" w:rsidP="0015232B">
            <w:pPr>
              <w:spacing w:before="60" w:after="60"/>
            </w:pPr>
            <w:r w:rsidRPr="00B53423">
              <w:t xml:space="preserve">Licensee submitted that the determination of tariff is done by the Commission on normative basis based on the Tariff Regulations. As such the inter-unit reconciliation has no forbearance on the ARR and Tariff determination and assessment of revenue gap. </w:t>
            </w:r>
          </w:p>
        </w:tc>
        <w:tc>
          <w:tcPr>
            <w:tcW w:w="962" w:type="pct"/>
          </w:tcPr>
          <w:p w:rsidR="00A71B2A" w:rsidRPr="00B53423" w:rsidRDefault="00F617BE" w:rsidP="0015232B">
            <w:pPr>
              <w:spacing w:before="60" w:after="60"/>
            </w:pPr>
            <w:r w:rsidRPr="00B53423">
              <w:rPr>
                <w:rFonts w:cs="Calibri"/>
              </w:rPr>
              <w:t>There are no un-reconciled inter-unit balances in the audited accounts of FY 2011-12</w:t>
            </w:r>
          </w:p>
        </w:tc>
      </w:tr>
      <w:tr w:rsidR="00A71B2A" w:rsidRPr="00B53423" w:rsidTr="00265950">
        <w:trPr>
          <w:trHeight w:val="2421"/>
          <w:jc w:val="center"/>
        </w:trPr>
        <w:tc>
          <w:tcPr>
            <w:tcW w:w="297" w:type="pct"/>
            <w:shd w:val="clear" w:color="auto" w:fill="auto"/>
            <w:noWrap/>
          </w:tcPr>
          <w:p w:rsidR="00A71B2A" w:rsidRPr="00B53423" w:rsidRDefault="00A71B2A" w:rsidP="000174C0">
            <w:pPr>
              <w:pStyle w:val="ListParagraph"/>
              <w:numPr>
                <w:ilvl w:val="0"/>
                <w:numId w:val="79"/>
              </w:numPr>
              <w:spacing w:before="60" w:after="60"/>
              <w:jc w:val="center"/>
              <w:rPr>
                <w:rFonts w:cs="Calibri"/>
              </w:rPr>
            </w:pPr>
          </w:p>
        </w:tc>
        <w:tc>
          <w:tcPr>
            <w:tcW w:w="1518" w:type="pct"/>
            <w:shd w:val="clear" w:color="auto" w:fill="auto"/>
            <w:noWrap/>
          </w:tcPr>
          <w:p w:rsidR="00A71B2A" w:rsidRPr="00B53423" w:rsidRDefault="00A71B2A" w:rsidP="0015232B">
            <w:pPr>
              <w:autoSpaceDE w:val="0"/>
              <w:autoSpaceDN w:val="0"/>
              <w:adjustRightInd w:val="0"/>
              <w:spacing w:before="60" w:after="60"/>
              <w:rPr>
                <w:rFonts w:cs="Calibri"/>
                <w:lang w:val="en-IN"/>
              </w:rPr>
            </w:pPr>
            <w:r w:rsidRPr="00B53423">
              <w:rPr>
                <w:rFonts w:cs="Calibri"/>
              </w:rPr>
              <w:t>The Commission directs the Licensee to file submissions in respect of FPPCA in a timely and regular manner.</w:t>
            </w:r>
          </w:p>
        </w:tc>
        <w:tc>
          <w:tcPr>
            <w:tcW w:w="713" w:type="pct"/>
            <w:shd w:val="clear" w:color="auto" w:fill="auto"/>
            <w:noWrap/>
          </w:tcPr>
          <w:p w:rsidR="00A71B2A" w:rsidRPr="00B53423" w:rsidRDefault="00A71B2A" w:rsidP="0015232B">
            <w:pPr>
              <w:spacing w:before="60" w:after="60"/>
              <w:jc w:val="center"/>
              <w:rPr>
                <w:rFonts w:cs="Calibri"/>
                <w:lang w:val="en-IN"/>
              </w:rPr>
            </w:pPr>
            <w:r w:rsidRPr="00B53423">
              <w:rPr>
                <w:rFonts w:cs="Calibri"/>
              </w:rPr>
              <w:t>Every quarter as per the time frame prescribed in the Regulations</w:t>
            </w:r>
          </w:p>
        </w:tc>
        <w:tc>
          <w:tcPr>
            <w:tcW w:w="1510" w:type="pct"/>
          </w:tcPr>
          <w:p w:rsidR="00A71B2A" w:rsidRPr="00B53423" w:rsidRDefault="00A71B2A" w:rsidP="0015232B">
            <w:pPr>
              <w:spacing w:before="60" w:after="60"/>
              <w:rPr>
                <w:rFonts w:cs="Calibri"/>
              </w:rPr>
            </w:pPr>
            <w:r w:rsidRPr="00B53423">
              <w:rPr>
                <w:rFonts w:cs="Calibri"/>
              </w:rPr>
              <w:t>Licensee has filed the FPPCA Petition for 3 quarters starting 1</w:t>
            </w:r>
            <w:r w:rsidRPr="00B53423">
              <w:rPr>
                <w:rFonts w:cs="Calibri"/>
                <w:vertAlign w:val="superscript"/>
              </w:rPr>
              <w:t>st</w:t>
            </w:r>
            <w:r w:rsidRPr="00B53423">
              <w:rPr>
                <w:rFonts w:cs="Calibri"/>
              </w:rPr>
              <w:t xml:space="preserve"> January, 2013.</w:t>
            </w:r>
          </w:p>
        </w:tc>
        <w:tc>
          <w:tcPr>
            <w:tcW w:w="962" w:type="pct"/>
          </w:tcPr>
          <w:p w:rsidR="00A71B2A" w:rsidRPr="00B53423" w:rsidRDefault="00A71B2A" w:rsidP="0015232B">
            <w:pPr>
              <w:spacing w:before="60" w:after="60"/>
              <w:rPr>
                <w:rFonts w:cs="Calibri"/>
              </w:rPr>
            </w:pPr>
            <w:r w:rsidRPr="00B53423">
              <w:rPr>
                <w:rFonts w:cs="Calibri"/>
              </w:rPr>
              <w:t xml:space="preserve">Licensee should submit the FPPCA Petition for further periods also in accordance with Distribution Tariff Regulations, 2006 and further amendments. </w:t>
            </w:r>
          </w:p>
        </w:tc>
      </w:tr>
    </w:tbl>
    <w:p w:rsidR="00A71B2A" w:rsidRPr="00B53423" w:rsidRDefault="00A71B2A" w:rsidP="0015232B">
      <w:pPr>
        <w:pStyle w:val="Heading3"/>
        <w:keepNext w:val="0"/>
        <w:numPr>
          <w:ilvl w:val="0"/>
          <w:numId w:val="0"/>
        </w:numPr>
        <w:ind w:left="720"/>
      </w:pPr>
    </w:p>
    <w:p w:rsidR="00A71B2A" w:rsidRPr="00B53423" w:rsidRDefault="00A71B2A" w:rsidP="0015232B">
      <w:pPr>
        <w:pStyle w:val="Heading3"/>
        <w:keepNext w:val="0"/>
        <w:numPr>
          <w:ilvl w:val="0"/>
          <w:numId w:val="0"/>
        </w:numPr>
        <w:ind w:left="720"/>
      </w:pPr>
    </w:p>
    <w:p w:rsidR="00A71B2A" w:rsidRPr="00B53423" w:rsidRDefault="00A71B2A" w:rsidP="0015232B">
      <w:pPr>
        <w:pStyle w:val="Heading3"/>
        <w:keepNext w:val="0"/>
        <w:spacing w:before="120" w:after="120"/>
        <w:ind w:left="810" w:hanging="1170"/>
        <w:rPr>
          <w:b/>
        </w:rPr>
      </w:pPr>
      <w:r w:rsidRPr="00B53423">
        <w:t xml:space="preserve">The Commission once again </w:t>
      </w:r>
      <w:r w:rsidRPr="00B53423">
        <w:rPr>
          <w:b/>
        </w:rPr>
        <w:t xml:space="preserve">directs the Licensee to comply with the balance directives issued in the previous Tariff Order. The compliance report on the said directives shall be submitted to the Commission within one month from the date of issue of this Tariff Order. </w:t>
      </w:r>
    </w:p>
    <w:p w:rsidR="00A71B2A" w:rsidRPr="00B53423" w:rsidRDefault="00A71B2A" w:rsidP="0015232B">
      <w:pPr>
        <w:pStyle w:val="Heading3"/>
        <w:keepNext w:val="0"/>
        <w:numPr>
          <w:ilvl w:val="0"/>
          <w:numId w:val="0"/>
        </w:numPr>
        <w:ind w:left="720"/>
      </w:pPr>
    </w:p>
    <w:p w:rsidR="00A71B2A" w:rsidRPr="00B53423" w:rsidRDefault="00A71B2A" w:rsidP="0015232B">
      <w:pPr>
        <w:pStyle w:val="Heading3"/>
        <w:keepNext w:val="0"/>
        <w:spacing w:before="120" w:after="120"/>
        <w:ind w:left="810" w:hanging="1170"/>
      </w:pPr>
      <w:r w:rsidRPr="00B53423">
        <w:t xml:space="preserve">Further, some of the directives issued by the Commission in the present Tariff Order are in continuation or similar to the directives issued in the previous Tariff Order. In case the Licensees have not complied with the same earlier, it shall be necessary for them to provide reasons for non-compliance and further comply with the same as per the time-lines prescribed in the present Tariff Order. </w:t>
      </w:r>
    </w:p>
    <w:p w:rsidR="00A71B2A" w:rsidRPr="00B53423" w:rsidRDefault="00A71B2A" w:rsidP="0015232B">
      <w:pPr>
        <w:pStyle w:val="Heading3"/>
        <w:keepNext w:val="0"/>
        <w:numPr>
          <w:ilvl w:val="0"/>
          <w:numId w:val="0"/>
        </w:numPr>
        <w:spacing w:before="120" w:after="120"/>
        <w:ind w:left="810"/>
      </w:pPr>
    </w:p>
    <w:p w:rsidR="00A71B2A" w:rsidRPr="00B53423" w:rsidRDefault="00A71B2A" w:rsidP="0015232B">
      <w:pPr>
        <w:pStyle w:val="Heading3"/>
        <w:keepNext w:val="0"/>
        <w:spacing w:before="120" w:after="120"/>
        <w:ind w:left="810" w:hanging="1170"/>
      </w:pPr>
      <w:r w:rsidRPr="00B53423">
        <w:t xml:space="preserve">The directives to the Licensee as issued under the present Tariff Order along with the time frame for compliance are given in the Table below: </w:t>
      </w:r>
    </w:p>
    <w:p w:rsidR="00A71B2A" w:rsidRPr="00B53423" w:rsidRDefault="00A71B2A" w:rsidP="0015232B">
      <w:pPr>
        <w:pStyle w:val="ListParagraph"/>
        <w:rPr>
          <w:rFonts w:asciiTheme="minorHAnsi" w:hAnsiTheme="minorHAnsi"/>
        </w:rPr>
      </w:pPr>
    </w:p>
    <w:p w:rsidR="00A71B2A" w:rsidRPr="00B53423" w:rsidRDefault="00A71B2A" w:rsidP="00120B36">
      <w:pPr>
        <w:pStyle w:val="Heading3"/>
        <w:keepNext w:val="0"/>
        <w:numPr>
          <w:ilvl w:val="0"/>
          <w:numId w:val="0"/>
        </w:numPr>
        <w:ind w:left="936"/>
        <w:jc w:val="center"/>
      </w:pPr>
      <w:bookmarkStart w:id="996" w:name="_Toc357719759"/>
      <w:bookmarkStart w:id="997" w:name="_Toc397332366"/>
      <w:bookmarkStart w:id="998" w:name="_Toc399626446"/>
      <w:r w:rsidRPr="00120B36">
        <w:rPr>
          <w:b/>
        </w:rPr>
        <w:t xml:space="preserve">TABLE </w:t>
      </w:r>
      <w:r w:rsidR="005D68E7" w:rsidRPr="00120B36">
        <w:rPr>
          <w:b/>
        </w:rPr>
        <w:fldChar w:fldCharType="begin"/>
      </w:r>
      <w:r w:rsidRPr="00120B36">
        <w:rPr>
          <w:b/>
        </w:rPr>
        <w:instrText xml:space="preserve"> STYLEREF 1 \s </w:instrText>
      </w:r>
      <w:r w:rsidR="005D68E7" w:rsidRPr="00120B36">
        <w:rPr>
          <w:b/>
        </w:rPr>
        <w:fldChar w:fldCharType="separate"/>
      </w:r>
      <w:r w:rsidR="00847C1B">
        <w:rPr>
          <w:b/>
          <w:noProof/>
        </w:rPr>
        <w:t>13</w:t>
      </w:r>
      <w:r w:rsidR="005D68E7" w:rsidRPr="00120B36">
        <w:rPr>
          <w:b/>
        </w:rPr>
        <w:fldChar w:fldCharType="end"/>
      </w:r>
      <w:r w:rsidRPr="00120B36">
        <w:rPr>
          <w:b/>
        </w:rPr>
        <w:noBreakHyphen/>
      </w:r>
      <w:r w:rsidR="005D68E7" w:rsidRPr="00120B36">
        <w:rPr>
          <w:b/>
        </w:rPr>
        <w:fldChar w:fldCharType="begin"/>
      </w:r>
      <w:r w:rsidRPr="00120B36">
        <w:rPr>
          <w:b/>
        </w:rPr>
        <w:instrText xml:space="preserve"> SEQ Table \* ARABIC \s 1 </w:instrText>
      </w:r>
      <w:r w:rsidR="005D68E7" w:rsidRPr="00120B36">
        <w:rPr>
          <w:b/>
        </w:rPr>
        <w:fldChar w:fldCharType="separate"/>
      </w:r>
      <w:r w:rsidR="00847C1B">
        <w:rPr>
          <w:b/>
          <w:noProof/>
        </w:rPr>
        <w:t>2</w:t>
      </w:r>
      <w:r w:rsidR="005D68E7" w:rsidRPr="00120B36">
        <w:rPr>
          <w:b/>
        </w:rPr>
        <w:fldChar w:fldCharType="end"/>
      </w:r>
      <w:r w:rsidRPr="00120B36">
        <w:rPr>
          <w:b/>
        </w:rPr>
        <w:t>: DIRECTIVES</w:t>
      </w:r>
      <w:bookmarkEnd w:id="996"/>
      <w:bookmarkEnd w:id="997"/>
      <w:bookmarkEnd w:id="998"/>
    </w:p>
    <w:tbl>
      <w:tblPr>
        <w:tblW w:w="5098" w:type="pct"/>
        <w:jc w:val="center"/>
        <w:tblInd w:w="-17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353"/>
        <w:gridCol w:w="10769"/>
        <w:gridCol w:w="2785"/>
      </w:tblGrid>
      <w:tr w:rsidR="00A71B2A" w:rsidRPr="00B53423" w:rsidTr="00673F3A">
        <w:trPr>
          <w:trHeight w:val="1340"/>
          <w:tblHeader/>
          <w:jc w:val="center"/>
        </w:trPr>
        <w:tc>
          <w:tcPr>
            <w:tcW w:w="454" w:type="pct"/>
            <w:shd w:val="clear" w:color="000000" w:fill="C5D9F1"/>
            <w:vAlign w:val="center"/>
            <w:hideMark/>
          </w:tcPr>
          <w:p w:rsidR="00A71B2A" w:rsidRPr="00B53423" w:rsidRDefault="00A71B2A" w:rsidP="0015232B">
            <w:pPr>
              <w:jc w:val="center"/>
              <w:rPr>
                <w:b/>
              </w:rPr>
            </w:pPr>
            <w:r w:rsidRPr="00B53423">
              <w:rPr>
                <w:b/>
              </w:rPr>
              <w:t>S. No</w:t>
            </w:r>
          </w:p>
        </w:tc>
        <w:tc>
          <w:tcPr>
            <w:tcW w:w="3612" w:type="pct"/>
            <w:shd w:val="clear" w:color="000000" w:fill="C5D9F1"/>
            <w:vAlign w:val="center"/>
            <w:hideMark/>
          </w:tcPr>
          <w:p w:rsidR="00A71B2A" w:rsidRPr="00B53423" w:rsidRDefault="00A71B2A" w:rsidP="0015232B">
            <w:pPr>
              <w:jc w:val="center"/>
              <w:rPr>
                <w:b/>
                <w:caps/>
                <w:kern w:val="32"/>
              </w:rPr>
            </w:pPr>
            <w:r w:rsidRPr="00B53423">
              <w:rPr>
                <w:b/>
              </w:rPr>
              <w:t>Description of Directive</w:t>
            </w:r>
          </w:p>
        </w:tc>
        <w:tc>
          <w:tcPr>
            <w:tcW w:w="934" w:type="pct"/>
            <w:shd w:val="clear" w:color="000000" w:fill="C5D9F1"/>
            <w:vAlign w:val="center"/>
            <w:hideMark/>
          </w:tcPr>
          <w:p w:rsidR="00A71B2A" w:rsidRPr="00B53423" w:rsidRDefault="00A71B2A" w:rsidP="0015232B">
            <w:pPr>
              <w:jc w:val="center"/>
              <w:rPr>
                <w:b/>
                <w:caps/>
                <w:kern w:val="32"/>
              </w:rPr>
            </w:pPr>
            <w:r w:rsidRPr="00B53423">
              <w:rPr>
                <w:b/>
              </w:rPr>
              <w:t>Time Period for compliance from the date of issue of the Tariff Order</w:t>
            </w:r>
          </w:p>
        </w:tc>
      </w:tr>
      <w:tr w:rsidR="00DA1856" w:rsidRPr="00B53423" w:rsidTr="00F34C87">
        <w:trPr>
          <w:trHeight w:val="557"/>
          <w:jc w:val="center"/>
        </w:trPr>
        <w:tc>
          <w:tcPr>
            <w:tcW w:w="454" w:type="pct"/>
            <w:shd w:val="clear" w:color="auto" w:fill="auto"/>
            <w:noWrap/>
            <w:hideMark/>
          </w:tcPr>
          <w:p w:rsidR="00DA1856" w:rsidRPr="00B53423" w:rsidRDefault="00DA1856" w:rsidP="000174C0">
            <w:pPr>
              <w:pStyle w:val="ListParagraph"/>
              <w:numPr>
                <w:ilvl w:val="0"/>
                <w:numId w:val="78"/>
              </w:numPr>
            </w:pPr>
          </w:p>
        </w:tc>
        <w:tc>
          <w:tcPr>
            <w:tcW w:w="3612" w:type="pct"/>
            <w:shd w:val="clear" w:color="auto" w:fill="auto"/>
            <w:noWrap/>
            <w:hideMark/>
          </w:tcPr>
          <w:p w:rsidR="00DA1856" w:rsidRPr="00B53423" w:rsidRDefault="00DA1856" w:rsidP="0015232B">
            <w:r w:rsidRPr="00B53423">
              <w:t xml:space="preserve">The Licensees are directed to arrange for quarterly meetings between the MDs of the Licensees and the consumer representatives for solving various grievances of the consumers and submit a status report containing details of such meetings along with the next ARR filing. </w:t>
            </w:r>
          </w:p>
        </w:tc>
        <w:tc>
          <w:tcPr>
            <w:tcW w:w="934" w:type="pct"/>
            <w:shd w:val="clear" w:color="auto" w:fill="auto"/>
            <w:noWrap/>
            <w:hideMark/>
          </w:tcPr>
          <w:p w:rsidR="00DA1856" w:rsidRPr="00B53423" w:rsidRDefault="00DA1856" w:rsidP="0015232B">
            <w:r w:rsidRPr="00B53423">
              <w:t>Immediate</w:t>
            </w:r>
          </w:p>
        </w:tc>
      </w:tr>
      <w:tr w:rsidR="00A71B2A" w:rsidRPr="00B53423" w:rsidTr="00F34C87">
        <w:trPr>
          <w:trHeight w:val="557"/>
          <w:jc w:val="center"/>
        </w:trPr>
        <w:tc>
          <w:tcPr>
            <w:tcW w:w="454" w:type="pct"/>
            <w:shd w:val="clear" w:color="auto" w:fill="auto"/>
            <w:noWrap/>
          </w:tcPr>
          <w:p w:rsidR="00A71B2A" w:rsidRPr="00B53423" w:rsidRDefault="00A71B2A" w:rsidP="000174C0">
            <w:pPr>
              <w:pStyle w:val="ListParagraph"/>
              <w:numPr>
                <w:ilvl w:val="0"/>
                <w:numId w:val="78"/>
              </w:numPr>
            </w:pPr>
          </w:p>
        </w:tc>
        <w:tc>
          <w:tcPr>
            <w:tcW w:w="3612" w:type="pct"/>
            <w:shd w:val="clear" w:color="auto" w:fill="auto"/>
            <w:noWrap/>
          </w:tcPr>
          <w:p w:rsidR="00A71B2A" w:rsidRPr="00B53423" w:rsidRDefault="00A71B2A" w:rsidP="0015232B">
            <w:r w:rsidRPr="00B53423">
              <w:t>The Commission directs the Licensee to pay the applicable interest on consumer’s security deposit as per the Orders of the Commission and submit the compliance report with the next ARR filing. Licensees are directed to ensure the timely payment of the interest on security deposit to the consumers.</w:t>
            </w:r>
          </w:p>
        </w:tc>
        <w:tc>
          <w:tcPr>
            <w:tcW w:w="934" w:type="pct"/>
            <w:shd w:val="clear" w:color="auto" w:fill="auto"/>
            <w:noWrap/>
          </w:tcPr>
          <w:p w:rsidR="00A71B2A" w:rsidRPr="00B53423" w:rsidRDefault="00A71B2A" w:rsidP="0015232B">
            <w:r w:rsidRPr="00B53423">
              <w:t xml:space="preserve">Immediate </w:t>
            </w:r>
          </w:p>
        </w:tc>
      </w:tr>
      <w:tr w:rsidR="00A71B2A" w:rsidRPr="00B53423" w:rsidTr="00F34C87">
        <w:trPr>
          <w:trHeight w:val="692"/>
          <w:jc w:val="center"/>
        </w:trPr>
        <w:tc>
          <w:tcPr>
            <w:tcW w:w="454" w:type="pct"/>
            <w:shd w:val="clear" w:color="auto" w:fill="auto"/>
            <w:noWrap/>
          </w:tcPr>
          <w:p w:rsidR="00A71B2A" w:rsidRPr="00B53423" w:rsidRDefault="00A71B2A" w:rsidP="000174C0">
            <w:pPr>
              <w:pStyle w:val="ListParagraph"/>
              <w:numPr>
                <w:ilvl w:val="0"/>
                <w:numId w:val="78"/>
              </w:numPr>
            </w:pPr>
          </w:p>
        </w:tc>
        <w:tc>
          <w:tcPr>
            <w:tcW w:w="3612" w:type="pct"/>
            <w:shd w:val="clear" w:color="auto" w:fill="auto"/>
            <w:noWrap/>
          </w:tcPr>
          <w:p w:rsidR="00A71B2A" w:rsidRPr="00B53423" w:rsidRDefault="00A71B2A" w:rsidP="0015232B">
            <w:r w:rsidRPr="00B53423">
              <w:t>As regards the various complaints of the stakeholders brought to the notice of the Commission during public hearing, the Licensee is directed to look into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tc>
        <w:tc>
          <w:tcPr>
            <w:tcW w:w="934" w:type="pct"/>
            <w:shd w:val="clear" w:color="auto" w:fill="auto"/>
            <w:noWrap/>
          </w:tcPr>
          <w:p w:rsidR="00A71B2A" w:rsidRPr="00B53423" w:rsidRDefault="00A71B2A" w:rsidP="0015232B">
            <w:r w:rsidRPr="00B53423">
              <w:t>Immediate</w:t>
            </w:r>
          </w:p>
        </w:tc>
      </w:tr>
      <w:tr w:rsidR="00A71B2A" w:rsidRPr="00B53423" w:rsidTr="00F34C87">
        <w:trPr>
          <w:trHeight w:val="557"/>
          <w:jc w:val="center"/>
        </w:trPr>
        <w:tc>
          <w:tcPr>
            <w:tcW w:w="454" w:type="pct"/>
            <w:shd w:val="clear" w:color="auto" w:fill="auto"/>
            <w:noWrap/>
          </w:tcPr>
          <w:p w:rsidR="00A71B2A" w:rsidRPr="00B53423" w:rsidRDefault="00A71B2A" w:rsidP="000174C0">
            <w:pPr>
              <w:pStyle w:val="ListParagraph"/>
              <w:numPr>
                <w:ilvl w:val="0"/>
                <w:numId w:val="78"/>
              </w:numPr>
            </w:pPr>
          </w:p>
        </w:tc>
        <w:tc>
          <w:tcPr>
            <w:tcW w:w="3612" w:type="pct"/>
            <w:shd w:val="clear" w:color="auto" w:fill="auto"/>
            <w:noWrap/>
          </w:tcPr>
          <w:p w:rsidR="00A71B2A" w:rsidRPr="00B53423" w:rsidRDefault="00A71B2A" w:rsidP="0015232B">
            <w:r w:rsidRPr="00B53423">
              <w:t xml:space="preserve">To provide accurate and effective consumption norms, the Commission directs the Petitioners to conduct a detailed study which should include all the relevant details pointed out by the Commission in Para </w:t>
            </w:r>
            <w:fldSimple w:instr=" REF _Ref397182810 \r \h  \* MERGEFORMAT ">
              <w:r w:rsidR="00847C1B">
                <w:t>9.2.13</w:t>
              </w:r>
            </w:fldSimple>
          </w:p>
        </w:tc>
        <w:tc>
          <w:tcPr>
            <w:tcW w:w="934" w:type="pct"/>
            <w:shd w:val="clear" w:color="auto" w:fill="auto"/>
            <w:noWrap/>
          </w:tcPr>
          <w:p w:rsidR="00A71B2A" w:rsidRPr="00B53423" w:rsidRDefault="00A71B2A" w:rsidP="0015232B">
            <w:r w:rsidRPr="00B53423">
              <w:t>Within 6 months from issue of this Order</w:t>
            </w:r>
          </w:p>
        </w:tc>
      </w:tr>
      <w:tr w:rsidR="00433780" w:rsidRPr="00B53423" w:rsidTr="00F34C87">
        <w:trPr>
          <w:trHeight w:val="557"/>
          <w:jc w:val="center"/>
        </w:trPr>
        <w:tc>
          <w:tcPr>
            <w:tcW w:w="454" w:type="pct"/>
            <w:shd w:val="clear" w:color="auto" w:fill="auto"/>
            <w:noWrap/>
          </w:tcPr>
          <w:p w:rsidR="00433780" w:rsidRPr="00B53423" w:rsidRDefault="00433780" w:rsidP="000174C0">
            <w:pPr>
              <w:pStyle w:val="ListParagraph"/>
              <w:numPr>
                <w:ilvl w:val="0"/>
                <w:numId w:val="78"/>
              </w:numPr>
            </w:pPr>
          </w:p>
        </w:tc>
        <w:tc>
          <w:tcPr>
            <w:tcW w:w="3612" w:type="pct"/>
            <w:shd w:val="clear" w:color="auto" w:fill="auto"/>
            <w:noWrap/>
          </w:tcPr>
          <w:p w:rsidR="00433780" w:rsidRPr="00B53423" w:rsidRDefault="00433780" w:rsidP="0015232B">
            <w:pPr>
              <w:spacing w:before="60" w:after="60"/>
            </w:pPr>
            <w:r w:rsidRPr="00B53423">
              <w:t>The Commission directs the Petitioner to ensure to convert all the 18 consumers under LMV-3 category into metered connections within one month of the issue of this Order failing which the Commission will resort to take stringent action against the Petitioner.</w:t>
            </w:r>
          </w:p>
        </w:tc>
        <w:tc>
          <w:tcPr>
            <w:tcW w:w="934" w:type="pct"/>
            <w:shd w:val="clear" w:color="auto" w:fill="auto"/>
            <w:noWrap/>
          </w:tcPr>
          <w:p w:rsidR="00433780" w:rsidRPr="00B53423" w:rsidRDefault="00433780" w:rsidP="0015232B">
            <w:pPr>
              <w:spacing w:before="60" w:after="60"/>
              <w:jc w:val="center"/>
              <w:rPr>
                <w:rFonts w:asciiTheme="minorHAnsi" w:hAnsiTheme="minorHAnsi" w:cstheme="minorHAnsi"/>
                <w:lang w:val="en-US"/>
              </w:rPr>
            </w:pPr>
            <w:r w:rsidRPr="00B53423">
              <w:rPr>
                <w:rFonts w:asciiTheme="minorHAnsi" w:hAnsiTheme="minorHAnsi" w:cstheme="minorHAnsi"/>
                <w:lang w:val="en-US"/>
              </w:rPr>
              <w:t>Within one month from issue of this Order</w:t>
            </w:r>
          </w:p>
        </w:tc>
      </w:tr>
      <w:tr w:rsidR="00433780" w:rsidRPr="00B53423" w:rsidTr="00F34C87">
        <w:trPr>
          <w:trHeight w:val="557"/>
          <w:jc w:val="center"/>
        </w:trPr>
        <w:tc>
          <w:tcPr>
            <w:tcW w:w="454" w:type="pct"/>
            <w:shd w:val="clear" w:color="auto" w:fill="auto"/>
            <w:noWrap/>
          </w:tcPr>
          <w:p w:rsidR="00433780" w:rsidRPr="00B53423" w:rsidRDefault="00433780" w:rsidP="000174C0">
            <w:pPr>
              <w:pStyle w:val="ListParagraph"/>
              <w:numPr>
                <w:ilvl w:val="0"/>
                <w:numId w:val="78"/>
              </w:numPr>
            </w:pPr>
          </w:p>
        </w:tc>
        <w:tc>
          <w:tcPr>
            <w:tcW w:w="3612" w:type="pct"/>
            <w:shd w:val="clear" w:color="auto" w:fill="auto"/>
            <w:noWrap/>
          </w:tcPr>
          <w:p w:rsidR="00433780" w:rsidRPr="00B53423" w:rsidRDefault="00433780" w:rsidP="0015232B">
            <w:pPr>
              <w:spacing w:before="60" w:after="60"/>
            </w:pPr>
            <w:r w:rsidRPr="00B53423">
              <w:rPr>
                <w:rFonts w:asciiTheme="minorHAnsi" w:hAnsiTheme="minorHAnsi" w:cstheme="minorHAnsi"/>
                <w:color w:val="000000"/>
              </w:rPr>
              <w:t>As regards the observed uncertainty in the billing determinants for LMV-10 category, the Commission directs the Petitioner to provide detailed explanation in this regards alongwith all the necessary supporting documents for verification of such data while filing for Truing-up of FY 2012-13. However, for the purpose of the present Order the Commission has accepted the Petitioner’s submission regarding the consumption parameters for FY 2012-13.</w:t>
            </w:r>
          </w:p>
        </w:tc>
        <w:tc>
          <w:tcPr>
            <w:tcW w:w="934" w:type="pct"/>
            <w:shd w:val="clear" w:color="auto" w:fill="auto"/>
            <w:noWrap/>
          </w:tcPr>
          <w:p w:rsidR="00433780" w:rsidRPr="00B53423" w:rsidRDefault="00433780" w:rsidP="0015232B">
            <w:pPr>
              <w:spacing w:before="60" w:after="60"/>
              <w:jc w:val="center"/>
              <w:rPr>
                <w:rFonts w:asciiTheme="minorHAnsi" w:hAnsiTheme="minorHAnsi" w:cstheme="minorHAnsi"/>
                <w:lang w:val="en-US"/>
              </w:rPr>
            </w:pPr>
            <w:r w:rsidRPr="00B53423">
              <w:rPr>
                <w:rFonts w:asciiTheme="minorHAnsi" w:hAnsiTheme="minorHAnsi" w:cstheme="minorHAnsi"/>
                <w:lang w:val="en-US"/>
              </w:rPr>
              <w:t>Next ARR filing</w:t>
            </w:r>
          </w:p>
        </w:tc>
      </w:tr>
      <w:tr w:rsidR="00A71B2A" w:rsidRPr="00B53423" w:rsidTr="00F34C87">
        <w:trPr>
          <w:trHeight w:val="557"/>
          <w:jc w:val="center"/>
        </w:trPr>
        <w:tc>
          <w:tcPr>
            <w:tcW w:w="454" w:type="pct"/>
            <w:shd w:val="clear" w:color="auto" w:fill="auto"/>
            <w:noWrap/>
          </w:tcPr>
          <w:p w:rsidR="00A71B2A" w:rsidRPr="00B53423" w:rsidRDefault="00A71B2A" w:rsidP="000174C0">
            <w:pPr>
              <w:pStyle w:val="ListParagraph"/>
              <w:numPr>
                <w:ilvl w:val="0"/>
                <w:numId w:val="78"/>
              </w:numPr>
            </w:pPr>
          </w:p>
        </w:tc>
        <w:tc>
          <w:tcPr>
            <w:tcW w:w="3612" w:type="pct"/>
            <w:shd w:val="clear" w:color="auto" w:fill="auto"/>
            <w:noWrap/>
          </w:tcPr>
          <w:p w:rsidR="00A71B2A" w:rsidRPr="00B53423" w:rsidRDefault="00A71B2A" w:rsidP="0015232B">
            <w:r w:rsidRPr="00B53423">
              <w:t>As regards the Commission’s directives to submit a road map for 100% metering in its licensed area given in the Tariff Order dated 31</w:t>
            </w:r>
            <w:r w:rsidRPr="00B53423">
              <w:rPr>
                <w:vertAlign w:val="superscript"/>
              </w:rPr>
              <w:t>st</w:t>
            </w:r>
            <w:r w:rsidRPr="00B53423">
              <w:t xml:space="preserve"> May, 2013, the Licensees has not complied with the directions of the Commission. The Commission once again</w:t>
            </w:r>
            <w:r w:rsidRPr="00B53423">
              <w:rPr>
                <w:i/>
              </w:rPr>
              <w:t xml:space="preserve"> </w:t>
            </w:r>
            <w:r w:rsidRPr="00B53423">
              <w:t>directs the Licensee to comply with the direction given by the Commission in this Order and accordingly put it sincere efforts to achieve 100% metering.</w:t>
            </w:r>
          </w:p>
        </w:tc>
        <w:tc>
          <w:tcPr>
            <w:tcW w:w="934" w:type="pct"/>
            <w:shd w:val="clear" w:color="auto" w:fill="auto"/>
            <w:noWrap/>
          </w:tcPr>
          <w:p w:rsidR="00A71B2A" w:rsidRPr="00B53423" w:rsidRDefault="00A71B2A" w:rsidP="0015232B">
            <w:pPr>
              <w:rPr>
                <w:rFonts w:eastAsia="Arial Unicode MS"/>
              </w:rPr>
            </w:pPr>
            <w:r w:rsidRPr="00B53423">
              <w:rPr>
                <w:rFonts w:eastAsia="Arial Unicode MS"/>
              </w:rPr>
              <w:t>3 months from issue of this Order</w:t>
            </w:r>
          </w:p>
        </w:tc>
      </w:tr>
      <w:tr w:rsidR="00A71B2A" w:rsidRPr="00B53423" w:rsidTr="00F34C87">
        <w:trPr>
          <w:trHeight w:val="593"/>
          <w:jc w:val="center"/>
        </w:trPr>
        <w:tc>
          <w:tcPr>
            <w:tcW w:w="454" w:type="pct"/>
            <w:shd w:val="clear" w:color="auto" w:fill="auto"/>
            <w:noWrap/>
          </w:tcPr>
          <w:p w:rsidR="00A71B2A" w:rsidRPr="00B53423" w:rsidRDefault="00A71B2A" w:rsidP="000174C0">
            <w:pPr>
              <w:pStyle w:val="ListParagraph"/>
              <w:numPr>
                <w:ilvl w:val="0"/>
                <w:numId w:val="78"/>
              </w:numPr>
            </w:pPr>
          </w:p>
        </w:tc>
        <w:tc>
          <w:tcPr>
            <w:tcW w:w="3612" w:type="pct"/>
            <w:shd w:val="clear" w:color="auto" w:fill="auto"/>
            <w:noWrap/>
          </w:tcPr>
          <w:p w:rsidR="00A71B2A" w:rsidRPr="00B53423" w:rsidRDefault="00A71B2A" w:rsidP="0015232B">
            <w:r w:rsidRPr="00B53423">
              <w:t xml:space="preserve">The Commission directs the Distribution Licensees to formulate a mechanism so as to make their officials accountable by providing incentives or disincentives for achievement or non-achievement of the distribution loss and the collection efficiency targets. The Policy should include all the relevant details pointed out by the Commission in Para </w:t>
            </w:r>
            <w:fldSimple w:instr=" REF _Ref397182766 \r \h  \* MERGEFORMAT ">
              <w:r w:rsidR="00847C1B">
                <w:t>9.3.24</w:t>
              </w:r>
            </w:fldSimple>
            <w:r w:rsidR="005A1C9B" w:rsidRPr="00B53423">
              <w:t xml:space="preserve"> </w:t>
            </w:r>
            <w:r w:rsidRPr="00B53423">
              <w:t>of this Order</w:t>
            </w:r>
          </w:p>
        </w:tc>
        <w:tc>
          <w:tcPr>
            <w:tcW w:w="934" w:type="pct"/>
            <w:shd w:val="clear" w:color="auto" w:fill="auto"/>
            <w:noWrap/>
          </w:tcPr>
          <w:p w:rsidR="00A71B2A" w:rsidRPr="00B53423" w:rsidRDefault="00A71B2A" w:rsidP="0015232B">
            <w:r w:rsidRPr="00B53423">
              <w:t>Within 2 months from the issue of this Order</w:t>
            </w:r>
          </w:p>
        </w:tc>
      </w:tr>
      <w:tr w:rsidR="00A71B2A" w:rsidRPr="00B53423" w:rsidTr="00F34C87">
        <w:trPr>
          <w:trHeight w:val="593"/>
          <w:jc w:val="center"/>
        </w:trPr>
        <w:tc>
          <w:tcPr>
            <w:tcW w:w="454" w:type="pct"/>
            <w:shd w:val="clear" w:color="auto" w:fill="auto"/>
            <w:noWrap/>
          </w:tcPr>
          <w:p w:rsidR="00A71B2A" w:rsidRPr="00B53423" w:rsidRDefault="00A71B2A" w:rsidP="000174C0">
            <w:pPr>
              <w:pStyle w:val="ListParagraph"/>
              <w:numPr>
                <w:ilvl w:val="0"/>
                <w:numId w:val="78"/>
              </w:numPr>
            </w:pPr>
          </w:p>
        </w:tc>
        <w:tc>
          <w:tcPr>
            <w:tcW w:w="3612" w:type="pct"/>
            <w:shd w:val="clear" w:color="auto" w:fill="auto"/>
            <w:noWrap/>
          </w:tcPr>
          <w:p w:rsidR="00A71B2A" w:rsidRPr="00B53423" w:rsidRDefault="00A71B2A" w:rsidP="0015232B">
            <w:r w:rsidRPr="00B53423">
              <w:t>The Commission further directs the Petitioner to sign the MoUs to be implemented at all levels and submit the copy of the same to the Commission within 2 months from the date of this Order.</w:t>
            </w:r>
          </w:p>
        </w:tc>
        <w:tc>
          <w:tcPr>
            <w:tcW w:w="934" w:type="pct"/>
            <w:shd w:val="clear" w:color="auto" w:fill="auto"/>
            <w:noWrap/>
          </w:tcPr>
          <w:p w:rsidR="00A71B2A" w:rsidRPr="00B53423" w:rsidRDefault="00A71B2A" w:rsidP="0015232B">
            <w:r w:rsidRPr="00B53423">
              <w:t>Within 2 months from the date of issuance of this Order</w:t>
            </w:r>
          </w:p>
        </w:tc>
      </w:tr>
      <w:tr w:rsidR="00A71B2A" w:rsidRPr="00B53423" w:rsidTr="00F34C87">
        <w:trPr>
          <w:trHeight w:val="287"/>
          <w:jc w:val="center"/>
        </w:trPr>
        <w:tc>
          <w:tcPr>
            <w:tcW w:w="454" w:type="pct"/>
            <w:shd w:val="clear" w:color="auto" w:fill="auto"/>
            <w:noWrap/>
          </w:tcPr>
          <w:p w:rsidR="00A71B2A" w:rsidRPr="00B53423" w:rsidRDefault="00A71B2A" w:rsidP="000174C0">
            <w:pPr>
              <w:pStyle w:val="ListParagraph"/>
              <w:numPr>
                <w:ilvl w:val="0"/>
                <w:numId w:val="78"/>
              </w:numPr>
            </w:pPr>
          </w:p>
        </w:tc>
        <w:tc>
          <w:tcPr>
            <w:tcW w:w="3612" w:type="pct"/>
            <w:shd w:val="clear" w:color="auto" w:fill="auto"/>
            <w:noWrap/>
            <w:hideMark/>
          </w:tcPr>
          <w:p w:rsidR="00A71B2A" w:rsidRPr="00B53423" w:rsidRDefault="00A71B2A" w:rsidP="0015232B">
            <w:r w:rsidRPr="00B53423">
              <w:t>As regards timely filing of FPPCA the Commission once again directs the Licensees that they should file FPPCA in a timely and regular manner in accordance with the Distribution Tariff Regulations, 2006 failing which the Commission may have to resort to take strict action against the Licensees.</w:t>
            </w:r>
            <w:r w:rsidRPr="00B53423" w:rsidDel="002972A7">
              <w:t xml:space="preserve"> </w:t>
            </w:r>
          </w:p>
        </w:tc>
        <w:tc>
          <w:tcPr>
            <w:tcW w:w="934" w:type="pct"/>
            <w:shd w:val="clear" w:color="auto" w:fill="auto"/>
            <w:noWrap/>
            <w:hideMark/>
          </w:tcPr>
          <w:p w:rsidR="00A71B2A" w:rsidRPr="00B53423" w:rsidRDefault="00A71B2A" w:rsidP="0015232B">
            <w:r w:rsidRPr="00B53423">
              <w:t xml:space="preserve">Immediate </w:t>
            </w:r>
          </w:p>
        </w:tc>
      </w:tr>
      <w:tr w:rsidR="00A71B2A" w:rsidRPr="00B53423" w:rsidTr="00F34C87">
        <w:trPr>
          <w:trHeight w:val="647"/>
          <w:jc w:val="center"/>
        </w:trPr>
        <w:tc>
          <w:tcPr>
            <w:tcW w:w="454" w:type="pct"/>
            <w:shd w:val="clear" w:color="auto" w:fill="auto"/>
            <w:noWrap/>
          </w:tcPr>
          <w:p w:rsidR="00A71B2A" w:rsidRPr="00B53423" w:rsidRDefault="00A71B2A" w:rsidP="000174C0">
            <w:pPr>
              <w:pStyle w:val="ListParagraph"/>
              <w:numPr>
                <w:ilvl w:val="0"/>
                <w:numId w:val="78"/>
              </w:numPr>
            </w:pPr>
          </w:p>
        </w:tc>
        <w:tc>
          <w:tcPr>
            <w:tcW w:w="3612" w:type="pct"/>
            <w:shd w:val="clear" w:color="auto" w:fill="auto"/>
            <w:noWrap/>
          </w:tcPr>
          <w:p w:rsidR="00A71B2A" w:rsidRPr="00B53423" w:rsidRDefault="00A71B2A" w:rsidP="0015232B">
            <w:r w:rsidRPr="00B53423">
              <w:t>As regards the increasing number of unmetered consumers the Commission accords a final opportunity to the Distribution Licensees and directs them to ensure that all their unmetered consumers get converted into metered connection.</w:t>
            </w:r>
          </w:p>
        </w:tc>
        <w:tc>
          <w:tcPr>
            <w:tcW w:w="934" w:type="pct"/>
            <w:shd w:val="clear" w:color="auto" w:fill="auto"/>
            <w:noWrap/>
          </w:tcPr>
          <w:p w:rsidR="00A71B2A" w:rsidRPr="00B53423" w:rsidRDefault="000D7021" w:rsidP="0015232B">
            <w:r w:rsidRPr="00B53423">
              <w:t>31</w:t>
            </w:r>
            <w:r w:rsidR="00BC60A3" w:rsidRPr="00B53423">
              <w:rPr>
                <w:vertAlign w:val="superscript"/>
              </w:rPr>
              <w:t>st</w:t>
            </w:r>
            <w:r w:rsidRPr="00B53423">
              <w:t xml:space="preserve"> May, 2015</w:t>
            </w:r>
          </w:p>
        </w:tc>
      </w:tr>
      <w:tr w:rsidR="000D7021" w:rsidRPr="00B53423" w:rsidTr="00F34C87">
        <w:trPr>
          <w:trHeight w:val="647"/>
          <w:jc w:val="center"/>
        </w:trPr>
        <w:tc>
          <w:tcPr>
            <w:tcW w:w="454" w:type="pct"/>
            <w:shd w:val="clear" w:color="auto" w:fill="auto"/>
            <w:noWrap/>
          </w:tcPr>
          <w:p w:rsidR="000D7021" w:rsidRPr="00B53423" w:rsidRDefault="000D7021" w:rsidP="000174C0">
            <w:pPr>
              <w:pStyle w:val="ListParagraph"/>
              <w:numPr>
                <w:ilvl w:val="0"/>
                <w:numId w:val="78"/>
              </w:numPr>
            </w:pPr>
          </w:p>
        </w:tc>
        <w:tc>
          <w:tcPr>
            <w:tcW w:w="3612" w:type="pct"/>
            <w:shd w:val="clear" w:color="auto" w:fill="auto"/>
            <w:noWrap/>
          </w:tcPr>
          <w:p w:rsidR="000D7021" w:rsidRPr="00B53423" w:rsidRDefault="000D7021" w:rsidP="0015232B">
            <w:r w:rsidRPr="00B53423">
              <w:t>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and submit the status report on the same along with next ARR filing</w:t>
            </w:r>
            <w:r w:rsidR="0054445A" w:rsidRPr="00B53423">
              <w:t>.</w:t>
            </w:r>
          </w:p>
        </w:tc>
        <w:tc>
          <w:tcPr>
            <w:tcW w:w="934" w:type="pct"/>
            <w:shd w:val="clear" w:color="auto" w:fill="auto"/>
            <w:noWrap/>
          </w:tcPr>
          <w:p w:rsidR="000D7021" w:rsidRPr="00B53423" w:rsidRDefault="000D7021" w:rsidP="0015232B">
            <w:r w:rsidRPr="00B53423">
              <w:t>Next ARR filing</w:t>
            </w:r>
          </w:p>
        </w:tc>
      </w:tr>
      <w:tr w:rsidR="000D7021" w:rsidRPr="00B53423" w:rsidTr="00F34C87">
        <w:trPr>
          <w:trHeight w:val="647"/>
          <w:jc w:val="center"/>
        </w:trPr>
        <w:tc>
          <w:tcPr>
            <w:tcW w:w="454" w:type="pct"/>
            <w:shd w:val="clear" w:color="auto" w:fill="auto"/>
            <w:noWrap/>
          </w:tcPr>
          <w:p w:rsidR="000D7021" w:rsidRPr="00B53423" w:rsidRDefault="000D7021" w:rsidP="000174C0">
            <w:pPr>
              <w:pStyle w:val="ListParagraph"/>
              <w:numPr>
                <w:ilvl w:val="0"/>
                <w:numId w:val="78"/>
              </w:numPr>
            </w:pPr>
          </w:p>
        </w:tc>
        <w:tc>
          <w:tcPr>
            <w:tcW w:w="3612" w:type="pct"/>
            <w:shd w:val="clear" w:color="auto" w:fill="auto"/>
            <w:noWrap/>
          </w:tcPr>
          <w:p w:rsidR="000D7021" w:rsidRPr="00B53423" w:rsidRDefault="000D7021" w:rsidP="0015232B">
            <w:r w:rsidRPr="00B53423">
              <w:t xml:space="preserve">The Licensees are directed to provide the monthly MRI reports to all the </w:t>
            </w:r>
            <w:r w:rsidR="00D03E0E" w:rsidRPr="00B53423">
              <w:t xml:space="preserve">applicable </w:t>
            </w:r>
            <w:r w:rsidRPr="00B53423">
              <w:t>consumers through email. The consumers would be required to register their email to the Licensee and submit the status report on the same along with next ARR filing</w:t>
            </w:r>
            <w:r w:rsidR="007F5CE3" w:rsidRPr="00B53423">
              <w:t>.</w:t>
            </w:r>
          </w:p>
        </w:tc>
        <w:tc>
          <w:tcPr>
            <w:tcW w:w="934" w:type="pct"/>
            <w:shd w:val="clear" w:color="auto" w:fill="auto"/>
            <w:noWrap/>
          </w:tcPr>
          <w:p w:rsidR="000D7021" w:rsidRPr="00B53423" w:rsidRDefault="000D7021" w:rsidP="0015232B">
            <w:r w:rsidRPr="00B53423">
              <w:t>Immediate</w:t>
            </w:r>
          </w:p>
        </w:tc>
      </w:tr>
      <w:tr w:rsidR="00A71B2A" w:rsidRPr="00B53423" w:rsidTr="00F34C87">
        <w:trPr>
          <w:trHeight w:val="647"/>
          <w:jc w:val="center"/>
        </w:trPr>
        <w:tc>
          <w:tcPr>
            <w:tcW w:w="454" w:type="pct"/>
            <w:shd w:val="clear" w:color="auto" w:fill="auto"/>
            <w:noWrap/>
          </w:tcPr>
          <w:p w:rsidR="00A71B2A" w:rsidRPr="00B53423" w:rsidRDefault="00A71B2A" w:rsidP="000174C0">
            <w:pPr>
              <w:pStyle w:val="ListParagraph"/>
              <w:numPr>
                <w:ilvl w:val="0"/>
                <w:numId w:val="78"/>
              </w:numPr>
            </w:pPr>
          </w:p>
        </w:tc>
        <w:tc>
          <w:tcPr>
            <w:tcW w:w="3612" w:type="pct"/>
            <w:shd w:val="clear" w:color="auto" w:fill="auto"/>
            <w:noWrap/>
          </w:tcPr>
          <w:p w:rsidR="00A71B2A" w:rsidRPr="00B53423" w:rsidRDefault="00A71B2A" w:rsidP="0015232B">
            <w:r w:rsidRPr="00B53423">
              <w:t>As regards the Petition on minimum consumption charges, the Licensee is directed to re-submit its above proposal for the Commission’s consideration.</w:t>
            </w:r>
          </w:p>
        </w:tc>
        <w:tc>
          <w:tcPr>
            <w:tcW w:w="934" w:type="pct"/>
            <w:shd w:val="clear" w:color="auto" w:fill="auto"/>
            <w:noWrap/>
          </w:tcPr>
          <w:p w:rsidR="00A71B2A" w:rsidRPr="00B53423" w:rsidRDefault="00A71B2A" w:rsidP="0015232B">
            <w:r w:rsidRPr="00B53423">
              <w:t>Next ARR Filing</w:t>
            </w:r>
          </w:p>
        </w:tc>
      </w:tr>
      <w:tr w:rsidR="00A71B2A" w:rsidRPr="00B53423" w:rsidTr="00F34C87">
        <w:trPr>
          <w:trHeight w:val="647"/>
          <w:jc w:val="center"/>
        </w:trPr>
        <w:tc>
          <w:tcPr>
            <w:tcW w:w="454" w:type="pct"/>
            <w:shd w:val="clear" w:color="auto" w:fill="auto"/>
            <w:noWrap/>
          </w:tcPr>
          <w:p w:rsidR="00A71B2A" w:rsidRPr="00B53423" w:rsidRDefault="00A71B2A" w:rsidP="000174C0">
            <w:pPr>
              <w:pStyle w:val="ListParagraph"/>
              <w:numPr>
                <w:ilvl w:val="0"/>
                <w:numId w:val="78"/>
              </w:numPr>
            </w:pPr>
          </w:p>
        </w:tc>
        <w:tc>
          <w:tcPr>
            <w:tcW w:w="3612" w:type="pct"/>
            <w:shd w:val="clear" w:color="auto" w:fill="auto"/>
            <w:noWrap/>
          </w:tcPr>
          <w:p w:rsidR="00A71B2A" w:rsidRPr="00B53423" w:rsidRDefault="00A71B2A" w:rsidP="0015232B">
            <w:r w:rsidRPr="00B53423">
              <w:t>The Licensee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w:t>
            </w:r>
          </w:p>
        </w:tc>
        <w:tc>
          <w:tcPr>
            <w:tcW w:w="934" w:type="pct"/>
            <w:shd w:val="clear" w:color="auto" w:fill="auto"/>
            <w:noWrap/>
          </w:tcPr>
          <w:p w:rsidR="00A71B2A" w:rsidRPr="00B53423" w:rsidRDefault="00A71B2A" w:rsidP="0015232B">
            <w:r w:rsidRPr="00B53423">
              <w:t xml:space="preserve"> 1 month from the date of issuance of this Order</w:t>
            </w:r>
          </w:p>
        </w:tc>
      </w:tr>
      <w:tr w:rsidR="000D7021" w:rsidRPr="00B53423" w:rsidTr="00F34C87">
        <w:trPr>
          <w:trHeight w:val="647"/>
          <w:jc w:val="center"/>
        </w:trPr>
        <w:tc>
          <w:tcPr>
            <w:tcW w:w="454" w:type="pct"/>
            <w:shd w:val="clear" w:color="auto" w:fill="auto"/>
            <w:noWrap/>
          </w:tcPr>
          <w:p w:rsidR="000D7021" w:rsidRPr="00B53423" w:rsidRDefault="000D7021" w:rsidP="000174C0">
            <w:pPr>
              <w:pStyle w:val="ListParagraph"/>
              <w:numPr>
                <w:ilvl w:val="0"/>
                <w:numId w:val="78"/>
              </w:numPr>
            </w:pPr>
          </w:p>
        </w:tc>
        <w:tc>
          <w:tcPr>
            <w:tcW w:w="3612" w:type="pct"/>
            <w:shd w:val="clear" w:color="auto" w:fill="auto"/>
            <w:noWrap/>
          </w:tcPr>
          <w:p w:rsidR="000D7021" w:rsidRPr="00B53423" w:rsidRDefault="000D7021" w:rsidP="0015232B">
            <w:r w:rsidRPr="00B53423">
              <w:t>The Licensee is directed to submit a note detailing the area-wise actual number of supply hours provided to rural areas by the end of FY 2014-15.</w:t>
            </w:r>
          </w:p>
        </w:tc>
        <w:tc>
          <w:tcPr>
            <w:tcW w:w="934" w:type="pct"/>
            <w:shd w:val="clear" w:color="auto" w:fill="auto"/>
            <w:noWrap/>
          </w:tcPr>
          <w:p w:rsidR="000D7021" w:rsidRPr="00B53423" w:rsidRDefault="000D7021" w:rsidP="0015232B">
            <w:r w:rsidRPr="00B53423">
              <w:t>By end of FY 2014-15</w:t>
            </w:r>
          </w:p>
        </w:tc>
      </w:tr>
      <w:tr w:rsidR="000D7021" w:rsidRPr="00B53423" w:rsidTr="00F34C87">
        <w:trPr>
          <w:trHeight w:val="647"/>
          <w:jc w:val="center"/>
        </w:trPr>
        <w:tc>
          <w:tcPr>
            <w:tcW w:w="454" w:type="pct"/>
            <w:shd w:val="clear" w:color="auto" w:fill="auto"/>
            <w:noWrap/>
          </w:tcPr>
          <w:p w:rsidR="000D7021" w:rsidRPr="00B53423" w:rsidRDefault="000D7021" w:rsidP="000174C0">
            <w:pPr>
              <w:pStyle w:val="ListParagraph"/>
              <w:numPr>
                <w:ilvl w:val="0"/>
                <w:numId w:val="78"/>
              </w:numPr>
            </w:pPr>
          </w:p>
        </w:tc>
        <w:tc>
          <w:tcPr>
            <w:tcW w:w="3612" w:type="pct"/>
            <w:shd w:val="clear" w:color="auto" w:fill="auto"/>
            <w:noWrap/>
          </w:tcPr>
          <w:p w:rsidR="000D7021" w:rsidRPr="00B53423" w:rsidRDefault="00BC60A3" w:rsidP="0015232B">
            <w:r w:rsidRPr="00B53423">
              <w:rPr>
                <w:rFonts w:asciiTheme="minorHAnsi" w:hAnsiTheme="minorHAnsi" w:cstheme="minorHAnsi"/>
              </w:rPr>
              <w:t xml:space="preserve">The Licensee is directed to depict the Regulatory Surcharge separately and distinctly in the electricity bills of the consumers. </w:t>
            </w:r>
            <w:r w:rsidR="000D7021" w:rsidRPr="00B53423">
              <w:rPr>
                <w:rFonts w:asciiTheme="minorHAnsi" w:hAnsiTheme="minorHAnsi" w:cstheme="minorHAnsi"/>
              </w:rPr>
              <w:t xml:space="preserve">Further, </w:t>
            </w:r>
            <w:r w:rsidRPr="00B53423">
              <w:rPr>
                <w:rFonts w:asciiTheme="minorHAnsi" w:hAnsiTheme="minorHAnsi" w:cstheme="minorHAnsi"/>
              </w:rPr>
              <w:t xml:space="preserve">the Licensee </w:t>
            </w:r>
            <w:r w:rsidR="000D7021" w:rsidRPr="00B53423">
              <w:rPr>
                <w:rFonts w:asciiTheme="minorHAnsi" w:hAnsiTheme="minorHAnsi" w:cstheme="minorHAnsi"/>
              </w:rPr>
              <w:t xml:space="preserve">is also directed </w:t>
            </w:r>
            <w:r w:rsidRPr="00B53423">
              <w:rPr>
                <w:rFonts w:asciiTheme="minorHAnsi" w:hAnsiTheme="minorHAnsi" w:cstheme="minorHAnsi"/>
              </w:rPr>
              <w:t xml:space="preserve">to maintain separate accounting fields for the regulatory surcharge approved in this Order, and capture </w:t>
            </w:r>
            <w:r w:rsidRPr="00B53423">
              <w:t xml:space="preserve">the </w:t>
            </w:r>
            <w:r w:rsidRPr="00B53423">
              <w:rPr>
                <w:rFonts w:asciiTheme="minorHAnsi" w:hAnsiTheme="minorHAnsi" w:cstheme="minorHAnsi"/>
              </w:rPr>
              <w:t>amount collected as Regulatory Surcharges in both of its financial and commercial statements</w:t>
            </w:r>
          </w:p>
        </w:tc>
        <w:tc>
          <w:tcPr>
            <w:tcW w:w="934" w:type="pct"/>
            <w:shd w:val="clear" w:color="auto" w:fill="auto"/>
            <w:noWrap/>
          </w:tcPr>
          <w:p w:rsidR="000D7021" w:rsidRPr="00B53423" w:rsidRDefault="000D7021" w:rsidP="0015232B">
            <w:r w:rsidRPr="00B53423">
              <w:t>Immediate</w:t>
            </w:r>
          </w:p>
        </w:tc>
      </w:tr>
      <w:tr w:rsidR="000D7021" w:rsidRPr="00B53423" w:rsidTr="00F34C87">
        <w:trPr>
          <w:trHeight w:val="647"/>
          <w:jc w:val="center"/>
        </w:trPr>
        <w:tc>
          <w:tcPr>
            <w:tcW w:w="454" w:type="pct"/>
            <w:shd w:val="clear" w:color="auto" w:fill="auto"/>
            <w:noWrap/>
          </w:tcPr>
          <w:p w:rsidR="000D7021" w:rsidRPr="00B53423" w:rsidRDefault="000D7021" w:rsidP="000174C0">
            <w:pPr>
              <w:pStyle w:val="ListParagraph"/>
              <w:numPr>
                <w:ilvl w:val="0"/>
                <w:numId w:val="78"/>
              </w:numPr>
            </w:pPr>
          </w:p>
        </w:tc>
        <w:tc>
          <w:tcPr>
            <w:tcW w:w="3612" w:type="pct"/>
            <w:shd w:val="clear" w:color="auto" w:fill="auto"/>
            <w:noWrap/>
          </w:tcPr>
          <w:p w:rsidR="000D7021" w:rsidRPr="00B53423" w:rsidRDefault="00BC60A3" w:rsidP="0015232B">
            <w:r w:rsidRPr="00B53423">
              <w:t>Licensee is</w:t>
            </w:r>
            <w:r w:rsidRPr="00B53423">
              <w:rPr>
                <w:rFonts w:asciiTheme="minorHAnsi" w:hAnsiTheme="minorHAnsi" w:cstheme="minorHAnsi"/>
              </w:rPr>
              <w:t xml:space="preserve"> directed to submit the actual Regulatory Surcharge recovered in FY 2014-15 on account of the Revenue Gap / Regulatory Asset admitted by the Commission in this Order along with the actual Distribution Losses achieved in FY 2014-15 added in FY 2014-15</w:t>
            </w:r>
            <w:r w:rsidR="000D7021" w:rsidRPr="00B53423">
              <w:rPr>
                <w:rFonts w:asciiTheme="minorHAnsi" w:hAnsiTheme="minorHAnsi" w:cstheme="minorHAnsi"/>
              </w:rPr>
              <w:t>.</w:t>
            </w:r>
          </w:p>
        </w:tc>
        <w:tc>
          <w:tcPr>
            <w:tcW w:w="934" w:type="pct"/>
            <w:shd w:val="clear" w:color="auto" w:fill="auto"/>
            <w:noWrap/>
          </w:tcPr>
          <w:p w:rsidR="000D7021" w:rsidRPr="00B53423" w:rsidRDefault="000D7021" w:rsidP="0015232B">
            <w:r w:rsidRPr="00B53423">
              <w:rPr>
                <w:rFonts w:asciiTheme="minorHAnsi" w:hAnsiTheme="minorHAnsi" w:cstheme="minorHAnsi"/>
              </w:rPr>
              <w:t>15</w:t>
            </w:r>
            <w:r w:rsidRPr="00B53423">
              <w:rPr>
                <w:rFonts w:asciiTheme="minorHAnsi" w:hAnsiTheme="minorHAnsi" w:cstheme="minorHAnsi"/>
                <w:vertAlign w:val="superscript"/>
              </w:rPr>
              <w:t>th</w:t>
            </w:r>
            <w:r w:rsidRPr="00B53423">
              <w:rPr>
                <w:rFonts w:asciiTheme="minorHAnsi" w:hAnsiTheme="minorHAnsi" w:cstheme="minorHAnsi"/>
              </w:rPr>
              <w:t xml:space="preserve"> April, 2015</w:t>
            </w:r>
          </w:p>
        </w:tc>
      </w:tr>
    </w:tbl>
    <w:p w:rsidR="00A71B2A" w:rsidRPr="00B53423" w:rsidRDefault="00A71B2A" w:rsidP="0015232B"/>
    <w:p w:rsidR="00A71B2A" w:rsidRPr="00B53423" w:rsidRDefault="00A71B2A" w:rsidP="0015232B">
      <w:pPr>
        <w:pStyle w:val="Heading3"/>
        <w:keepNext w:val="0"/>
        <w:numPr>
          <w:ilvl w:val="0"/>
          <w:numId w:val="0"/>
        </w:numPr>
        <w:spacing w:after="120"/>
        <w:ind w:left="993"/>
      </w:pPr>
    </w:p>
    <w:p w:rsidR="00A71B2A" w:rsidRPr="00B53423" w:rsidRDefault="00A71B2A" w:rsidP="0015232B">
      <w:pPr>
        <w:pStyle w:val="Heading3"/>
        <w:keepNext w:val="0"/>
        <w:spacing w:before="120" w:after="120"/>
        <w:ind w:left="810" w:hanging="1170"/>
      </w:pPr>
      <w:r w:rsidRPr="00B53423">
        <w:t>The Commission would like to mention here that the list given above may not be exhaustive and the Licensee is directed comply with all directives given in the text of this Order.</w:t>
      </w:r>
    </w:p>
    <w:p w:rsidR="00A71B2A" w:rsidRPr="00B53423" w:rsidRDefault="00A71B2A" w:rsidP="0015232B">
      <w:pPr>
        <w:pStyle w:val="Heading3"/>
        <w:keepNext w:val="0"/>
        <w:numPr>
          <w:ilvl w:val="0"/>
          <w:numId w:val="0"/>
        </w:numPr>
        <w:ind w:left="720"/>
      </w:pPr>
    </w:p>
    <w:p w:rsidR="00A71B2A" w:rsidRPr="00B53423" w:rsidRDefault="00A71B2A" w:rsidP="0015232B">
      <w:pPr>
        <w:pStyle w:val="Heading3"/>
        <w:keepNext w:val="0"/>
        <w:spacing w:before="120" w:after="120"/>
        <w:ind w:left="810" w:hanging="1170"/>
      </w:pPr>
      <w:r w:rsidRPr="00B53423">
        <w:t>The Commission directs the Licensee to follow the directions scrupulously and send the periodical reports by 30</w:t>
      </w:r>
      <w:r w:rsidRPr="00B53423">
        <w:rPr>
          <w:vertAlign w:val="superscript"/>
        </w:rPr>
        <w:t>th</w:t>
      </w:r>
      <w:r w:rsidRPr="00B53423">
        <w:t xml:space="preserve"> of every month about the compliance of these directions in the format titled ‘</w:t>
      </w:r>
      <w:r w:rsidR="00BC60A3" w:rsidRPr="00B53423">
        <w:rPr>
          <w:b/>
        </w:rPr>
        <w:t>Action Taken Report on the Directions Issued by the Commission’</w:t>
      </w:r>
      <w:r w:rsidRPr="00B53423">
        <w:t xml:space="preserve"> provided at </w:t>
      </w:r>
      <w:r w:rsidR="00BC60A3" w:rsidRPr="00B53423">
        <w:rPr>
          <w:b/>
        </w:rPr>
        <w:t xml:space="preserve">Annexure </w:t>
      </w:r>
      <w:fldSimple w:instr=" REF _Ref397183019 \r \h  \* MERGEFORMAT ">
        <w:r w:rsidR="00847C1B" w:rsidRPr="00847C1B">
          <w:rPr>
            <w:b/>
          </w:rPr>
          <w:t>15.7</w:t>
        </w:r>
      </w:fldSimple>
      <w:r w:rsidR="0054445A" w:rsidRPr="00B53423">
        <w:t xml:space="preserve"> </w:t>
      </w:r>
      <w:r w:rsidRPr="00B53423">
        <w:t>of this Order.</w:t>
      </w:r>
    </w:p>
    <w:p w:rsidR="00A71B2A" w:rsidRPr="00B53423" w:rsidRDefault="00A71B2A" w:rsidP="0015232B">
      <w:pPr>
        <w:pStyle w:val="ListParagraph"/>
      </w:pPr>
    </w:p>
    <w:p w:rsidR="00A71B2A" w:rsidRPr="00B53423" w:rsidRDefault="00A71B2A" w:rsidP="0015232B">
      <w:pPr>
        <w:pStyle w:val="Heading3"/>
        <w:keepNext w:val="0"/>
        <w:numPr>
          <w:ilvl w:val="0"/>
          <w:numId w:val="0"/>
        </w:numPr>
        <w:tabs>
          <w:tab w:val="left" w:pos="720"/>
        </w:tabs>
        <w:ind w:left="720"/>
      </w:pPr>
    </w:p>
    <w:p w:rsidR="00DE37E0" w:rsidRPr="00B53423" w:rsidRDefault="00DE37E0" w:rsidP="0015232B">
      <w:pPr>
        <w:spacing w:line="240" w:lineRule="auto"/>
        <w:jc w:val="left"/>
        <w:rPr>
          <w:rFonts w:cs="Arial"/>
          <w:b/>
          <w:bCs/>
          <w:color w:val="333399"/>
          <w:kern w:val="32"/>
          <w:szCs w:val="32"/>
        </w:rPr>
      </w:pPr>
      <w:bookmarkStart w:id="999" w:name="_Toc257717229"/>
      <w:bookmarkStart w:id="1000" w:name="_Toc336438752"/>
      <w:bookmarkStart w:id="1001" w:name="_Toc337201451"/>
      <w:bookmarkEnd w:id="987"/>
      <w:r w:rsidRPr="00B53423">
        <w:br w:type="page"/>
      </w:r>
    </w:p>
    <w:p w:rsidR="00A71B2A" w:rsidRPr="00B53423" w:rsidRDefault="00A71B2A" w:rsidP="0015232B">
      <w:pPr>
        <w:pStyle w:val="Heading1"/>
        <w:keepNext w:val="0"/>
        <w:numPr>
          <w:ilvl w:val="0"/>
          <w:numId w:val="1"/>
        </w:numPr>
        <w:spacing w:line="276" w:lineRule="auto"/>
        <w:ind w:left="630" w:hanging="990"/>
        <w:sectPr w:rsidR="00A71B2A" w:rsidRPr="00B53423" w:rsidSect="00A71B2A">
          <w:headerReference w:type="default" r:id="rId24"/>
          <w:footerReference w:type="default" r:id="rId25"/>
          <w:pgSz w:w="16834" w:h="11909" w:orient="landscape" w:code="9"/>
          <w:pgMar w:top="1728" w:right="990" w:bottom="1440" w:left="1440" w:header="1008" w:footer="1008" w:gutter="0"/>
          <w:cols w:space="720"/>
          <w:docGrid w:linePitch="326"/>
        </w:sectPr>
      </w:pPr>
      <w:bookmarkStart w:id="1002" w:name="_Toc357345055"/>
      <w:bookmarkStart w:id="1003" w:name="_Toc357733353"/>
    </w:p>
    <w:p w:rsidR="00DE37E0" w:rsidRPr="00B53423" w:rsidRDefault="00DE37E0" w:rsidP="0015232B">
      <w:pPr>
        <w:pStyle w:val="Heading1"/>
        <w:keepNext w:val="0"/>
        <w:numPr>
          <w:ilvl w:val="0"/>
          <w:numId w:val="1"/>
        </w:numPr>
        <w:ind w:left="720" w:hanging="1080"/>
        <w:rPr>
          <w:color w:val="auto"/>
        </w:rPr>
      </w:pPr>
      <w:bookmarkStart w:id="1004" w:name="_Toc399626255"/>
      <w:r w:rsidRPr="00B53423">
        <w:rPr>
          <w:color w:val="auto"/>
        </w:rPr>
        <w:t>APPLICABILITY OF THE ORDER</w:t>
      </w:r>
      <w:bookmarkEnd w:id="999"/>
      <w:bookmarkEnd w:id="1000"/>
      <w:bookmarkEnd w:id="1001"/>
      <w:bookmarkEnd w:id="1002"/>
      <w:bookmarkEnd w:id="1003"/>
      <w:bookmarkEnd w:id="1004"/>
    </w:p>
    <w:p w:rsidR="00DE37E0" w:rsidRPr="00B53423" w:rsidRDefault="00DE37E0" w:rsidP="0015232B">
      <w:pPr>
        <w:pStyle w:val="Heading3"/>
        <w:keepNext w:val="0"/>
        <w:numPr>
          <w:ilvl w:val="0"/>
          <w:numId w:val="0"/>
        </w:numPr>
        <w:ind w:left="576"/>
        <w:rPr>
          <w:b/>
        </w:rPr>
      </w:pPr>
      <w:bookmarkStart w:id="1005" w:name="_Toc357356183"/>
    </w:p>
    <w:p w:rsidR="002F0D15" w:rsidRPr="00B53423" w:rsidRDefault="00DA1856" w:rsidP="0015232B">
      <w:pPr>
        <w:pStyle w:val="Heading3"/>
        <w:keepNext w:val="0"/>
        <w:numPr>
          <w:ilvl w:val="0"/>
          <w:numId w:val="0"/>
        </w:numPr>
        <w:ind w:left="630"/>
      </w:pPr>
      <w:r w:rsidRPr="00B53423">
        <w:t xml:space="preserve">The Licensee, in accordance to Section 139 of the Uttar Pradesh Electricity Regulatory Commission (Conduct of Business) Regulations 2004, shall publish </w:t>
      </w:r>
      <w:r w:rsidRPr="00B53423">
        <w:rPr>
          <w:rFonts w:ascii="Calibri" w:hAnsi="Calibri" w:cs="Arial"/>
          <w:szCs w:val="26"/>
        </w:rPr>
        <w:t>the approved tariffs and regulatory surcharge within three days from the date of this Order</w:t>
      </w:r>
      <w:r w:rsidRPr="00B53423">
        <w:t xml:space="preserve">. The Licensee shall ensure that the same is published in at least two daily newspapers (one English and one Hindi) having wide circulation in the area of supply. </w:t>
      </w:r>
      <w:r w:rsidRPr="00B53423">
        <w:rPr>
          <w:rFonts w:ascii="Calibri" w:hAnsi="Calibri" w:cs="Arial"/>
          <w:szCs w:val="26"/>
        </w:rPr>
        <w:t xml:space="preserve">The tariffs so published shall become the notified tariffs </w:t>
      </w:r>
      <w:r w:rsidRPr="00B53423">
        <w:t xml:space="preserve">applicable in the area of supply </w:t>
      </w:r>
      <w:r w:rsidRPr="00B53423">
        <w:rPr>
          <w:rFonts w:ascii="Calibri" w:hAnsi="Calibri" w:cs="Arial"/>
          <w:szCs w:val="26"/>
        </w:rPr>
        <w:t>and shall come into force after seven days from the date of such publication of the tariffs, and unless amended or revoked, shall continue to be in force till issuance of the next Tariff Order</w:t>
      </w:r>
      <w:r w:rsidR="00BC60A3" w:rsidRPr="00B53423">
        <w:t>.</w:t>
      </w:r>
      <w:bookmarkEnd w:id="1005"/>
    </w:p>
    <w:p w:rsidR="002F0D15" w:rsidRPr="00B53423" w:rsidRDefault="002F0D15" w:rsidP="0015232B"/>
    <w:p w:rsidR="002F0D15" w:rsidRPr="00B53423" w:rsidRDefault="002F0D15" w:rsidP="0015232B"/>
    <w:p w:rsidR="002F0D15" w:rsidRPr="00B53423" w:rsidRDefault="002F0D15" w:rsidP="0015232B"/>
    <w:p w:rsidR="002F0D15" w:rsidRPr="00B53423" w:rsidRDefault="002F0D15" w:rsidP="0015232B"/>
    <w:p w:rsidR="002F0D15" w:rsidRPr="00B53423" w:rsidRDefault="002F0D15" w:rsidP="0015232B"/>
    <w:tbl>
      <w:tblPr>
        <w:tblStyle w:val="TableGrid"/>
        <w:tblW w:w="0" w:type="auto"/>
        <w:jc w:val="center"/>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43"/>
        <w:gridCol w:w="2894"/>
        <w:gridCol w:w="2860"/>
      </w:tblGrid>
      <w:tr w:rsidR="002F0D15" w:rsidRPr="00B53423" w:rsidTr="005D7AFD">
        <w:trPr>
          <w:jc w:val="center"/>
        </w:trPr>
        <w:tc>
          <w:tcPr>
            <w:tcW w:w="3192" w:type="dxa"/>
            <w:vAlign w:val="center"/>
          </w:tcPr>
          <w:p w:rsidR="002F0D15" w:rsidRPr="00B53423" w:rsidRDefault="002F0D15" w:rsidP="0015232B">
            <w:pPr>
              <w:jc w:val="center"/>
              <w:rPr>
                <w:rFonts w:asciiTheme="minorHAnsi" w:hAnsiTheme="minorHAnsi"/>
                <w:b/>
              </w:rPr>
            </w:pPr>
            <w:r w:rsidRPr="00B53423">
              <w:rPr>
                <w:rFonts w:asciiTheme="minorHAnsi" w:hAnsiTheme="minorHAnsi" w:cstheme="minorHAnsi"/>
                <w:b/>
              </w:rPr>
              <w:t>(I. B. Pandey)</w:t>
            </w:r>
          </w:p>
        </w:tc>
        <w:tc>
          <w:tcPr>
            <w:tcW w:w="3192" w:type="dxa"/>
            <w:vAlign w:val="center"/>
          </w:tcPr>
          <w:p w:rsidR="002F0D15" w:rsidRPr="00B53423" w:rsidRDefault="002F0D15" w:rsidP="0015232B">
            <w:pPr>
              <w:jc w:val="center"/>
              <w:rPr>
                <w:rFonts w:asciiTheme="minorHAnsi" w:hAnsiTheme="minorHAnsi"/>
                <w:b/>
              </w:rPr>
            </w:pPr>
            <w:r w:rsidRPr="00B53423">
              <w:rPr>
                <w:rFonts w:asciiTheme="minorHAnsi" w:hAnsiTheme="minorHAnsi" w:cstheme="minorHAnsi"/>
                <w:b/>
              </w:rPr>
              <w:t>(Meenakshi Singh)</w:t>
            </w:r>
          </w:p>
        </w:tc>
        <w:tc>
          <w:tcPr>
            <w:tcW w:w="3192" w:type="dxa"/>
            <w:vAlign w:val="center"/>
          </w:tcPr>
          <w:p w:rsidR="002F0D15" w:rsidRPr="00B53423" w:rsidRDefault="002F0D15" w:rsidP="0015232B">
            <w:pPr>
              <w:jc w:val="center"/>
              <w:rPr>
                <w:rFonts w:asciiTheme="minorHAnsi" w:hAnsiTheme="minorHAnsi"/>
                <w:b/>
              </w:rPr>
            </w:pPr>
            <w:r w:rsidRPr="00B53423">
              <w:rPr>
                <w:rFonts w:asciiTheme="minorHAnsi" w:hAnsiTheme="minorHAnsi" w:cstheme="minorHAnsi"/>
                <w:b/>
              </w:rPr>
              <w:t>(Desh Deepak Verma)</w:t>
            </w:r>
          </w:p>
        </w:tc>
      </w:tr>
      <w:tr w:rsidR="002F0D15" w:rsidRPr="00B53423" w:rsidTr="005D7AFD">
        <w:trPr>
          <w:jc w:val="center"/>
        </w:trPr>
        <w:tc>
          <w:tcPr>
            <w:tcW w:w="3192" w:type="dxa"/>
            <w:vAlign w:val="center"/>
          </w:tcPr>
          <w:p w:rsidR="002F0D15" w:rsidRPr="00B53423" w:rsidRDefault="002F0D15" w:rsidP="0015232B">
            <w:pPr>
              <w:jc w:val="center"/>
              <w:rPr>
                <w:rFonts w:asciiTheme="minorHAnsi" w:hAnsiTheme="minorHAnsi"/>
                <w:b/>
              </w:rPr>
            </w:pPr>
            <w:r w:rsidRPr="00B53423">
              <w:rPr>
                <w:rFonts w:asciiTheme="minorHAnsi" w:hAnsiTheme="minorHAnsi" w:cstheme="minorHAnsi"/>
                <w:b/>
              </w:rPr>
              <w:t>Member</w:t>
            </w:r>
          </w:p>
        </w:tc>
        <w:tc>
          <w:tcPr>
            <w:tcW w:w="3192" w:type="dxa"/>
            <w:vAlign w:val="center"/>
          </w:tcPr>
          <w:p w:rsidR="002F0D15" w:rsidRPr="00B53423" w:rsidRDefault="002F0D15" w:rsidP="0015232B">
            <w:pPr>
              <w:jc w:val="center"/>
              <w:rPr>
                <w:rFonts w:asciiTheme="minorHAnsi" w:hAnsiTheme="minorHAnsi"/>
                <w:b/>
              </w:rPr>
            </w:pPr>
            <w:r w:rsidRPr="00B53423">
              <w:rPr>
                <w:rFonts w:asciiTheme="minorHAnsi" w:hAnsiTheme="minorHAnsi" w:cstheme="minorHAnsi"/>
                <w:b/>
              </w:rPr>
              <w:t>Member</w:t>
            </w:r>
          </w:p>
        </w:tc>
        <w:tc>
          <w:tcPr>
            <w:tcW w:w="3192" w:type="dxa"/>
            <w:vAlign w:val="center"/>
          </w:tcPr>
          <w:p w:rsidR="002F0D15" w:rsidRPr="00B53423" w:rsidRDefault="002F0D15" w:rsidP="0015232B">
            <w:pPr>
              <w:jc w:val="center"/>
              <w:rPr>
                <w:rFonts w:asciiTheme="minorHAnsi" w:hAnsiTheme="minorHAnsi"/>
                <w:b/>
              </w:rPr>
            </w:pPr>
            <w:r w:rsidRPr="00B53423">
              <w:rPr>
                <w:rFonts w:asciiTheme="minorHAnsi" w:hAnsiTheme="minorHAnsi" w:cstheme="minorHAnsi"/>
                <w:b/>
              </w:rPr>
              <w:t>Chairman</w:t>
            </w:r>
          </w:p>
        </w:tc>
      </w:tr>
    </w:tbl>
    <w:p w:rsidR="002F0D15" w:rsidRPr="00B53423" w:rsidRDefault="002F0D15" w:rsidP="0015232B"/>
    <w:p w:rsidR="00DE37E0" w:rsidRPr="00B53423" w:rsidRDefault="00DE37E0" w:rsidP="0015232B">
      <w:pPr>
        <w:pStyle w:val="Heading3"/>
        <w:keepNext w:val="0"/>
        <w:numPr>
          <w:ilvl w:val="0"/>
          <w:numId w:val="0"/>
        </w:numPr>
        <w:tabs>
          <w:tab w:val="left" w:pos="720"/>
        </w:tabs>
        <w:ind w:left="576"/>
        <w:rPr>
          <w:b/>
        </w:rPr>
      </w:pPr>
    </w:p>
    <w:p w:rsidR="00DE37E0" w:rsidRPr="00B53423" w:rsidRDefault="00DE37E0" w:rsidP="0015232B"/>
    <w:p w:rsidR="00DE37E0" w:rsidRPr="00B53423" w:rsidRDefault="00DE37E0" w:rsidP="0015232B">
      <w:pPr>
        <w:spacing w:before="0"/>
        <w:jc w:val="center"/>
        <w:rPr>
          <w:rFonts w:asciiTheme="minorHAnsi" w:hAnsiTheme="minorHAnsi" w:cstheme="minorHAnsi"/>
          <w:sz w:val="28"/>
          <w:szCs w:val="28"/>
        </w:rPr>
      </w:pPr>
      <w:r w:rsidRPr="00B53423">
        <w:rPr>
          <w:rFonts w:asciiTheme="minorHAnsi" w:hAnsiTheme="minorHAnsi" w:cstheme="minorHAnsi"/>
          <w:b/>
          <w:sz w:val="28"/>
          <w:szCs w:val="28"/>
        </w:rPr>
        <w:tab/>
      </w:r>
      <w:r w:rsidRPr="00B53423">
        <w:rPr>
          <w:rFonts w:asciiTheme="minorHAnsi" w:hAnsiTheme="minorHAnsi" w:cstheme="minorHAnsi"/>
          <w:b/>
          <w:sz w:val="28"/>
          <w:szCs w:val="28"/>
        </w:rPr>
        <w:tab/>
      </w:r>
      <w:r w:rsidRPr="00B53423">
        <w:rPr>
          <w:rFonts w:asciiTheme="minorHAnsi" w:hAnsiTheme="minorHAnsi" w:cstheme="minorHAnsi"/>
          <w:b/>
          <w:sz w:val="28"/>
          <w:szCs w:val="28"/>
        </w:rPr>
        <w:tab/>
        <w:t xml:space="preserve">     </w:t>
      </w:r>
    </w:p>
    <w:p w:rsidR="00DE37E0" w:rsidRPr="00B53423" w:rsidRDefault="00DE37E0" w:rsidP="0015232B">
      <w:pPr>
        <w:rPr>
          <w:rFonts w:asciiTheme="minorHAnsi" w:hAnsiTheme="minorHAnsi" w:cstheme="minorHAnsi"/>
          <w:sz w:val="28"/>
          <w:szCs w:val="28"/>
        </w:rPr>
      </w:pPr>
    </w:p>
    <w:p w:rsidR="00DE37E0" w:rsidRPr="00B53423" w:rsidRDefault="0092760F" w:rsidP="0015232B">
      <w:r w:rsidRPr="00B53423">
        <w:t xml:space="preserve">Dated: </w:t>
      </w:r>
      <w:r w:rsidR="00E373E3">
        <w:t>1</w:t>
      </w:r>
      <w:r w:rsidR="00E373E3" w:rsidRPr="00E373E3">
        <w:rPr>
          <w:vertAlign w:val="superscript"/>
        </w:rPr>
        <w:t>st</w:t>
      </w:r>
      <w:r w:rsidR="00E373E3">
        <w:t xml:space="preserve"> October</w:t>
      </w:r>
      <w:r w:rsidRPr="00B53423">
        <w:t>, 2014</w:t>
      </w:r>
    </w:p>
    <w:p w:rsidR="00DE37E0" w:rsidRPr="00B53423" w:rsidRDefault="00DE37E0" w:rsidP="0015232B">
      <w:pPr>
        <w:spacing w:before="0" w:line="240" w:lineRule="auto"/>
        <w:jc w:val="left"/>
        <w:rPr>
          <w:rFonts w:asciiTheme="minorHAnsi" w:hAnsiTheme="minorHAnsi" w:cs="Arial"/>
          <w:b/>
          <w:bCs/>
        </w:rPr>
      </w:pPr>
      <w:r w:rsidRPr="00B53423">
        <w:t>Lucknow.</w:t>
      </w:r>
    </w:p>
    <w:p w:rsidR="00DE37E0" w:rsidRPr="00B53423" w:rsidRDefault="00DE37E0" w:rsidP="0015232B">
      <w:pPr>
        <w:spacing w:before="0" w:line="240" w:lineRule="auto"/>
        <w:jc w:val="left"/>
        <w:rPr>
          <w:rFonts w:asciiTheme="minorHAnsi" w:hAnsiTheme="minorHAnsi" w:cs="Arial"/>
          <w:b/>
          <w:bCs/>
        </w:rPr>
      </w:pPr>
      <w:r w:rsidRPr="00B53423">
        <w:rPr>
          <w:rFonts w:asciiTheme="minorHAnsi" w:hAnsiTheme="minorHAnsi"/>
          <w:b/>
        </w:rPr>
        <w:br w:type="page"/>
      </w:r>
    </w:p>
    <w:p w:rsidR="00DE37E0" w:rsidRPr="00B53423" w:rsidRDefault="00DE37E0" w:rsidP="0015232B">
      <w:pPr>
        <w:pStyle w:val="Heading1"/>
        <w:keepNext w:val="0"/>
        <w:numPr>
          <w:ilvl w:val="0"/>
          <w:numId w:val="1"/>
        </w:numPr>
        <w:ind w:left="720" w:hanging="1080"/>
        <w:rPr>
          <w:color w:val="auto"/>
        </w:rPr>
      </w:pPr>
      <w:bookmarkStart w:id="1006" w:name="_Toc357733354"/>
      <w:bookmarkStart w:id="1007" w:name="_Toc399626256"/>
      <w:r w:rsidRPr="00B53423">
        <w:rPr>
          <w:color w:val="auto"/>
        </w:rPr>
        <w:t>ANNEXURE</w:t>
      </w:r>
      <w:bookmarkEnd w:id="1006"/>
      <w:bookmarkEnd w:id="1007"/>
    </w:p>
    <w:p w:rsidR="00DE37E0" w:rsidRPr="00B53423" w:rsidRDefault="00DE37E0" w:rsidP="0015232B">
      <w:pPr>
        <w:pStyle w:val="Heading2"/>
        <w:keepNext w:val="0"/>
        <w:ind w:left="810" w:hanging="1170"/>
      </w:pPr>
      <w:bookmarkStart w:id="1008" w:name="_Toc357733355"/>
      <w:bookmarkStart w:id="1009" w:name="_Ref397182921"/>
      <w:bookmarkStart w:id="1010" w:name="_Toc399626257"/>
      <w:r w:rsidRPr="00B53423">
        <w:t>COMMISSION FORECAST OF CONSUMPTION PARAMETERS FOR FY 201</w:t>
      </w:r>
      <w:bookmarkEnd w:id="1008"/>
      <w:r w:rsidR="000536DE" w:rsidRPr="00B53423">
        <w:t>4-15</w:t>
      </w:r>
      <w:bookmarkEnd w:id="1009"/>
      <w:bookmarkEnd w:id="1010"/>
    </w:p>
    <w:p w:rsidR="00DE37E0" w:rsidRPr="00B53423" w:rsidRDefault="00DE37E0" w:rsidP="0015232B">
      <w:pPr>
        <w:spacing w:before="0" w:line="240" w:lineRule="auto"/>
        <w:jc w:val="left"/>
        <w:rPr>
          <w:rFonts w:asciiTheme="minorHAnsi" w:hAnsiTheme="minorHAnsi" w:cs="Arial"/>
          <w:b/>
          <w:bCs/>
        </w:rPr>
      </w:pPr>
    </w:p>
    <w:p w:rsidR="00DE37E0" w:rsidRPr="00B53423" w:rsidRDefault="00DE37E0" w:rsidP="0015232B">
      <w:pPr>
        <w:spacing w:before="0" w:line="240" w:lineRule="auto"/>
        <w:jc w:val="left"/>
        <w:rPr>
          <w:rFonts w:asciiTheme="minorHAnsi" w:hAnsiTheme="minorHAnsi" w:cs="Arial"/>
          <w:b/>
          <w:bCs/>
        </w:rPr>
      </w:pPr>
      <w:r w:rsidRPr="00B53423">
        <w:rPr>
          <w:rFonts w:asciiTheme="minorHAnsi" w:hAnsiTheme="minorHAnsi"/>
          <w:b/>
        </w:rPr>
        <w:br w:type="page"/>
      </w:r>
    </w:p>
    <w:p w:rsidR="00DE37E0" w:rsidRPr="00B53423" w:rsidRDefault="00DE37E0" w:rsidP="0015232B">
      <w:pPr>
        <w:pStyle w:val="Caption"/>
        <w:jc w:val="center"/>
        <w:sectPr w:rsidR="00DE37E0" w:rsidRPr="00B53423" w:rsidSect="00A71B2A">
          <w:headerReference w:type="default" r:id="rId26"/>
          <w:footerReference w:type="default" r:id="rId27"/>
          <w:pgSz w:w="11909" w:h="16834" w:code="9"/>
          <w:pgMar w:top="990" w:right="1440" w:bottom="1440" w:left="1728" w:header="1008" w:footer="1008" w:gutter="0"/>
          <w:cols w:space="720"/>
          <w:docGrid w:linePitch="326"/>
        </w:sectPr>
      </w:pPr>
    </w:p>
    <w:p w:rsidR="00DE37E0" w:rsidRPr="00B53423" w:rsidRDefault="001F17BF" w:rsidP="0015232B">
      <w:pPr>
        <w:pStyle w:val="Heading3"/>
        <w:keepNext w:val="0"/>
        <w:numPr>
          <w:ilvl w:val="0"/>
          <w:numId w:val="0"/>
        </w:numPr>
        <w:ind w:left="936"/>
        <w:jc w:val="center"/>
      </w:pPr>
      <w:bookmarkStart w:id="1011" w:name="_Toc357738757"/>
      <w:bookmarkStart w:id="1012" w:name="_Toc399626447"/>
      <w:r w:rsidRPr="00B53423">
        <w:rPr>
          <w:b/>
        </w:rPr>
        <w:t xml:space="preserve">TABLE </w:t>
      </w:r>
      <w:r w:rsidR="005D68E7" w:rsidRPr="00B53423">
        <w:rPr>
          <w:b/>
        </w:rPr>
        <w:fldChar w:fldCharType="begin"/>
      </w:r>
      <w:r w:rsidRPr="00B53423">
        <w:rPr>
          <w:b/>
        </w:rPr>
        <w:instrText xml:space="preserve"> STYLEREF 1 \s </w:instrText>
      </w:r>
      <w:r w:rsidR="005D68E7" w:rsidRPr="00B53423">
        <w:rPr>
          <w:b/>
        </w:rPr>
        <w:fldChar w:fldCharType="separate"/>
      </w:r>
      <w:r w:rsidR="00847C1B">
        <w:rPr>
          <w:b/>
          <w:noProof/>
        </w:rPr>
        <w:t>15</w:t>
      </w:r>
      <w:r w:rsidR="005D68E7" w:rsidRPr="00B53423">
        <w:rPr>
          <w:b/>
        </w:rPr>
        <w:fldChar w:fldCharType="end"/>
      </w:r>
      <w:r w:rsidRPr="00B53423">
        <w:rPr>
          <w:b/>
        </w:rPr>
        <w:noBreakHyphen/>
      </w:r>
      <w:r w:rsidR="005D68E7" w:rsidRPr="00B53423">
        <w:rPr>
          <w:b/>
        </w:rPr>
        <w:fldChar w:fldCharType="begin"/>
      </w:r>
      <w:r w:rsidRPr="00B53423">
        <w:rPr>
          <w:b/>
        </w:rPr>
        <w:instrText xml:space="preserve"> SEQ Table \* ARABIC \s 1 </w:instrText>
      </w:r>
      <w:r w:rsidR="005D68E7" w:rsidRPr="00B53423">
        <w:rPr>
          <w:b/>
        </w:rPr>
        <w:fldChar w:fldCharType="separate"/>
      </w:r>
      <w:r w:rsidR="00847C1B">
        <w:rPr>
          <w:b/>
          <w:noProof/>
        </w:rPr>
        <w:t>1</w:t>
      </w:r>
      <w:r w:rsidR="005D68E7" w:rsidRPr="00B53423">
        <w:rPr>
          <w:b/>
        </w:rPr>
        <w:fldChar w:fldCharType="end"/>
      </w:r>
      <w:r w:rsidRPr="00B53423">
        <w:rPr>
          <w:b/>
        </w:rPr>
        <w:t>: COMMISSION’S A</w:t>
      </w:r>
      <w:r w:rsidR="00DE37E0" w:rsidRPr="00B53423">
        <w:rPr>
          <w:b/>
        </w:rPr>
        <w:t>PPROVAL OF NUMBER OF CONSUMERS FOR FY 20</w:t>
      </w:r>
      <w:bookmarkEnd w:id="1011"/>
      <w:r w:rsidR="002F0D15" w:rsidRPr="00B53423">
        <w:rPr>
          <w:b/>
        </w:rPr>
        <w:t>14-15</w:t>
      </w:r>
      <w:bookmarkEnd w:id="1012"/>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193"/>
        <w:gridCol w:w="1492"/>
        <w:gridCol w:w="1489"/>
        <w:gridCol w:w="1489"/>
        <w:gridCol w:w="1491"/>
        <w:gridCol w:w="1488"/>
        <w:gridCol w:w="1488"/>
        <w:gridCol w:w="1488"/>
      </w:tblGrid>
      <w:tr w:rsidR="004B5AB4" w:rsidRPr="00B53423" w:rsidTr="004B5AB4">
        <w:trPr>
          <w:trHeight w:val="596"/>
          <w:tblHeader/>
        </w:trPr>
        <w:tc>
          <w:tcPr>
            <w:tcW w:w="1434" w:type="pct"/>
            <w:shd w:val="clear" w:color="000000" w:fill="DCE6F1"/>
            <w:noWrap/>
            <w:vAlign w:val="center"/>
            <w:hideMark/>
          </w:tcPr>
          <w:p w:rsidR="004B5AB4" w:rsidRPr="00B53423" w:rsidRDefault="004B5AB4"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Consumer categories</w:t>
            </w:r>
          </w:p>
        </w:tc>
        <w:tc>
          <w:tcPr>
            <w:tcW w:w="510" w:type="pct"/>
            <w:shd w:val="clear" w:color="000000" w:fill="DCE6F1"/>
            <w:vAlign w:val="center"/>
            <w:hideMark/>
          </w:tcPr>
          <w:p w:rsidR="004B5AB4" w:rsidRPr="00B53423" w:rsidRDefault="004B5AB4"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FY 10-11</w:t>
            </w:r>
          </w:p>
        </w:tc>
        <w:tc>
          <w:tcPr>
            <w:tcW w:w="509" w:type="pct"/>
            <w:shd w:val="clear" w:color="000000" w:fill="DCE6F1"/>
            <w:vAlign w:val="center"/>
            <w:hideMark/>
          </w:tcPr>
          <w:p w:rsidR="004B5AB4" w:rsidRPr="00B53423" w:rsidRDefault="004B5AB4"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FY 11-12</w:t>
            </w:r>
          </w:p>
        </w:tc>
        <w:tc>
          <w:tcPr>
            <w:tcW w:w="509" w:type="pct"/>
            <w:shd w:val="clear" w:color="000000" w:fill="DCE6F1"/>
            <w:vAlign w:val="center"/>
            <w:hideMark/>
          </w:tcPr>
          <w:p w:rsidR="004B5AB4" w:rsidRPr="00B53423" w:rsidRDefault="004B5AB4"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FY 12-13</w:t>
            </w:r>
          </w:p>
        </w:tc>
        <w:tc>
          <w:tcPr>
            <w:tcW w:w="510" w:type="pct"/>
            <w:shd w:val="clear" w:color="000000" w:fill="DCE6F1"/>
            <w:vAlign w:val="center"/>
            <w:hideMark/>
          </w:tcPr>
          <w:p w:rsidR="004B5AB4" w:rsidRPr="00B53423" w:rsidRDefault="00EB6CB1"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3</w:t>
            </w:r>
            <w:r w:rsidR="004B5AB4" w:rsidRPr="00B53423">
              <w:rPr>
                <w:rFonts w:asciiTheme="minorHAnsi" w:hAnsiTheme="minorHAnsi" w:cstheme="minorHAnsi"/>
                <w:b/>
                <w:lang w:eastAsia="en-IN"/>
              </w:rPr>
              <w:t>-yr CAGR</w:t>
            </w:r>
          </w:p>
        </w:tc>
        <w:tc>
          <w:tcPr>
            <w:tcW w:w="509" w:type="pct"/>
            <w:shd w:val="clear" w:color="000000" w:fill="DCE6F1"/>
            <w:vAlign w:val="center"/>
            <w:hideMark/>
          </w:tcPr>
          <w:p w:rsidR="004B5AB4" w:rsidRPr="00B53423" w:rsidRDefault="004B5AB4"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Adopted growth rate</w:t>
            </w:r>
          </w:p>
        </w:tc>
        <w:tc>
          <w:tcPr>
            <w:tcW w:w="509" w:type="pct"/>
            <w:shd w:val="clear" w:color="000000" w:fill="DCE6F1"/>
            <w:vAlign w:val="center"/>
            <w:hideMark/>
          </w:tcPr>
          <w:p w:rsidR="004B5AB4" w:rsidRPr="00B53423" w:rsidRDefault="002B3D6B"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 xml:space="preserve">Revised Computation </w:t>
            </w:r>
            <w:r w:rsidR="004B5AB4" w:rsidRPr="00B53423">
              <w:rPr>
                <w:rFonts w:asciiTheme="minorHAnsi" w:hAnsiTheme="minorHAnsi" w:cstheme="minorHAnsi"/>
                <w:b/>
                <w:lang w:eastAsia="en-IN"/>
              </w:rPr>
              <w:t>for FY 13-14</w:t>
            </w:r>
          </w:p>
        </w:tc>
        <w:tc>
          <w:tcPr>
            <w:tcW w:w="509" w:type="pct"/>
            <w:shd w:val="clear" w:color="000000" w:fill="DCE6F1"/>
          </w:tcPr>
          <w:p w:rsidR="004B5AB4" w:rsidRPr="00B53423" w:rsidRDefault="004B5AB4"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 xml:space="preserve">Approved for </w:t>
            </w:r>
            <w:r w:rsidR="002B3D6B" w:rsidRPr="00B53423">
              <w:rPr>
                <w:rFonts w:asciiTheme="minorHAnsi" w:hAnsiTheme="minorHAnsi" w:cstheme="minorHAnsi"/>
                <w:b/>
                <w:lang w:eastAsia="en-IN"/>
              </w:rPr>
              <w:t xml:space="preserve">FY </w:t>
            </w:r>
            <w:r w:rsidRPr="00B53423">
              <w:rPr>
                <w:rFonts w:asciiTheme="minorHAnsi" w:hAnsiTheme="minorHAnsi" w:cstheme="minorHAnsi"/>
                <w:b/>
                <w:lang w:eastAsia="en-IN"/>
              </w:rPr>
              <w:t>14-15</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LMV-1: Domestic</w:t>
            </w:r>
          </w:p>
        </w:tc>
        <w:tc>
          <w:tcPr>
            <w:tcW w:w="510" w:type="pct"/>
            <w:shd w:val="clear" w:color="auto" w:fill="auto"/>
            <w:noWrap/>
            <w:vAlign w:val="bottom"/>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09" w:type="pct"/>
            <w:shd w:val="clear" w:color="auto" w:fill="auto"/>
            <w:noWrap/>
            <w:vAlign w:val="bottom"/>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09" w:type="pct"/>
            <w:shd w:val="clear" w:color="auto" w:fill="auto"/>
            <w:noWrap/>
            <w:vAlign w:val="bottom"/>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10" w:type="pct"/>
            <w:shd w:val="clear" w:color="auto" w:fill="auto"/>
            <w:noWrap/>
            <w:vAlign w:val="bottom"/>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09" w:type="pct"/>
            <w:shd w:val="clear" w:color="auto" w:fill="auto"/>
            <w:noWrap/>
            <w:vAlign w:val="bottom"/>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09" w:type="pct"/>
            <w:shd w:val="clear" w:color="auto" w:fill="auto"/>
            <w:noWrap/>
            <w:vAlign w:val="bottom"/>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09" w:type="pct"/>
          </w:tcPr>
          <w:p w:rsidR="004B5AB4" w:rsidRPr="00B53423" w:rsidRDefault="004B5AB4" w:rsidP="0015232B">
            <w:pPr>
              <w:pStyle w:val="NoSpacing"/>
              <w:rPr>
                <w:rFonts w:asciiTheme="minorHAnsi" w:hAnsiTheme="minorHAnsi" w:cstheme="minorHAnsi"/>
                <w:lang w:eastAsia="en-IN"/>
              </w:rPr>
            </w:pPr>
          </w:p>
        </w:tc>
      </w:tr>
      <w:tr w:rsidR="00EF570F" w:rsidRPr="00B53423" w:rsidTr="00782F7D">
        <w:trPr>
          <w:trHeight w:val="300"/>
        </w:trPr>
        <w:tc>
          <w:tcPr>
            <w:tcW w:w="1434" w:type="pct"/>
            <w:shd w:val="clear" w:color="auto" w:fill="auto"/>
            <w:noWrap/>
            <w:hideMark/>
          </w:tcPr>
          <w:p w:rsidR="00EF570F" w:rsidRPr="00B53423" w:rsidRDefault="00EF570F"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(unmetered)</w:t>
            </w:r>
          </w:p>
        </w:tc>
        <w:tc>
          <w:tcPr>
            <w:tcW w:w="510"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r>
      <w:tr w:rsidR="00EF570F" w:rsidRPr="00B53423" w:rsidTr="00782F7D">
        <w:trPr>
          <w:trHeight w:val="300"/>
        </w:trPr>
        <w:tc>
          <w:tcPr>
            <w:tcW w:w="1434" w:type="pct"/>
            <w:shd w:val="clear" w:color="auto" w:fill="auto"/>
            <w:noWrap/>
            <w:hideMark/>
          </w:tcPr>
          <w:p w:rsidR="00EF570F" w:rsidRPr="00B53423" w:rsidRDefault="00EF570F"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(metered)</w:t>
            </w:r>
          </w:p>
        </w:tc>
        <w:tc>
          <w:tcPr>
            <w:tcW w:w="510"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r>
      <w:tr w:rsidR="00EF570F" w:rsidRPr="00B53423" w:rsidTr="00782F7D">
        <w:trPr>
          <w:trHeight w:val="300"/>
        </w:trPr>
        <w:tc>
          <w:tcPr>
            <w:tcW w:w="1434" w:type="pct"/>
            <w:shd w:val="clear" w:color="auto" w:fill="auto"/>
            <w:noWrap/>
            <w:hideMark/>
          </w:tcPr>
          <w:p w:rsidR="00EF570F" w:rsidRPr="00B53423" w:rsidRDefault="00EF570F"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Bulk Load</w:t>
            </w:r>
          </w:p>
        </w:tc>
        <w:tc>
          <w:tcPr>
            <w:tcW w:w="510"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26</w:t>
            </w:r>
          </w:p>
        </w:tc>
        <w:tc>
          <w:tcPr>
            <w:tcW w:w="510"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26</w:t>
            </w:r>
          </w:p>
        </w:tc>
        <w:tc>
          <w:tcPr>
            <w:tcW w:w="509" w:type="pct"/>
            <w:vAlign w:val="center"/>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26</w:t>
            </w:r>
          </w:p>
        </w:tc>
      </w:tr>
      <w:tr w:rsidR="00EF570F" w:rsidRPr="00B53423" w:rsidTr="00782F7D">
        <w:trPr>
          <w:trHeight w:val="300"/>
        </w:trPr>
        <w:tc>
          <w:tcPr>
            <w:tcW w:w="1434" w:type="pct"/>
            <w:shd w:val="clear" w:color="auto" w:fill="auto"/>
            <w:noWrap/>
            <w:hideMark/>
          </w:tcPr>
          <w:p w:rsidR="00EF570F" w:rsidRPr="00B53423" w:rsidRDefault="00EF570F"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Other Metered</w:t>
            </w:r>
          </w:p>
        </w:tc>
        <w:tc>
          <w:tcPr>
            <w:tcW w:w="510"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439646</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416775</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461504</w:t>
            </w:r>
          </w:p>
        </w:tc>
        <w:tc>
          <w:tcPr>
            <w:tcW w:w="510"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2%</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3%</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475349</w:t>
            </w:r>
          </w:p>
        </w:tc>
        <w:tc>
          <w:tcPr>
            <w:tcW w:w="509" w:type="pct"/>
            <w:vAlign w:val="center"/>
          </w:tcPr>
          <w:p w:rsidR="00EF570F" w:rsidRPr="00B53423" w:rsidRDefault="00EF570F" w:rsidP="0015232B">
            <w:pPr>
              <w:pStyle w:val="NoSpacing"/>
              <w:jc w:val="right"/>
              <w:rPr>
                <w:rFonts w:asciiTheme="minorHAnsi" w:hAnsiTheme="minorHAnsi" w:cstheme="minorHAnsi"/>
              </w:rPr>
            </w:pPr>
            <w:r w:rsidRPr="00B53423">
              <w:rPr>
                <w:rFonts w:asciiTheme="minorHAnsi" w:hAnsiTheme="minorHAnsi" w:cstheme="minorHAnsi"/>
              </w:rPr>
              <w:t>489609</w:t>
            </w:r>
          </w:p>
        </w:tc>
      </w:tr>
      <w:tr w:rsidR="000431ED" w:rsidRPr="00B53423" w:rsidTr="000B107C">
        <w:trPr>
          <w:trHeight w:val="300"/>
        </w:trPr>
        <w:tc>
          <w:tcPr>
            <w:tcW w:w="1434" w:type="pct"/>
            <w:shd w:val="clear" w:color="auto" w:fill="auto"/>
            <w:noWrap/>
            <w:hideMark/>
          </w:tcPr>
          <w:p w:rsidR="000431ED" w:rsidRPr="00B53423" w:rsidRDefault="000431ED"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BPL</w:t>
            </w:r>
          </w:p>
        </w:tc>
        <w:tc>
          <w:tcPr>
            <w:tcW w:w="510" w:type="pct"/>
            <w:shd w:val="clear" w:color="auto" w:fill="auto"/>
            <w:noWrap/>
            <w:vAlign w:val="center"/>
            <w:hideMark/>
          </w:tcPr>
          <w:p w:rsidR="000431ED" w:rsidRPr="00B53423" w:rsidRDefault="000431ED"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0431ED" w:rsidRPr="00B53423" w:rsidRDefault="000431ED" w:rsidP="0015232B">
            <w:pPr>
              <w:pStyle w:val="NoSpacing"/>
              <w:jc w:val="right"/>
              <w:rPr>
                <w:rFonts w:asciiTheme="minorHAnsi" w:hAnsiTheme="minorHAnsi" w:cstheme="minorHAnsi"/>
              </w:rPr>
            </w:pPr>
            <w:r w:rsidRPr="00B53423">
              <w:rPr>
                <w:rFonts w:asciiTheme="minorHAnsi" w:hAnsiTheme="minorHAnsi" w:cstheme="minorHAnsi"/>
              </w:rPr>
              <w:t>45030</w:t>
            </w:r>
          </w:p>
        </w:tc>
        <w:tc>
          <w:tcPr>
            <w:tcW w:w="509" w:type="pct"/>
            <w:shd w:val="clear" w:color="auto" w:fill="auto"/>
            <w:noWrap/>
            <w:vAlign w:val="center"/>
            <w:hideMark/>
          </w:tcPr>
          <w:p w:rsidR="000431ED" w:rsidRPr="00B53423" w:rsidRDefault="000431ED" w:rsidP="0015232B">
            <w:pPr>
              <w:pStyle w:val="NoSpacing"/>
              <w:jc w:val="right"/>
              <w:rPr>
                <w:rFonts w:asciiTheme="minorHAnsi" w:hAnsiTheme="minorHAnsi" w:cstheme="minorHAnsi"/>
              </w:rPr>
            </w:pPr>
            <w:r w:rsidRPr="00B53423">
              <w:rPr>
                <w:rFonts w:asciiTheme="minorHAnsi" w:hAnsiTheme="minorHAnsi" w:cstheme="minorHAnsi"/>
              </w:rPr>
              <w:t>53834</w:t>
            </w:r>
          </w:p>
        </w:tc>
        <w:tc>
          <w:tcPr>
            <w:tcW w:w="510" w:type="pct"/>
            <w:shd w:val="clear" w:color="auto" w:fill="auto"/>
            <w:noWrap/>
            <w:vAlign w:val="bottom"/>
            <w:hideMark/>
          </w:tcPr>
          <w:p w:rsidR="000431ED" w:rsidRPr="00B53423" w:rsidRDefault="00EF570F" w:rsidP="0015232B">
            <w:pPr>
              <w:pStyle w:val="NoSpacing"/>
              <w:jc w:val="right"/>
              <w:rPr>
                <w:rFonts w:asciiTheme="minorHAnsi" w:hAnsiTheme="minorHAnsi" w:cstheme="minorHAnsi"/>
                <w:lang w:eastAsia="en-IN"/>
              </w:rPr>
            </w:pPr>
            <w:r w:rsidRPr="00B53423">
              <w:rPr>
                <w:rFonts w:asciiTheme="minorHAnsi" w:hAnsiTheme="minorHAnsi" w:cstheme="minorHAnsi"/>
              </w:rPr>
              <w:t>0%</w:t>
            </w:r>
          </w:p>
        </w:tc>
        <w:tc>
          <w:tcPr>
            <w:tcW w:w="509" w:type="pct"/>
            <w:shd w:val="clear" w:color="auto" w:fill="auto"/>
            <w:noWrap/>
            <w:vAlign w:val="bottom"/>
            <w:hideMark/>
          </w:tcPr>
          <w:p w:rsidR="000431ED" w:rsidRPr="00B53423" w:rsidRDefault="000431ED"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bottom"/>
            <w:hideMark/>
          </w:tcPr>
          <w:p w:rsidR="000431ED" w:rsidRPr="00B53423" w:rsidRDefault="000431ED" w:rsidP="0015232B">
            <w:pPr>
              <w:pStyle w:val="NoSpacing"/>
              <w:jc w:val="right"/>
              <w:rPr>
                <w:rFonts w:asciiTheme="minorHAnsi" w:hAnsiTheme="minorHAnsi" w:cstheme="minorHAnsi"/>
                <w:lang w:eastAsia="en-IN"/>
              </w:rPr>
            </w:pPr>
            <w:r w:rsidRPr="00B53423">
              <w:rPr>
                <w:rFonts w:asciiTheme="minorHAnsi" w:hAnsiTheme="minorHAnsi" w:cstheme="minorHAnsi"/>
              </w:rPr>
              <w:t>53834</w:t>
            </w:r>
          </w:p>
        </w:tc>
        <w:tc>
          <w:tcPr>
            <w:tcW w:w="509" w:type="pct"/>
          </w:tcPr>
          <w:p w:rsidR="000431ED" w:rsidRPr="00B53423" w:rsidRDefault="000431ED" w:rsidP="0015232B">
            <w:pPr>
              <w:pStyle w:val="NoSpacing"/>
              <w:jc w:val="right"/>
              <w:rPr>
                <w:rFonts w:asciiTheme="minorHAnsi" w:hAnsiTheme="minorHAnsi" w:cstheme="minorHAnsi"/>
              </w:rPr>
            </w:pPr>
            <w:r w:rsidRPr="00B53423">
              <w:rPr>
                <w:rFonts w:asciiTheme="minorHAnsi" w:hAnsiTheme="minorHAnsi" w:cstheme="minorHAnsi"/>
              </w:rPr>
              <w:t>53834</w:t>
            </w:r>
          </w:p>
        </w:tc>
      </w:tr>
      <w:tr w:rsidR="00EF570F" w:rsidRPr="00B53423" w:rsidTr="00782F7D">
        <w:trPr>
          <w:trHeight w:val="300"/>
        </w:trPr>
        <w:tc>
          <w:tcPr>
            <w:tcW w:w="1434" w:type="pct"/>
            <w:shd w:val="clear" w:color="auto" w:fill="auto"/>
            <w:noWrap/>
            <w:hideMark/>
          </w:tcPr>
          <w:p w:rsidR="00EF570F" w:rsidRPr="00B53423" w:rsidRDefault="00EF570F"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(LMV-1)</w:t>
            </w:r>
          </w:p>
        </w:tc>
        <w:tc>
          <w:tcPr>
            <w:tcW w:w="510" w:type="pct"/>
            <w:shd w:val="clear" w:color="auto" w:fill="auto"/>
            <w:noWrap/>
            <w:vAlign w:val="center"/>
            <w:hideMark/>
          </w:tcPr>
          <w:p w:rsidR="00EF570F" w:rsidRPr="00B53423" w:rsidRDefault="00EF570F" w:rsidP="0015232B">
            <w:pPr>
              <w:pStyle w:val="NoSpacing"/>
              <w:jc w:val="right"/>
              <w:rPr>
                <w:rFonts w:asciiTheme="minorHAnsi" w:hAnsiTheme="minorHAnsi" w:cstheme="minorHAnsi"/>
                <w:b/>
              </w:rPr>
            </w:pPr>
            <w:r w:rsidRPr="00B53423">
              <w:rPr>
                <w:rFonts w:asciiTheme="minorHAnsi" w:hAnsiTheme="minorHAnsi" w:cstheme="minorHAnsi"/>
                <w:b/>
              </w:rPr>
              <w:t>439646</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b/>
              </w:rPr>
            </w:pPr>
            <w:r w:rsidRPr="00B53423">
              <w:rPr>
                <w:rFonts w:asciiTheme="minorHAnsi" w:hAnsiTheme="minorHAnsi" w:cstheme="minorHAnsi"/>
                <w:b/>
              </w:rPr>
              <w:t>461805</w:t>
            </w:r>
          </w:p>
        </w:tc>
        <w:tc>
          <w:tcPr>
            <w:tcW w:w="509" w:type="pct"/>
            <w:shd w:val="clear" w:color="auto" w:fill="auto"/>
            <w:noWrap/>
            <w:vAlign w:val="center"/>
            <w:hideMark/>
          </w:tcPr>
          <w:p w:rsidR="00EF570F" w:rsidRPr="00B53423" w:rsidRDefault="00EF570F" w:rsidP="0015232B">
            <w:pPr>
              <w:pStyle w:val="NoSpacing"/>
              <w:jc w:val="right"/>
              <w:rPr>
                <w:rFonts w:asciiTheme="minorHAnsi" w:hAnsiTheme="minorHAnsi" w:cstheme="minorHAnsi"/>
                <w:b/>
              </w:rPr>
            </w:pPr>
            <w:r w:rsidRPr="00B53423">
              <w:rPr>
                <w:rFonts w:asciiTheme="minorHAnsi" w:hAnsiTheme="minorHAnsi" w:cstheme="minorHAnsi"/>
                <w:b/>
              </w:rPr>
              <w:t>515364</w:t>
            </w:r>
          </w:p>
        </w:tc>
        <w:tc>
          <w:tcPr>
            <w:tcW w:w="510" w:type="pct"/>
            <w:shd w:val="clear" w:color="auto" w:fill="auto"/>
            <w:noWrap/>
            <w:vAlign w:val="bottom"/>
            <w:hideMark/>
          </w:tcPr>
          <w:p w:rsidR="00EF570F" w:rsidRPr="00B53423" w:rsidRDefault="00EF570F" w:rsidP="0015232B">
            <w:pPr>
              <w:pStyle w:val="NoSpacing"/>
              <w:jc w:val="right"/>
              <w:rPr>
                <w:rFonts w:asciiTheme="minorHAnsi" w:hAnsiTheme="minorHAnsi" w:cstheme="minorHAnsi"/>
                <w:b/>
                <w:lang w:eastAsia="en-IN"/>
              </w:rPr>
            </w:pPr>
          </w:p>
        </w:tc>
        <w:tc>
          <w:tcPr>
            <w:tcW w:w="509" w:type="pct"/>
            <w:shd w:val="clear" w:color="auto" w:fill="auto"/>
            <w:noWrap/>
            <w:vAlign w:val="bottom"/>
            <w:hideMark/>
          </w:tcPr>
          <w:p w:rsidR="00EF570F" w:rsidRPr="00B53423" w:rsidRDefault="00EF570F" w:rsidP="0015232B">
            <w:pPr>
              <w:pStyle w:val="NoSpacing"/>
              <w:jc w:val="right"/>
              <w:rPr>
                <w:rFonts w:asciiTheme="minorHAnsi" w:hAnsiTheme="minorHAnsi" w:cstheme="minorHAnsi"/>
                <w:b/>
                <w:lang w:eastAsia="en-IN"/>
              </w:rPr>
            </w:pPr>
          </w:p>
        </w:tc>
        <w:tc>
          <w:tcPr>
            <w:tcW w:w="509" w:type="pct"/>
            <w:shd w:val="clear" w:color="auto" w:fill="auto"/>
            <w:noWrap/>
            <w:vAlign w:val="bottom"/>
            <w:hideMark/>
          </w:tcPr>
          <w:p w:rsidR="00EF570F" w:rsidRPr="00B53423" w:rsidRDefault="00EF570F" w:rsidP="0015232B">
            <w:pPr>
              <w:pStyle w:val="NoSpacing"/>
              <w:jc w:val="right"/>
              <w:rPr>
                <w:rFonts w:asciiTheme="minorHAnsi" w:hAnsiTheme="minorHAnsi" w:cstheme="minorHAnsi"/>
                <w:b/>
                <w:lang w:eastAsia="en-IN"/>
              </w:rPr>
            </w:pPr>
            <w:r w:rsidRPr="00B53423">
              <w:rPr>
                <w:rFonts w:asciiTheme="minorHAnsi" w:hAnsiTheme="minorHAnsi" w:cstheme="minorHAnsi"/>
                <w:b/>
              </w:rPr>
              <w:t>529209</w:t>
            </w:r>
          </w:p>
        </w:tc>
        <w:tc>
          <w:tcPr>
            <w:tcW w:w="509" w:type="pct"/>
          </w:tcPr>
          <w:p w:rsidR="00EF570F" w:rsidRPr="00B53423" w:rsidRDefault="00EF570F" w:rsidP="0015232B">
            <w:pPr>
              <w:pStyle w:val="NoSpacing"/>
              <w:jc w:val="right"/>
              <w:rPr>
                <w:rFonts w:asciiTheme="minorHAnsi" w:hAnsiTheme="minorHAnsi" w:cstheme="minorHAnsi"/>
                <w:b/>
                <w:lang w:eastAsia="en-IN"/>
              </w:rPr>
            </w:pPr>
            <w:r w:rsidRPr="00B53423">
              <w:rPr>
                <w:rFonts w:asciiTheme="minorHAnsi" w:hAnsiTheme="minorHAnsi" w:cstheme="minorHAnsi"/>
                <w:b/>
              </w:rPr>
              <w:t>543469</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LMV-2:Non-Domestic</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A7753" w:rsidRPr="00B53423" w:rsidTr="00782F7D">
        <w:trPr>
          <w:trHeight w:val="300"/>
        </w:trPr>
        <w:tc>
          <w:tcPr>
            <w:tcW w:w="1434" w:type="pct"/>
            <w:shd w:val="clear" w:color="auto" w:fill="auto"/>
            <w:noWrap/>
            <w:hideMark/>
          </w:tcPr>
          <w:p w:rsidR="005A7753" w:rsidRPr="00B53423" w:rsidRDefault="005A7753"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(unmetered)</w:t>
            </w:r>
          </w:p>
        </w:tc>
        <w:tc>
          <w:tcPr>
            <w:tcW w:w="510"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r>
      <w:tr w:rsidR="005A7753" w:rsidRPr="00B53423" w:rsidTr="00782F7D">
        <w:trPr>
          <w:trHeight w:val="300"/>
        </w:trPr>
        <w:tc>
          <w:tcPr>
            <w:tcW w:w="1434" w:type="pct"/>
            <w:shd w:val="clear" w:color="auto" w:fill="auto"/>
            <w:noWrap/>
            <w:hideMark/>
          </w:tcPr>
          <w:p w:rsidR="005A7753" w:rsidRPr="00B53423" w:rsidRDefault="005A7753"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(metered)</w:t>
            </w:r>
          </w:p>
        </w:tc>
        <w:tc>
          <w:tcPr>
            <w:tcW w:w="510"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0</w:t>
            </w:r>
          </w:p>
        </w:tc>
      </w:tr>
      <w:tr w:rsidR="005A7753" w:rsidRPr="00B53423" w:rsidTr="00782F7D">
        <w:trPr>
          <w:trHeight w:val="300"/>
        </w:trPr>
        <w:tc>
          <w:tcPr>
            <w:tcW w:w="1434" w:type="pct"/>
            <w:shd w:val="clear" w:color="auto" w:fill="auto"/>
            <w:noWrap/>
            <w:hideMark/>
          </w:tcPr>
          <w:p w:rsidR="005A7753" w:rsidRPr="00B53423" w:rsidRDefault="005A7753"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Advertising</w:t>
            </w:r>
          </w:p>
        </w:tc>
        <w:tc>
          <w:tcPr>
            <w:tcW w:w="510"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1558</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1763</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1795</w:t>
            </w:r>
          </w:p>
        </w:tc>
        <w:tc>
          <w:tcPr>
            <w:tcW w:w="510"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7%</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1%</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1813</w:t>
            </w:r>
          </w:p>
        </w:tc>
        <w:tc>
          <w:tcPr>
            <w:tcW w:w="509" w:type="pct"/>
            <w:vAlign w:val="center"/>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1831</w:t>
            </w:r>
          </w:p>
        </w:tc>
      </w:tr>
      <w:tr w:rsidR="005A7753" w:rsidRPr="00B53423" w:rsidTr="00782F7D">
        <w:trPr>
          <w:trHeight w:val="300"/>
        </w:trPr>
        <w:tc>
          <w:tcPr>
            <w:tcW w:w="1434" w:type="pct"/>
            <w:shd w:val="clear" w:color="auto" w:fill="auto"/>
            <w:noWrap/>
            <w:hideMark/>
          </w:tcPr>
          <w:p w:rsidR="005A7753" w:rsidRPr="00B53423" w:rsidRDefault="005A7753"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Other Metered</w:t>
            </w:r>
          </w:p>
        </w:tc>
        <w:tc>
          <w:tcPr>
            <w:tcW w:w="510"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89158</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92520</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96757</w:t>
            </w:r>
          </w:p>
        </w:tc>
        <w:tc>
          <w:tcPr>
            <w:tcW w:w="510"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4%</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4%</w:t>
            </w:r>
          </w:p>
        </w:tc>
        <w:tc>
          <w:tcPr>
            <w:tcW w:w="509" w:type="pct"/>
            <w:shd w:val="clear" w:color="auto" w:fill="auto"/>
            <w:noWrap/>
            <w:vAlign w:val="center"/>
            <w:hideMark/>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100796</w:t>
            </w:r>
          </w:p>
        </w:tc>
        <w:tc>
          <w:tcPr>
            <w:tcW w:w="509" w:type="pct"/>
            <w:vAlign w:val="center"/>
          </w:tcPr>
          <w:p w:rsidR="005A7753" w:rsidRPr="00B53423" w:rsidRDefault="005A7753" w:rsidP="0015232B">
            <w:pPr>
              <w:pStyle w:val="NoSpacing"/>
              <w:jc w:val="right"/>
              <w:rPr>
                <w:rFonts w:asciiTheme="minorHAnsi" w:hAnsiTheme="minorHAnsi" w:cstheme="minorHAnsi"/>
              </w:rPr>
            </w:pPr>
            <w:r w:rsidRPr="00B53423">
              <w:rPr>
                <w:rFonts w:asciiTheme="minorHAnsi" w:hAnsiTheme="minorHAnsi" w:cstheme="minorHAnsi"/>
              </w:rPr>
              <w:t>105004</w:t>
            </w:r>
          </w:p>
        </w:tc>
      </w:tr>
      <w:tr w:rsidR="000431ED" w:rsidRPr="00B53423" w:rsidTr="000B107C">
        <w:trPr>
          <w:trHeight w:val="300"/>
        </w:trPr>
        <w:tc>
          <w:tcPr>
            <w:tcW w:w="1434" w:type="pct"/>
            <w:shd w:val="clear" w:color="auto" w:fill="auto"/>
            <w:noWrap/>
            <w:hideMark/>
          </w:tcPr>
          <w:p w:rsidR="000431ED" w:rsidRPr="00B53423" w:rsidRDefault="000431ED"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(LMV-2)</w:t>
            </w:r>
          </w:p>
        </w:tc>
        <w:tc>
          <w:tcPr>
            <w:tcW w:w="510" w:type="pct"/>
            <w:shd w:val="clear" w:color="auto" w:fill="auto"/>
            <w:noWrap/>
            <w:vAlign w:val="center"/>
            <w:hideMark/>
          </w:tcPr>
          <w:p w:rsidR="000431ED" w:rsidRPr="00B53423" w:rsidRDefault="000431ED" w:rsidP="0015232B">
            <w:pPr>
              <w:pStyle w:val="NoSpacing"/>
              <w:jc w:val="right"/>
              <w:rPr>
                <w:rFonts w:asciiTheme="minorHAnsi" w:hAnsiTheme="minorHAnsi" w:cstheme="minorHAnsi"/>
                <w:b/>
              </w:rPr>
            </w:pPr>
            <w:r w:rsidRPr="00B53423">
              <w:rPr>
                <w:rFonts w:asciiTheme="minorHAnsi" w:hAnsiTheme="minorHAnsi" w:cstheme="minorHAnsi"/>
                <w:b/>
              </w:rPr>
              <w:t>90716</w:t>
            </w:r>
          </w:p>
        </w:tc>
        <w:tc>
          <w:tcPr>
            <w:tcW w:w="509" w:type="pct"/>
            <w:shd w:val="clear" w:color="auto" w:fill="auto"/>
            <w:noWrap/>
            <w:vAlign w:val="center"/>
            <w:hideMark/>
          </w:tcPr>
          <w:p w:rsidR="000431ED" w:rsidRPr="00B53423" w:rsidRDefault="000431ED" w:rsidP="0015232B">
            <w:pPr>
              <w:pStyle w:val="NoSpacing"/>
              <w:jc w:val="right"/>
              <w:rPr>
                <w:rFonts w:asciiTheme="minorHAnsi" w:hAnsiTheme="minorHAnsi" w:cstheme="minorHAnsi"/>
                <w:b/>
              </w:rPr>
            </w:pPr>
            <w:r w:rsidRPr="00B53423">
              <w:rPr>
                <w:rFonts w:asciiTheme="minorHAnsi" w:hAnsiTheme="minorHAnsi" w:cstheme="minorHAnsi"/>
                <w:b/>
              </w:rPr>
              <w:t>94283</w:t>
            </w:r>
          </w:p>
        </w:tc>
        <w:tc>
          <w:tcPr>
            <w:tcW w:w="509" w:type="pct"/>
            <w:shd w:val="clear" w:color="auto" w:fill="auto"/>
            <w:noWrap/>
            <w:vAlign w:val="center"/>
            <w:hideMark/>
          </w:tcPr>
          <w:p w:rsidR="000431ED" w:rsidRPr="00B53423" w:rsidRDefault="000431ED" w:rsidP="0015232B">
            <w:pPr>
              <w:pStyle w:val="NoSpacing"/>
              <w:jc w:val="right"/>
              <w:rPr>
                <w:rFonts w:asciiTheme="minorHAnsi" w:hAnsiTheme="minorHAnsi" w:cstheme="minorHAnsi"/>
                <w:b/>
              </w:rPr>
            </w:pPr>
            <w:r w:rsidRPr="00B53423">
              <w:rPr>
                <w:rFonts w:asciiTheme="minorHAnsi" w:hAnsiTheme="minorHAnsi" w:cstheme="minorHAnsi"/>
                <w:b/>
              </w:rPr>
              <w:t>98552</w:t>
            </w:r>
          </w:p>
        </w:tc>
        <w:tc>
          <w:tcPr>
            <w:tcW w:w="510" w:type="pct"/>
            <w:shd w:val="clear" w:color="auto" w:fill="auto"/>
            <w:noWrap/>
            <w:vAlign w:val="bottom"/>
            <w:hideMark/>
          </w:tcPr>
          <w:p w:rsidR="000431ED" w:rsidRPr="00B53423" w:rsidRDefault="000431ED" w:rsidP="0015232B">
            <w:pPr>
              <w:pStyle w:val="NoSpacing"/>
              <w:jc w:val="right"/>
              <w:rPr>
                <w:rFonts w:asciiTheme="minorHAnsi" w:hAnsiTheme="minorHAnsi" w:cstheme="minorHAnsi"/>
                <w:b/>
                <w:lang w:val="en-GB"/>
              </w:rPr>
            </w:pPr>
          </w:p>
        </w:tc>
        <w:tc>
          <w:tcPr>
            <w:tcW w:w="509" w:type="pct"/>
            <w:shd w:val="clear" w:color="auto" w:fill="auto"/>
            <w:noWrap/>
            <w:vAlign w:val="bottom"/>
            <w:hideMark/>
          </w:tcPr>
          <w:p w:rsidR="000431ED" w:rsidRPr="00B53423" w:rsidRDefault="000431ED" w:rsidP="0015232B">
            <w:pPr>
              <w:pStyle w:val="NoSpacing"/>
              <w:jc w:val="right"/>
              <w:rPr>
                <w:rFonts w:asciiTheme="minorHAnsi" w:hAnsiTheme="minorHAnsi" w:cstheme="minorHAnsi"/>
                <w:b/>
                <w:lang w:eastAsia="en-IN"/>
              </w:rPr>
            </w:pPr>
          </w:p>
        </w:tc>
        <w:tc>
          <w:tcPr>
            <w:tcW w:w="509" w:type="pct"/>
            <w:shd w:val="clear" w:color="auto" w:fill="auto"/>
            <w:noWrap/>
            <w:vAlign w:val="bottom"/>
            <w:hideMark/>
          </w:tcPr>
          <w:p w:rsidR="000431ED" w:rsidRPr="00B53423" w:rsidRDefault="000431ED" w:rsidP="0015232B">
            <w:pPr>
              <w:pStyle w:val="NoSpacing"/>
              <w:jc w:val="right"/>
              <w:rPr>
                <w:rFonts w:asciiTheme="minorHAnsi" w:hAnsiTheme="minorHAnsi" w:cstheme="minorHAnsi"/>
                <w:b/>
                <w:lang w:eastAsia="en-IN"/>
              </w:rPr>
            </w:pPr>
            <w:r w:rsidRPr="00B53423">
              <w:rPr>
                <w:rFonts w:asciiTheme="minorHAnsi" w:hAnsiTheme="minorHAnsi" w:cstheme="minorHAnsi"/>
                <w:b/>
              </w:rPr>
              <w:t>102609</w:t>
            </w:r>
          </w:p>
        </w:tc>
        <w:tc>
          <w:tcPr>
            <w:tcW w:w="509" w:type="pct"/>
          </w:tcPr>
          <w:p w:rsidR="000431ED" w:rsidRPr="00B53423" w:rsidRDefault="000431ED" w:rsidP="0015232B">
            <w:pPr>
              <w:pStyle w:val="NoSpacing"/>
              <w:jc w:val="right"/>
              <w:rPr>
                <w:rFonts w:asciiTheme="minorHAnsi" w:hAnsiTheme="minorHAnsi" w:cstheme="minorHAnsi"/>
                <w:b/>
              </w:rPr>
            </w:pPr>
            <w:r w:rsidRPr="00B53423">
              <w:rPr>
                <w:rFonts w:asciiTheme="minorHAnsi" w:hAnsiTheme="minorHAnsi" w:cstheme="minorHAnsi"/>
                <w:b/>
              </w:rPr>
              <w:t>106835</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xml:space="preserve">LMV-3: Public Lamps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Unmetered - Gram Panchayat</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Unmetered - Nagar Palika &amp; Panchayat</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Unmetered - Nagar Nigam</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18</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18</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18</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18</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18</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Metered - Gram Panchayat</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Metered - Nagar Palika &amp; Panchayat</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Metered - Nagar Nigam</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ED16CF" w:rsidRPr="00B53423" w:rsidTr="00782F7D">
        <w:trPr>
          <w:trHeight w:val="300"/>
        </w:trPr>
        <w:tc>
          <w:tcPr>
            <w:tcW w:w="1434" w:type="pct"/>
            <w:shd w:val="clear" w:color="auto" w:fill="auto"/>
            <w:noWrap/>
            <w:hideMark/>
          </w:tcPr>
          <w:p w:rsidR="00ED16CF" w:rsidRPr="00B53423" w:rsidRDefault="00ED16CF"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(LMV-3)</w:t>
            </w:r>
          </w:p>
        </w:tc>
        <w:tc>
          <w:tcPr>
            <w:tcW w:w="510" w:type="pct"/>
            <w:shd w:val="clear" w:color="auto" w:fill="auto"/>
            <w:noWrap/>
            <w:vAlign w:val="center"/>
            <w:hideMark/>
          </w:tcPr>
          <w:p w:rsidR="00ED16CF" w:rsidRPr="00B53423" w:rsidRDefault="00ED16CF" w:rsidP="0015232B">
            <w:pPr>
              <w:pStyle w:val="NoSpacing"/>
              <w:jc w:val="right"/>
              <w:rPr>
                <w:rFonts w:asciiTheme="minorHAnsi" w:hAnsiTheme="minorHAnsi" w:cstheme="minorHAnsi"/>
                <w:b/>
              </w:rPr>
            </w:pPr>
            <w:r w:rsidRPr="00B53423">
              <w:rPr>
                <w:rFonts w:asciiTheme="minorHAnsi" w:hAnsiTheme="minorHAnsi" w:cstheme="minorHAnsi"/>
                <w:b/>
              </w:rPr>
              <w:t>18</w:t>
            </w:r>
          </w:p>
        </w:tc>
        <w:tc>
          <w:tcPr>
            <w:tcW w:w="509" w:type="pct"/>
            <w:shd w:val="clear" w:color="auto" w:fill="auto"/>
            <w:noWrap/>
            <w:vAlign w:val="center"/>
            <w:hideMark/>
          </w:tcPr>
          <w:p w:rsidR="00ED16CF" w:rsidRPr="00B53423" w:rsidRDefault="00ED16CF" w:rsidP="0015232B">
            <w:pPr>
              <w:pStyle w:val="NoSpacing"/>
              <w:jc w:val="right"/>
              <w:rPr>
                <w:rFonts w:asciiTheme="minorHAnsi" w:hAnsiTheme="minorHAnsi" w:cstheme="minorHAnsi"/>
                <w:b/>
              </w:rPr>
            </w:pPr>
            <w:r w:rsidRPr="00B53423">
              <w:rPr>
                <w:rFonts w:asciiTheme="minorHAnsi" w:hAnsiTheme="minorHAnsi" w:cstheme="minorHAnsi"/>
                <w:b/>
              </w:rPr>
              <w:t>18</w:t>
            </w:r>
          </w:p>
        </w:tc>
        <w:tc>
          <w:tcPr>
            <w:tcW w:w="509" w:type="pct"/>
            <w:shd w:val="clear" w:color="auto" w:fill="auto"/>
            <w:noWrap/>
            <w:vAlign w:val="center"/>
            <w:hideMark/>
          </w:tcPr>
          <w:p w:rsidR="00ED16CF" w:rsidRPr="00B53423" w:rsidRDefault="00ED16CF" w:rsidP="0015232B">
            <w:pPr>
              <w:pStyle w:val="NoSpacing"/>
              <w:jc w:val="right"/>
              <w:rPr>
                <w:rFonts w:asciiTheme="minorHAnsi" w:hAnsiTheme="minorHAnsi" w:cstheme="minorHAnsi"/>
                <w:b/>
              </w:rPr>
            </w:pPr>
            <w:r w:rsidRPr="00B53423">
              <w:rPr>
                <w:rFonts w:asciiTheme="minorHAnsi" w:hAnsiTheme="minorHAnsi" w:cstheme="minorHAnsi"/>
                <w:b/>
              </w:rPr>
              <w:t>18</w:t>
            </w:r>
          </w:p>
        </w:tc>
        <w:tc>
          <w:tcPr>
            <w:tcW w:w="510" w:type="pct"/>
            <w:shd w:val="clear" w:color="auto" w:fill="auto"/>
            <w:noWrap/>
            <w:vAlign w:val="center"/>
            <w:hideMark/>
          </w:tcPr>
          <w:p w:rsidR="00ED16CF" w:rsidRPr="00B53423" w:rsidRDefault="00ED16CF" w:rsidP="0015232B">
            <w:pPr>
              <w:pStyle w:val="NoSpacing"/>
              <w:jc w:val="right"/>
              <w:rPr>
                <w:rFonts w:asciiTheme="minorHAnsi" w:hAnsiTheme="minorHAnsi" w:cstheme="minorHAnsi"/>
                <w:b/>
              </w:rPr>
            </w:pPr>
          </w:p>
        </w:tc>
        <w:tc>
          <w:tcPr>
            <w:tcW w:w="509" w:type="pct"/>
            <w:shd w:val="clear" w:color="auto" w:fill="auto"/>
            <w:noWrap/>
            <w:vAlign w:val="bottom"/>
            <w:hideMark/>
          </w:tcPr>
          <w:p w:rsidR="00ED16CF" w:rsidRPr="00B53423" w:rsidRDefault="00ED16CF" w:rsidP="0015232B">
            <w:pPr>
              <w:pStyle w:val="NoSpacing"/>
              <w:jc w:val="right"/>
              <w:rPr>
                <w:rFonts w:asciiTheme="minorHAnsi" w:hAnsiTheme="minorHAnsi" w:cstheme="minorHAnsi"/>
                <w:b/>
                <w:lang w:eastAsia="en-IN"/>
              </w:rPr>
            </w:pPr>
          </w:p>
        </w:tc>
        <w:tc>
          <w:tcPr>
            <w:tcW w:w="509" w:type="pct"/>
            <w:shd w:val="clear" w:color="auto" w:fill="auto"/>
            <w:noWrap/>
            <w:vAlign w:val="center"/>
            <w:hideMark/>
          </w:tcPr>
          <w:p w:rsidR="00ED16CF" w:rsidRPr="00B53423" w:rsidRDefault="00ED16CF" w:rsidP="0015232B">
            <w:pPr>
              <w:pStyle w:val="NoSpacing"/>
              <w:jc w:val="right"/>
              <w:rPr>
                <w:rFonts w:asciiTheme="minorHAnsi" w:hAnsiTheme="minorHAnsi" w:cstheme="minorHAnsi"/>
                <w:b/>
              </w:rPr>
            </w:pPr>
            <w:r w:rsidRPr="00B53423">
              <w:rPr>
                <w:rFonts w:asciiTheme="minorHAnsi" w:hAnsiTheme="minorHAnsi" w:cstheme="minorHAnsi"/>
                <w:b/>
              </w:rPr>
              <w:t>18</w:t>
            </w:r>
          </w:p>
        </w:tc>
        <w:tc>
          <w:tcPr>
            <w:tcW w:w="509" w:type="pct"/>
            <w:vAlign w:val="center"/>
          </w:tcPr>
          <w:p w:rsidR="00ED16CF" w:rsidRPr="00B53423" w:rsidRDefault="00ED16CF" w:rsidP="0015232B">
            <w:pPr>
              <w:pStyle w:val="NoSpacing"/>
              <w:jc w:val="right"/>
              <w:rPr>
                <w:rFonts w:asciiTheme="minorHAnsi" w:hAnsiTheme="minorHAnsi" w:cstheme="minorHAnsi"/>
                <w:b/>
              </w:rPr>
            </w:pPr>
            <w:r w:rsidRPr="00B53423">
              <w:rPr>
                <w:rFonts w:asciiTheme="minorHAnsi" w:hAnsiTheme="minorHAnsi" w:cstheme="minorHAnsi"/>
                <w:b/>
              </w:rPr>
              <w:t>18</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LMV-4: Institutions</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Public</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901</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907</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927</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5%</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973</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1022</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Private</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128</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141</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142</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5%</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5%</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150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158</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(LMV-4)</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1029</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1048</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1069</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1123</w:t>
            </w:r>
          </w:p>
        </w:tc>
        <w:tc>
          <w:tcPr>
            <w:tcW w:w="509" w:type="pct"/>
            <w:vAlign w:val="center"/>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1180</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LMV-5: Private Tube Wells</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(unmetered)</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(metered)</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Urban (metered)</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16</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16</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16</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(LMV-5)</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16</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16</w:t>
            </w:r>
          </w:p>
        </w:tc>
        <w:tc>
          <w:tcPr>
            <w:tcW w:w="509" w:type="pct"/>
            <w:vAlign w:val="center"/>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16</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 6: Small and Medium Power</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Power Loom: Rural</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Power Loom: Urban</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11</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15</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17%</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15</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15</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Others: Rural</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3312</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3312</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3312</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Others: Urban</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7456</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8158</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5409</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-15%</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8%</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5842</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6309</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(LMV-6)</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7467</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8158</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8736</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9169</w:t>
            </w:r>
          </w:p>
        </w:tc>
        <w:tc>
          <w:tcPr>
            <w:tcW w:w="509" w:type="pct"/>
            <w:vAlign w:val="center"/>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9636</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xml:space="preserve">LMV-7: Public Water Works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Jal Nigam</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Jal Sansthan</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Other PWWs</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Urban: Jal Nigam</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Urban: Jal Sansthan</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620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634</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667</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4%</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674</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681</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Urban: Other PWWs</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(LMV-7)</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620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634</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667</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674</w:t>
            </w:r>
          </w:p>
        </w:tc>
        <w:tc>
          <w:tcPr>
            <w:tcW w:w="509" w:type="pct"/>
            <w:vAlign w:val="center"/>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681</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LMV-8: State Tube Wells</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Metered STW</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Unmetered STW</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Unmetered Laghu Dal Nahar</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(LMV-8)</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vAlign w:val="center"/>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xml:space="preserve">LMV-9: Temporary Supply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Metered: Individual residential</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406</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406</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406</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Metered: Others</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Unmetered: Ceremonies</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Unmetered: Temp shops</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62</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(LMV-9)</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468</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406</w:t>
            </w:r>
          </w:p>
        </w:tc>
        <w:tc>
          <w:tcPr>
            <w:tcW w:w="509" w:type="pct"/>
            <w:vAlign w:val="center"/>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406</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LMV-10: Departmental Employees</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Class IV</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187</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187</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1411</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175%</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1411</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1411</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Class III</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95</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95</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1966</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355%</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1966</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1966</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Junior Engineers</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5</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5</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257</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617%</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257</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257</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Assistant Engineers</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13</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13</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82</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151%</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82</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82</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Executive Engineers</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15</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15</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219</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282%</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219</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219</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Deputy General Manager</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4</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4</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4</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4</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4</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CGM/GM</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Pensioners</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256</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256</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4327</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311%</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4327</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4327</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(LMV-10)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576</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576</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8267</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8267</w:t>
            </w:r>
          </w:p>
        </w:tc>
        <w:tc>
          <w:tcPr>
            <w:tcW w:w="509" w:type="pct"/>
            <w:vAlign w:val="center"/>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8267</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HV-1: Non-Industrial Bulk Loads</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Urban: 11 kV</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120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12</w:t>
            </w:r>
            <w:r w:rsidR="00E41100" w:rsidRPr="00B53423">
              <w:rPr>
                <w:rFonts w:asciiTheme="minorHAnsi" w:hAnsiTheme="minorHAnsi" w:cstheme="minorHAnsi"/>
              </w:rPr>
              <w:t>6</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12</w:t>
            </w:r>
            <w:r w:rsidR="00E41100" w:rsidRPr="00B53423">
              <w:rPr>
                <w:rFonts w:asciiTheme="minorHAnsi" w:hAnsiTheme="minorHAnsi" w:cstheme="minorHAnsi"/>
              </w:rPr>
              <w:t>6</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Urban: Above 11 kV &amp; up to 66 kV</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13</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E41100" w:rsidP="0015232B">
            <w:pPr>
              <w:pStyle w:val="NoSpacing"/>
              <w:jc w:val="right"/>
              <w:rPr>
                <w:rFonts w:asciiTheme="minorHAnsi" w:hAnsiTheme="minorHAnsi" w:cstheme="minorHAnsi"/>
              </w:rPr>
            </w:pPr>
            <w:r w:rsidRPr="00B53423">
              <w:rPr>
                <w:rFonts w:asciiTheme="minorHAnsi" w:hAnsiTheme="minorHAnsi" w:cstheme="minorHAnsi"/>
              </w:rPr>
              <w:t>7</w:t>
            </w:r>
          </w:p>
        </w:tc>
        <w:tc>
          <w:tcPr>
            <w:tcW w:w="509" w:type="pct"/>
            <w:vAlign w:val="center"/>
          </w:tcPr>
          <w:p w:rsidR="00567EF5" w:rsidRPr="00B53423" w:rsidRDefault="00E41100" w:rsidP="0015232B">
            <w:pPr>
              <w:pStyle w:val="NoSpacing"/>
              <w:jc w:val="right"/>
              <w:rPr>
                <w:rFonts w:asciiTheme="minorHAnsi" w:hAnsiTheme="minorHAnsi" w:cstheme="minorHAnsi"/>
              </w:rPr>
            </w:pPr>
            <w:r w:rsidRPr="00B53423">
              <w:rPr>
                <w:rFonts w:asciiTheme="minorHAnsi" w:hAnsiTheme="minorHAnsi" w:cstheme="minorHAnsi"/>
              </w:rPr>
              <w:t>7</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Urban: Above 66 kV &amp; up to 132 kV</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110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116</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-100%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Urban: Above 132 kV</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At 11 kV</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Above 11 kV &amp; up to 66 kV</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(HV-1)</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110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116</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133</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133</w:t>
            </w:r>
          </w:p>
        </w:tc>
        <w:tc>
          <w:tcPr>
            <w:tcW w:w="509" w:type="pct"/>
            <w:vAlign w:val="center"/>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133</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HV-2: Large and Heavy Power</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0B107C" w:rsidRPr="00B53423" w:rsidTr="000B107C">
        <w:trPr>
          <w:trHeight w:val="300"/>
        </w:trPr>
        <w:tc>
          <w:tcPr>
            <w:tcW w:w="1434" w:type="pct"/>
            <w:shd w:val="clear" w:color="auto" w:fill="auto"/>
            <w:noWrap/>
            <w:hideMark/>
          </w:tcPr>
          <w:p w:rsidR="000B107C" w:rsidRPr="00B53423" w:rsidRDefault="000B107C"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Urban: 11 kV</w:t>
            </w:r>
          </w:p>
        </w:tc>
        <w:tc>
          <w:tcPr>
            <w:tcW w:w="510" w:type="pct"/>
            <w:shd w:val="clear" w:color="auto" w:fill="auto"/>
            <w:noWrap/>
            <w:vAlign w:val="center"/>
            <w:hideMark/>
          </w:tcPr>
          <w:p w:rsidR="000B107C" w:rsidRPr="00B53423" w:rsidRDefault="000B107C"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0B107C" w:rsidRPr="00B53423" w:rsidRDefault="000B107C"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0B107C" w:rsidRPr="00B53423" w:rsidRDefault="000B107C" w:rsidP="0015232B">
            <w:pPr>
              <w:pStyle w:val="NoSpacing"/>
              <w:jc w:val="right"/>
              <w:rPr>
                <w:rFonts w:asciiTheme="minorHAnsi" w:hAnsiTheme="minorHAnsi" w:cstheme="minorHAnsi"/>
              </w:rPr>
            </w:pPr>
            <w:r w:rsidRPr="00B53423">
              <w:rPr>
                <w:rFonts w:asciiTheme="minorHAnsi" w:hAnsiTheme="minorHAnsi" w:cstheme="minorHAnsi"/>
              </w:rPr>
              <w:t>537</w:t>
            </w:r>
          </w:p>
        </w:tc>
        <w:tc>
          <w:tcPr>
            <w:tcW w:w="510" w:type="pct"/>
            <w:shd w:val="clear" w:color="auto" w:fill="auto"/>
            <w:noWrap/>
            <w:vAlign w:val="bottom"/>
            <w:hideMark/>
          </w:tcPr>
          <w:p w:rsidR="000B107C" w:rsidRPr="00B53423" w:rsidRDefault="00567EF5" w:rsidP="0015232B">
            <w:pPr>
              <w:pStyle w:val="NoSpacing"/>
              <w:jc w:val="right"/>
              <w:rPr>
                <w:rFonts w:asciiTheme="minorHAnsi" w:hAnsiTheme="minorHAnsi" w:cstheme="minorHAnsi"/>
                <w:lang w:val="en-GB"/>
              </w:rPr>
            </w:pPr>
            <w:r w:rsidRPr="00B53423">
              <w:rPr>
                <w:rFonts w:asciiTheme="minorHAnsi" w:hAnsiTheme="minorHAnsi" w:cstheme="minorHAnsi"/>
              </w:rPr>
              <w:t>0%</w:t>
            </w:r>
          </w:p>
        </w:tc>
        <w:tc>
          <w:tcPr>
            <w:tcW w:w="509" w:type="pct"/>
            <w:shd w:val="clear" w:color="auto" w:fill="auto"/>
            <w:noWrap/>
            <w:vAlign w:val="bottom"/>
            <w:hideMark/>
          </w:tcPr>
          <w:p w:rsidR="000B107C" w:rsidRPr="00B53423" w:rsidRDefault="000B107C"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bottom"/>
            <w:hideMark/>
          </w:tcPr>
          <w:p w:rsidR="000B107C" w:rsidRPr="00B53423" w:rsidRDefault="000B107C" w:rsidP="0015232B">
            <w:pPr>
              <w:pStyle w:val="NoSpacing"/>
              <w:jc w:val="right"/>
              <w:rPr>
                <w:rFonts w:asciiTheme="minorHAnsi" w:hAnsiTheme="minorHAnsi" w:cstheme="minorHAnsi"/>
                <w:lang w:val="en-GB"/>
              </w:rPr>
            </w:pPr>
            <w:r w:rsidRPr="00B53423">
              <w:rPr>
                <w:rFonts w:asciiTheme="minorHAnsi" w:hAnsiTheme="minorHAnsi" w:cstheme="minorHAnsi"/>
              </w:rPr>
              <w:t>537</w:t>
            </w:r>
          </w:p>
        </w:tc>
        <w:tc>
          <w:tcPr>
            <w:tcW w:w="509" w:type="pct"/>
          </w:tcPr>
          <w:p w:rsidR="000B107C" w:rsidRPr="00B53423" w:rsidRDefault="00B1783E" w:rsidP="0015232B">
            <w:pPr>
              <w:pStyle w:val="NoSpacing"/>
              <w:jc w:val="right"/>
              <w:rPr>
                <w:rFonts w:asciiTheme="minorHAnsi" w:hAnsiTheme="minorHAnsi" w:cstheme="minorHAnsi"/>
                <w:lang w:val="en-GB"/>
              </w:rPr>
            </w:pPr>
            <w:r w:rsidRPr="00B53423">
              <w:rPr>
                <w:rFonts w:asciiTheme="minorHAnsi" w:hAnsiTheme="minorHAnsi" w:cstheme="minorHAnsi"/>
              </w:rPr>
              <w:t>537</w:t>
            </w:r>
          </w:p>
        </w:tc>
      </w:tr>
      <w:tr w:rsidR="00B1783E" w:rsidRPr="00B53423" w:rsidTr="00782F7D">
        <w:trPr>
          <w:trHeight w:val="300"/>
        </w:trPr>
        <w:tc>
          <w:tcPr>
            <w:tcW w:w="1434" w:type="pct"/>
            <w:shd w:val="clear" w:color="auto" w:fill="auto"/>
            <w:noWrap/>
            <w:hideMark/>
          </w:tcPr>
          <w:p w:rsidR="00B1783E" w:rsidRPr="00B53423" w:rsidRDefault="00B1783E"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Urban: Above 11 kV &amp; up to 66 kV</w:t>
            </w:r>
          </w:p>
        </w:tc>
        <w:tc>
          <w:tcPr>
            <w:tcW w:w="510"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4</w:t>
            </w:r>
          </w:p>
        </w:tc>
        <w:tc>
          <w:tcPr>
            <w:tcW w:w="510" w:type="pct"/>
            <w:shd w:val="clear" w:color="auto" w:fill="auto"/>
            <w:noWrap/>
            <w:vAlign w:val="bottom"/>
            <w:hideMark/>
          </w:tcPr>
          <w:p w:rsidR="00B1783E" w:rsidRPr="00B53423" w:rsidRDefault="00567EF5" w:rsidP="0015232B">
            <w:pPr>
              <w:pStyle w:val="NoSpacing"/>
              <w:jc w:val="right"/>
              <w:rPr>
                <w:rFonts w:asciiTheme="minorHAnsi" w:hAnsiTheme="minorHAnsi" w:cstheme="minorHAnsi"/>
                <w:lang w:val="en-GB"/>
              </w:rPr>
            </w:pPr>
            <w:r w:rsidRPr="00B53423">
              <w:rPr>
                <w:rFonts w:asciiTheme="minorHAnsi" w:hAnsiTheme="minorHAnsi" w:cstheme="minorHAnsi"/>
              </w:rPr>
              <w:t>0%</w:t>
            </w:r>
          </w:p>
        </w:tc>
        <w:tc>
          <w:tcPr>
            <w:tcW w:w="509" w:type="pct"/>
            <w:shd w:val="clear" w:color="auto" w:fill="auto"/>
            <w:noWrap/>
            <w:vAlign w:val="bottom"/>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4</w:t>
            </w:r>
          </w:p>
        </w:tc>
        <w:tc>
          <w:tcPr>
            <w:tcW w:w="509" w:type="pct"/>
            <w:vAlign w:val="center"/>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4</w:t>
            </w:r>
          </w:p>
        </w:tc>
      </w:tr>
      <w:tr w:rsidR="00B1783E" w:rsidRPr="00B53423" w:rsidTr="00782F7D">
        <w:trPr>
          <w:trHeight w:val="300"/>
        </w:trPr>
        <w:tc>
          <w:tcPr>
            <w:tcW w:w="1434" w:type="pct"/>
            <w:shd w:val="clear" w:color="auto" w:fill="auto"/>
            <w:noWrap/>
            <w:hideMark/>
          </w:tcPr>
          <w:p w:rsidR="00B1783E" w:rsidRPr="00B53423" w:rsidRDefault="00B1783E"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Urban: Above 66 kV &amp; up to 132 kV</w:t>
            </w:r>
          </w:p>
        </w:tc>
        <w:tc>
          <w:tcPr>
            <w:tcW w:w="510"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522</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535</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2</w:t>
            </w:r>
          </w:p>
        </w:tc>
        <w:tc>
          <w:tcPr>
            <w:tcW w:w="510" w:type="pct"/>
            <w:shd w:val="clear" w:color="auto" w:fill="auto"/>
            <w:noWrap/>
            <w:vAlign w:val="bottom"/>
            <w:hideMark/>
          </w:tcPr>
          <w:p w:rsidR="00B1783E" w:rsidRPr="00B53423" w:rsidRDefault="00567EF5" w:rsidP="0015232B">
            <w:pPr>
              <w:pStyle w:val="NoSpacing"/>
              <w:jc w:val="right"/>
              <w:rPr>
                <w:rFonts w:asciiTheme="minorHAnsi" w:hAnsiTheme="minorHAnsi" w:cstheme="minorHAnsi"/>
                <w:lang w:val="en-GB"/>
              </w:rPr>
            </w:pPr>
            <w:r w:rsidRPr="00B53423">
              <w:rPr>
                <w:rFonts w:asciiTheme="minorHAnsi" w:hAnsiTheme="minorHAnsi" w:cstheme="minorHAnsi"/>
              </w:rPr>
              <w:t>-94%</w:t>
            </w:r>
          </w:p>
        </w:tc>
        <w:tc>
          <w:tcPr>
            <w:tcW w:w="509" w:type="pct"/>
            <w:shd w:val="clear" w:color="auto" w:fill="auto"/>
            <w:noWrap/>
            <w:vAlign w:val="bottom"/>
            <w:hideMark/>
          </w:tcPr>
          <w:p w:rsidR="00B1783E" w:rsidRPr="00B53423" w:rsidRDefault="00B1783E" w:rsidP="0015232B">
            <w:pPr>
              <w:pStyle w:val="NoSpacing"/>
              <w:jc w:val="right"/>
              <w:rPr>
                <w:rFonts w:asciiTheme="minorHAnsi" w:hAnsiTheme="minorHAnsi" w:cstheme="minorHAnsi"/>
                <w:lang w:eastAsia="en-IN"/>
              </w:rPr>
            </w:pPr>
            <w:r w:rsidRPr="00B53423">
              <w:rPr>
                <w:rFonts w:asciiTheme="minorHAnsi" w:hAnsiTheme="minorHAnsi" w:cstheme="minorHAnsi"/>
              </w:rPr>
              <w:t>0%</w:t>
            </w:r>
          </w:p>
        </w:tc>
        <w:tc>
          <w:tcPr>
            <w:tcW w:w="509" w:type="pct"/>
            <w:shd w:val="clear" w:color="auto" w:fill="auto"/>
            <w:noWrap/>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2</w:t>
            </w:r>
          </w:p>
        </w:tc>
        <w:tc>
          <w:tcPr>
            <w:tcW w:w="509" w:type="pct"/>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2</w:t>
            </w:r>
          </w:p>
        </w:tc>
      </w:tr>
      <w:tr w:rsidR="00B1783E" w:rsidRPr="00B53423" w:rsidTr="00782F7D">
        <w:trPr>
          <w:trHeight w:val="300"/>
        </w:trPr>
        <w:tc>
          <w:tcPr>
            <w:tcW w:w="1434" w:type="pct"/>
            <w:shd w:val="clear" w:color="auto" w:fill="auto"/>
            <w:noWrap/>
            <w:hideMark/>
          </w:tcPr>
          <w:p w:rsidR="00B1783E" w:rsidRPr="00B53423" w:rsidRDefault="00B1783E"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Urban: Above 132 kV</w:t>
            </w:r>
          </w:p>
        </w:tc>
        <w:tc>
          <w:tcPr>
            <w:tcW w:w="510"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bottom"/>
            <w:hideMark/>
          </w:tcPr>
          <w:p w:rsidR="00B1783E" w:rsidRPr="00B53423" w:rsidRDefault="00567EF5" w:rsidP="0015232B">
            <w:pPr>
              <w:pStyle w:val="NoSpacing"/>
              <w:jc w:val="right"/>
              <w:rPr>
                <w:rFonts w:asciiTheme="minorHAnsi" w:hAnsiTheme="minorHAnsi" w:cstheme="minorHAnsi"/>
                <w:lang w:val="en-GB"/>
              </w:rPr>
            </w:pPr>
            <w:r w:rsidRPr="00B53423">
              <w:rPr>
                <w:rFonts w:asciiTheme="minorHAnsi" w:hAnsiTheme="minorHAnsi" w:cstheme="minorHAnsi"/>
              </w:rPr>
              <w:t>0%</w:t>
            </w:r>
          </w:p>
        </w:tc>
        <w:tc>
          <w:tcPr>
            <w:tcW w:w="509" w:type="pct"/>
            <w:shd w:val="clear" w:color="auto" w:fill="auto"/>
            <w:noWrap/>
            <w:vAlign w:val="bottom"/>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r>
      <w:tr w:rsidR="00B1783E" w:rsidRPr="00B53423" w:rsidTr="00782F7D">
        <w:trPr>
          <w:trHeight w:val="300"/>
        </w:trPr>
        <w:tc>
          <w:tcPr>
            <w:tcW w:w="1434" w:type="pct"/>
            <w:shd w:val="clear" w:color="auto" w:fill="auto"/>
            <w:noWrap/>
            <w:hideMark/>
          </w:tcPr>
          <w:p w:rsidR="00B1783E" w:rsidRPr="00B53423" w:rsidRDefault="00B1783E"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At 11 kV</w:t>
            </w:r>
          </w:p>
        </w:tc>
        <w:tc>
          <w:tcPr>
            <w:tcW w:w="510"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bottom"/>
            <w:hideMark/>
          </w:tcPr>
          <w:p w:rsidR="00B1783E" w:rsidRPr="00B53423" w:rsidRDefault="00567EF5" w:rsidP="0015232B">
            <w:pPr>
              <w:pStyle w:val="NoSpacing"/>
              <w:jc w:val="right"/>
              <w:rPr>
                <w:rFonts w:asciiTheme="minorHAnsi" w:hAnsiTheme="minorHAnsi" w:cstheme="minorHAnsi"/>
                <w:lang w:val="en-GB"/>
              </w:rPr>
            </w:pPr>
            <w:r w:rsidRPr="00B53423">
              <w:rPr>
                <w:rFonts w:asciiTheme="minorHAnsi" w:hAnsiTheme="minorHAnsi" w:cstheme="minorHAnsi"/>
              </w:rPr>
              <w:t>0%</w:t>
            </w:r>
          </w:p>
        </w:tc>
        <w:tc>
          <w:tcPr>
            <w:tcW w:w="509" w:type="pct"/>
            <w:shd w:val="clear" w:color="auto" w:fill="auto"/>
            <w:noWrap/>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r>
      <w:tr w:rsidR="00B1783E" w:rsidRPr="00B53423" w:rsidTr="00782F7D">
        <w:trPr>
          <w:trHeight w:val="300"/>
        </w:trPr>
        <w:tc>
          <w:tcPr>
            <w:tcW w:w="1434" w:type="pct"/>
            <w:shd w:val="clear" w:color="auto" w:fill="auto"/>
            <w:noWrap/>
            <w:hideMark/>
          </w:tcPr>
          <w:p w:rsidR="00B1783E" w:rsidRPr="00B53423" w:rsidRDefault="00B1783E"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Rural: Above 11 kV &amp; up to 66 kV</w:t>
            </w:r>
          </w:p>
        </w:tc>
        <w:tc>
          <w:tcPr>
            <w:tcW w:w="510"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bottom"/>
            <w:hideMark/>
          </w:tcPr>
          <w:p w:rsidR="00B1783E" w:rsidRPr="00B53423" w:rsidRDefault="00567EF5" w:rsidP="0015232B">
            <w:pPr>
              <w:pStyle w:val="NoSpacing"/>
              <w:jc w:val="right"/>
              <w:rPr>
                <w:rFonts w:asciiTheme="minorHAnsi" w:hAnsiTheme="minorHAnsi" w:cstheme="minorHAnsi"/>
                <w:lang w:val="en-GB"/>
              </w:rPr>
            </w:pPr>
            <w:r w:rsidRPr="00B53423">
              <w:rPr>
                <w:rFonts w:asciiTheme="minorHAnsi" w:hAnsiTheme="minorHAnsi" w:cstheme="minorHAnsi"/>
              </w:rPr>
              <w:t>0%</w:t>
            </w:r>
          </w:p>
        </w:tc>
        <w:tc>
          <w:tcPr>
            <w:tcW w:w="509" w:type="pct"/>
            <w:shd w:val="clear" w:color="auto" w:fill="auto"/>
            <w:noWrap/>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B1783E" w:rsidRPr="00B53423" w:rsidRDefault="00B1783E" w:rsidP="0015232B">
            <w:pPr>
              <w:pStyle w:val="NoSpacing"/>
              <w:jc w:val="right"/>
              <w:rPr>
                <w:rFonts w:asciiTheme="minorHAnsi" w:hAnsiTheme="minorHAnsi" w:cstheme="minorHAnsi"/>
              </w:rPr>
            </w:pPr>
            <w:r w:rsidRPr="00B53423">
              <w:rPr>
                <w:rFonts w:asciiTheme="minorHAnsi" w:hAnsiTheme="minorHAnsi" w:cstheme="minorHAnsi"/>
              </w:rPr>
              <w:t>0</w:t>
            </w:r>
          </w:p>
        </w:tc>
      </w:tr>
      <w:tr w:rsidR="000B107C" w:rsidRPr="00B53423" w:rsidTr="000B107C">
        <w:trPr>
          <w:trHeight w:val="300"/>
        </w:trPr>
        <w:tc>
          <w:tcPr>
            <w:tcW w:w="1434" w:type="pct"/>
            <w:shd w:val="clear" w:color="auto" w:fill="auto"/>
            <w:noWrap/>
            <w:hideMark/>
          </w:tcPr>
          <w:p w:rsidR="000B107C" w:rsidRPr="00B53423" w:rsidRDefault="000B107C"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(HV-2)</w:t>
            </w:r>
          </w:p>
        </w:tc>
        <w:tc>
          <w:tcPr>
            <w:tcW w:w="510" w:type="pct"/>
            <w:shd w:val="clear" w:color="auto" w:fill="auto"/>
            <w:noWrap/>
            <w:vAlign w:val="center"/>
            <w:hideMark/>
          </w:tcPr>
          <w:p w:rsidR="000B107C" w:rsidRPr="00B53423" w:rsidRDefault="000B107C" w:rsidP="0015232B">
            <w:pPr>
              <w:pStyle w:val="NoSpacing"/>
              <w:jc w:val="right"/>
              <w:rPr>
                <w:rFonts w:asciiTheme="minorHAnsi" w:hAnsiTheme="minorHAnsi" w:cstheme="minorHAnsi"/>
                <w:b/>
              </w:rPr>
            </w:pPr>
            <w:r w:rsidRPr="00B53423">
              <w:rPr>
                <w:rFonts w:asciiTheme="minorHAnsi" w:hAnsiTheme="minorHAnsi" w:cstheme="minorHAnsi"/>
                <w:b/>
              </w:rPr>
              <w:t>522</w:t>
            </w:r>
          </w:p>
        </w:tc>
        <w:tc>
          <w:tcPr>
            <w:tcW w:w="509" w:type="pct"/>
            <w:shd w:val="clear" w:color="auto" w:fill="auto"/>
            <w:noWrap/>
            <w:vAlign w:val="center"/>
            <w:hideMark/>
          </w:tcPr>
          <w:p w:rsidR="000B107C" w:rsidRPr="00B53423" w:rsidRDefault="000B107C" w:rsidP="0015232B">
            <w:pPr>
              <w:pStyle w:val="NoSpacing"/>
              <w:jc w:val="right"/>
              <w:rPr>
                <w:rFonts w:asciiTheme="minorHAnsi" w:hAnsiTheme="minorHAnsi" w:cstheme="minorHAnsi"/>
                <w:b/>
              </w:rPr>
            </w:pPr>
            <w:r w:rsidRPr="00B53423">
              <w:rPr>
                <w:rFonts w:asciiTheme="minorHAnsi" w:hAnsiTheme="minorHAnsi" w:cstheme="minorHAnsi"/>
                <w:b/>
              </w:rPr>
              <w:t>535</w:t>
            </w:r>
          </w:p>
        </w:tc>
        <w:tc>
          <w:tcPr>
            <w:tcW w:w="509" w:type="pct"/>
            <w:shd w:val="clear" w:color="auto" w:fill="auto"/>
            <w:noWrap/>
            <w:vAlign w:val="center"/>
            <w:hideMark/>
          </w:tcPr>
          <w:p w:rsidR="000B107C" w:rsidRPr="00B53423" w:rsidRDefault="000B107C" w:rsidP="0015232B">
            <w:pPr>
              <w:pStyle w:val="NoSpacing"/>
              <w:jc w:val="right"/>
              <w:rPr>
                <w:rFonts w:asciiTheme="minorHAnsi" w:hAnsiTheme="minorHAnsi" w:cstheme="minorHAnsi"/>
                <w:b/>
              </w:rPr>
            </w:pPr>
            <w:r w:rsidRPr="00B53423">
              <w:rPr>
                <w:rFonts w:asciiTheme="minorHAnsi" w:hAnsiTheme="minorHAnsi" w:cstheme="minorHAnsi"/>
                <w:b/>
              </w:rPr>
              <w:t>543</w:t>
            </w:r>
          </w:p>
        </w:tc>
        <w:tc>
          <w:tcPr>
            <w:tcW w:w="510" w:type="pct"/>
            <w:shd w:val="clear" w:color="auto" w:fill="auto"/>
            <w:noWrap/>
            <w:vAlign w:val="bottom"/>
            <w:hideMark/>
          </w:tcPr>
          <w:p w:rsidR="000B107C" w:rsidRPr="00B53423" w:rsidRDefault="000B107C" w:rsidP="0015232B">
            <w:pPr>
              <w:pStyle w:val="NoSpacing"/>
              <w:jc w:val="right"/>
              <w:rPr>
                <w:rFonts w:asciiTheme="minorHAnsi" w:hAnsiTheme="minorHAnsi" w:cstheme="minorHAnsi"/>
                <w:b/>
                <w:lang w:val="en-GB"/>
              </w:rPr>
            </w:pPr>
          </w:p>
        </w:tc>
        <w:tc>
          <w:tcPr>
            <w:tcW w:w="509" w:type="pct"/>
            <w:shd w:val="clear" w:color="auto" w:fill="auto"/>
            <w:noWrap/>
            <w:vAlign w:val="bottom"/>
            <w:hideMark/>
          </w:tcPr>
          <w:p w:rsidR="000B107C" w:rsidRPr="00B53423" w:rsidRDefault="000B107C" w:rsidP="0015232B">
            <w:pPr>
              <w:pStyle w:val="NoSpacing"/>
              <w:jc w:val="right"/>
              <w:rPr>
                <w:rFonts w:asciiTheme="minorHAnsi" w:hAnsiTheme="minorHAnsi" w:cstheme="minorHAnsi"/>
                <w:b/>
              </w:rPr>
            </w:pPr>
          </w:p>
        </w:tc>
        <w:tc>
          <w:tcPr>
            <w:tcW w:w="509" w:type="pct"/>
            <w:shd w:val="clear" w:color="auto" w:fill="auto"/>
            <w:noWrap/>
            <w:vAlign w:val="bottom"/>
            <w:hideMark/>
          </w:tcPr>
          <w:p w:rsidR="000B107C" w:rsidRPr="00B53423" w:rsidRDefault="00B1783E" w:rsidP="0015232B">
            <w:pPr>
              <w:pStyle w:val="NoSpacing"/>
              <w:jc w:val="right"/>
              <w:rPr>
                <w:rFonts w:asciiTheme="minorHAnsi" w:hAnsiTheme="minorHAnsi" w:cstheme="minorHAnsi"/>
                <w:b/>
                <w:lang w:val="en-GB"/>
              </w:rPr>
            </w:pPr>
            <w:r w:rsidRPr="00B53423">
              <w:rPr>
                <w:rFonts w:asciiTheme="minorHAnsi" w:hAnsiTheme="minorHAnsi" w:cstheme="minorHAnsi"/>
                <w:b/>
              </w:rPr>
              <w:t>543</w:t>
            </w:r>
          </w:p>
        </w:tc>
        <w:tc>
          <w:tcPr>
            <w:tcW w:w="509" w:type="pct"/>
          </w:tcPr>
          <w:p w:rsidR="000B107C" w:rsidRPr="00B53423" w:rsidRDefault="00B1783E" w:rsidP="0015232B">
            <w:pPr>
              <w:pStyle w:val="NoSpacing"/>
              <w:jc w:val="right"/>
              <w:rPr>
                <w:rFonts w:asciiTheme="minorHAnsi" w:hAnsiTheme="minorHAnsi" w:cstheme="minorHAnsi"/>
                <w:b/>
                <w:lang w:val="en-GB"/>
              </w:rPr>
            </w:pPr>
            <w:r w:rsidRPr="00B53423">
              <w:rPr>
                <w:rFonts w:asciiTheme="minorHAnsi" w:hAnsiTheme="minorHAnsi" w:cstheme="minorHAnsi"/>
                <w:b/>
              </w:rPr>
              <w:t>543</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HV-3: Railway Traction</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At 132 kV and above</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Below 132 kV</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Metro traction</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(HV-3)</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vAlign w:val="center"/>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HV-4: Lift Irrigation</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At 11kV</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Above 11kV &amp; up to 66kV</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Above 66 kV &amp; up to 132kV</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(HV-4)</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vAlign w:val="center"/>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Bulk &amp; Extra State</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Extra state &amp; others</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i/>
                <w:iCs/>
                <w:lang w:eastAsia="en-IN"/>
              </w:rPr>
            </w:pPr>
            <w:r w:rsidRPr="00B53423">
              <w:rPr>
                <w:rFonts w:asciiTheme="minorHAnsi" w:hAnsiTheme="minorHAnsi" w:cstheme="minorHAnsi"/>
                <w:i/>
                <w:iCs/>
                <w:lang w:eastAsia="en-IN"/>
              </w:rPr>
              <w:t>Bulk supply – Others</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c>
          <w:tcPr>
            <w:tcW w:w="509" w:type="pct"/>
            <w:vAlign w:val="center"/>
          </w:tcPr>
          <w:p w:rsidR="00567EF5" w:rsidRPr="00B53423" w:rsidRDefault="00567EF5" w:rsidP="0015232B">
            <w:pPr>
              <w:pStyle w:val="NoSpacing"/>
              <w:jc w:val="right"/>
              <w:rPr>
                <w:rFonts w:asciiTheme="minorHAnsi" w:hAnsiTheme="minorHAnsi" w:cstheme="minorHAnsi"/>
              </w:rPr>
            </w:pPr>
            <w:r w:rsidRPr="00B53423">
              <w:rPr>
                <w:rFonts w:asciiTheme="minorHAnsi" w:hAnsiTheme="minorHAnsi" w:cstheme="minorHAnsi"/>
              </w:rPr>
              <w:t>0</w:t>
            </w:r>
          </w:p>
        </w:tc>
      </w:tr>
      <w:tr w:rsidR="00567EF5" w:rsidRPr="00B53423" w:rsidTr="00782F7D">
        <w:trPr>
          <w:trHeight w:val="300"/>
        </w:trPr>
        <w:tc>
          <w:tcPr>
            <w:tcW w:w="1434" w:type="pct"/>
            <w:shd w:val="clear" w:color="auto" w:fill="auto"/>
            <w:noWrap/>
            <w:hideMark/>
          </w:tcPr>
          <w:p w:rsidR="00567EF5" w:rsidRPr="00B53423" w:rsidRDefault="00567EF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(Bulk &amp; Extra State)</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10"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p>
        </w:tc>
        <w:tc>
          <w:tcPr>
            <w:tcW w:w="509" w:type="pct"/>
            <w:shd w:val="clear" w:color="auto" w:fill="auto"/>
            <w:noWrap/>
            <w:vAlign w:val="center"/>
            <w:hideMark/>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c>
          <w:tcPr>
            <w:tcW w:w="509" w:type="pct"/>
            <w:vAlign w:val="center"/>
          </w:tcPr>
          <w:p w:rsidR="00567EF5" w:rsidRPr="00B53423" w:rsidRDefault="00567EF5" w:rsidP="0015232B">
            <w:pPr>
              <w:pStyle w:val="NoSpacing"/>
              <w:jc w:val="right"/>
              <w:rPr>
                <w:rFonts w:asciiTheme="minorHAnsi" w:hAnsiTheme="minorHAnsi" w:cstheme="minorHAnsi"/>
                <w:b/>
              </w:rPr>
            </w:pPr>
            <w:r w:rsidRPr="00B53423">
              <w:rPr>
                <w:rFonts w:asciiTheme="minorHAnsi" w:hAnsiTheme="minorHAnsi" w:cstheme="minorHAnsi"/>
                <w:b/>
              </w:rPr>
              <w:t>0</w:t>
            </w:r>
          </w:p>
        </w:tc>
      </w:tr>
      <w:tr w:rsidR="004B5AB4" w:rsidRPr="00B53423" w:rsidTr="004B5AB4">
        <w:trPr>
          <w:trHeight w:val="300"/>
        </w:trPr>
        <w:tc>
          <w:tcPr>
            <w:tcW w:w="1434" w:type="pct"/>
            <w:shd w:val="clear" w:color="auto" w:fill="auto"/>
            <w:noWrap/>
            <w:hideMark/>
          </w:tcPr>
          <w:p w:rsidR="004B5AB4" w:rsidRPr="00B53423" w:rsidRDefault="004B5AB4" w:rsidP="0015232B">
            <w:pPr>
              <w:pStyle w:val="NoSpacing"/>
              <w:rPr>
                <w:rFonts w:asciiTheme="minorHAnsi" w:hAnsiTheme="minorHAnsi" w:cstheme="minorHAnsi"/>
                <w:lang w:eastAsia="en-IN"/>
              </w:rPr>
            </w:pPr>
            <w:r w:rsidRPr="00B53423">
              <w:rPr>
                <w:rFonts w:asciiTheme="minorHAnsi" w:hAnsiTheme="minorHAnsi" w:cstheme="minorHAnsi"/>
                <w:lang w:eastAsia="en-IN"/>
              </w:rPr>
              <w:t> </w:t>
            </w: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10"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shd w:val="clear" w:color="auto" w:fill="auto"/>
            <w:noWrap/>
            <w:vAlign w:val="bottom"/>
            <w:hideMark/>
          </w:tcPr>
          <w:p w:rsidR="004B5AB4" w:rsidRPr="00B53423" w:rsidRDefault="004B5AB4" w:rsidP="0015232B">
            <w:pPr>
              <w:pStyle w:val="NoSpacing"/>
              <w:jc w:val="right"/>
              <w:rPr>
                <w:rFonts w:asciiTheme="minorHAnsi" w:hAnsiTheme="minorHAnsi" w:cstheme="minorHAnsi"/>
                <w:lang w:eastAsia="en-IN"/>
              </w:rPr>
            </w:pPr>
          </w:p>
        </w:tc>
        <w:tc>
          <w:tcPr>
            <w:tcW w:w="509" w:type="pct"/>
          </w:tcPr>
          <w:p w:rsidR="004B5AB4" w:rsidRPr="00B53423" w:rsidRDefault="004B5AB4" w:rsidP="0015232B">
            <w:pPr>
              <w:pStyle w:val="NoSpacing"/>
              <w:jc w:val="right"/>
              <w:rPr>
                <w:rFonts w:asciiTheme="minorHAnsi" w:hAnsiTheme="minorHAnsi" w:cstheme="minorHAnsi"/>
                <w:lang w:eastAsia="en-IN"/>
              </w:rPr>
            </w:pPr>
          </w:p>
        </w:tc>
      </w:tr>
      <w:tr w:rsidR="004F60D3" w:rsidRPr="00B53423" w:rsidTr="00782F7D">
        <w:trPr>
          <w:trHeight w:val="300"/>
        </w:trPr>
        <w:tc>
          <w:tcPr>
            <w:tcW w:w="1434" w:type="pct"/>
            <w:shd w:val="clear" w:color="auto" w:fill="auto"/>
            <w:noWrap/>
            <w:hideMark/>
          </w:tcPr>
          <w:p w:rsidR="004F60D3" w:rsidRPr="00B53423" w:rsidRDefault="004F60D3" w:rsidP="0015232B">
            <w:pPr>
              <w:pStyle w:val="NoSpacing"/>
              <w:rPr>
                <w:rFonts w:asciiTheme="minorHAnsi" w:hAnsiTheme="minorHAnsi" w:cstheme="minorHAnsi"/>
                <w:b/>
                <w:lang w:eastAsia="en-IN"/>
              </w:rPr>
            </w:pPr>
            <w:r w:rsidRPr="00B53423">
              <w:rPr>
                <w:rFonts w:asciiTheme="minorHAnsi" w:hAnsiTheme="minorHAnsi" w:cstheme="minorHAnsi"/>
                <w:b/>
                <w:lang w:eastAsia="en-IN"/>
              </w:rPr>
              <w:t>GRAND TOTAL</w:t>
            </w:r>
          </w:p>
        </w:tc>
        <w:tc>
          <w:tcPr>
            <w:tcW w:w="510" w:type="pct"/>
            <w:shd w:val="clear" w:color="auto" w:fill="auto"/>
            <w:noWrap/>
            <w:vAlign w:val="center"/>
            <w:hideMark/>
          </w:tcPr>
          <w:p w:rsidR="004F60D3" w:rsidRPr="00B53423" w:rsidRDefault="004F60D3" w:rsidP="0015232B">
            <w:pPr>
              <w:pStyle w:val="NoSpacing"/>
              <w:jc w:val="right"/>
              <w:rPr>
                <w:rFonts w:asciiTheme="minorHAnsi" w:hAnsiTheme="minorHAnsi" w:cstheme="minorHAnsi"/>
                <w:b/>
              </w:rPr>
            </w:pPr>
            <w:r w:rsidRPr="00B53423">
              <w:rPr>
                <w:rFonts w:asciiTheme="minorHAnsi" w:hAnsiTheme="minorHAnsi" w:cstheme="minorHAnsi"/>
                <w:b/>
              </w:rPr>
              <w:t>540704</w:t>
            </w:r>
          </w:p>
        </w:tc>
        <w:tc>
          <w:tcPr>
            <w:tcW w:w="509" w:type="pct"/>
            <w:shd w:val="clear" w:color="auto" w:fill="auto"/>
            <w:noWrap/>
            <w:vAlign w:val="center"/>
            <w:hideMark/>
          </w:tcPr>
          <w:p w:rsidR="004F60D3" w:rsidRPr="00B53423" w:rsidRDefault="004F60D3" w:rsidP="0015232B">
            <w:pPr>
              <w:pStyle w:val="NoSpacing"/>
              <w:jc w:val="right"/>
              <w:rPr>
                <w:rFonts w:asciiTheme="minorHAnsi" w:hAnsiTheme="minorHAnsi" w:cstheme="minorHAnsi"/>
                <w:b/>
              </w:rPr>
            </w:pPr>
            <w:r w:rsidRPr="00B53423">
              <w:rPr>
                <w:rFonts w:asciiTheme="minorHAnsi" w:hAnsiTheme="minorHAnsi" w:cstheme="minorHAnsi"/>
                <w:b/>
              </w:rPr>
              <w:t>567173</w:t>
            </w:r>
          </w:p>
        </w:tc>
        <w:tc>
          <w:tcPr>
            <w:tcW w:w="509" w:type="pct"/>
            <w:shd w:val="clear" w:color="auto" w:fill="auto"/>
            <w:noWrap/>
            <w:vAlign w:val="center"/>
            <w:hideMark/>
          </w:tcPr>
          <w:p w:rsidR="004F60D3" w:rsidRPr="00B53423" w:rsidRDefault="004F60D3" w:rsidP="0015232B">
            <w:pPr>
              <w:pStyle w:val="NoSpacing"/>
              <w:jc w:val="right"/>
              <w:rPr>
                <w:rFonts w:asciiTheme="minorHAnsi" w:hAnsiTheme="minorHAnsi" w:cstheme="minorHAnsi"/>
                <w:b/>
              </w:rPr>
            </w:pPr>
            <w:r w:rsidRPr="00B53423">
              <w:rPr>
                <w:rFonts w:asciiTheme="minorHAnsi" w:hAnsiTheme="minorHAnsi" w:cstheme="minorHAnsi"/>
                <w:b/>
              </w:rPr>
              <w:t>633833</w:t>
            </w:r>
          </w:p>
        </w:tc>
        <w:tc>
          <w:tcPr>
            <w:tcW w:w="510" w:type="pct"/>
            <w:shd w:val="clear" w:color="auto" w:fill="auto"/>
            <w:noWrap/>
            <w:vAlign w:val="bottom"/>
            <w:hideMark/>
          </w:tcPr>
          <w:p w:rsidR="004F60D3" w:rsidRPr="00B53423" w:rsidRDefault="004F60D3" w:rsidP="0015232B">
            <w:pPr>
              <w:pStyle w:val="NoSpacing"/>
              <w:jc w:val="right"/>
              <w:rPr>
                <w:rFonts w:asciiTheme="minorHAnsi" w:hAnsiTheme="minorHAnsi" w:cstheme="minorHAnsi"/>
                <w:b/>
                <w:lang w:eastAsia="en-IN"/>
              </w:rPr>
            </w:pPr>
          </w:p>
        </w:tc>
        <w:tc>
          <w:tcPr>
            <w:tcW w:w="509" w:type="pct"/>
            <w:shd w:val="clear" w:color="auto" w:fill="auto"/>
            <w:noWrap/>
            <w:vAlign w:val="bottom"/>
            <w:hideMark/>
          </w:tcPr>
          <w:p w:rsidR="00856959" w:rsidRPr="00B53423" w:rsidRDefault="00856959" w:rsidP="0015232B">
            <w:pPr>
              <w:pStyle w:val="NoSpacing"/>
              <w:jc w:val="right"/>
              <w:rPr>
                <w:rFonts w:asciiTheme="minorHAnsi" w:hAnsiTheme="minorHAnsi" w:cstheme="minorHAnsi"/>
                <w:b/>
                <w:lang w:eastAsia="en-IN"/>
              </w:rPr>
            </w:pPr>
          </w:p>
        </w:tc>
        <w:tc>
          <w:tcPr>
            <w:tcW w:w="509" w:type="pct"/>
            <w:shd w:val="clear" w:color="auto" w:fill="auto"/>
            <w:noWrap/>
            <w:vAlign w:val="bottom"/>
            <w:hideMark/>
          </w:tcPr>
          <w:p w:rsidR="004F60D3" w:rsidRPr="00B53423" w:rsidRDefault="004F60D3" w:rsidP="0015232B">
            <w:pPr>
              <w:pStyle w:val="NoSpacing"/>
              <w:jc w:val="right"/>
              <w:rPr>
                <w:rFonts w:asciiTheme="minorHAnsi" w:hAnsiTheme="minorHAnsi" w:cstheme="minorHAnsi"/>
                <w:b/>
                <w:lang w:eastAsia="en-IN"/>
              </w:rPr>
            </w:pPr>
            <w:r w:rsidRPr="00B53423">
              <w:rPr>
                <w:rFonts w:asciiTheme="minorHAnsi" w:hAnsiTheme="minorHAnsi" w:cstheme="minorHAnsi"/>
                <w:b/>
              </w:rPr>
              <w:t>652167</w:t>
            </w:r>
          </w:p>
        </w:tc>
        <w:tc>
          <w:tcPr>
            <w:tcW w:w="509" w:type="pct"/>
          </w:tcPr>
          <w:p w:rsidR="004F60D3" w:rsidRPr="00B53423" w:rsidRDefault="004F60D3" w:rsidP="0015232B">
            <w:pPr>
              <w:pStyle w:val="NoSpacing"/>
              <w:jc w:val="right"/>
              <w:rPr>
                <w:rFonts w:asciiTheme="minorHAnsi" w:hAnsiTheme="minorHAnsi" w:cstheme="minorHAnsi"/>
                <w:b/>
                <w:lang w:val="en-GB"/>
              </w:rPr>
            </w:pPr>
            <w:r w:rsidRPr="00B53423">
              <w:rPr>
                <w:rFonts w:asciiTheme="minorHAnsi" w:hAnsiTheme="minorHAnsi" w:cstheme="minorHAnsi"/>
                <w:b/>
              </w:rPr>
              <w:t>671184</w:t>
            </w:r>
          </w:p>
        </w:tc>
      </w:tr>
    </w:tbl>
    <w:p w:rsidR="00DE37E0" w:rsidRPr="00B53423" w:rsidRDefault="00DE37E0" w:rsidP="0015232B">
      <w:pPr>
        <w:pStyle w:val="Caption"/>
        <w:jc w:val="center"/>
      </w:pPr>
      <w:r w:rsidRPr="00B53423">
        <w:rPr>
          <w:rFonts w:asciiTheme="minorHAnsi" w:hAnsiTheme="minorHAnsi"/>
          <w:b w:val="0"/>
          <w:szCs w:val="24"/>
        </w:rPr>
        <w:br w:type="page"/>
      </w:r>
      <w:bookmarkStart w:id="1013" w:name="_Toc357738758"/>
      <w:bookmarkStart w:id="1014" w:name="_Toc399626448"/>
      <w:r w:rsidR="001F17BF" w:rsidRPr="00B53423">
        <w:t xml:space="preserve">Table </w:t>
      </w:r>
      <w:r w:rsidR="005D68E7" w:rsidRPr="00B53423">
        <w:rPr>
          <w:b w:val="0"/>
        </w:rPr>
        <w:fldChar w:fldCharType="begin"/>
      </w:r>
      <w:r w:rsidR="001F17BF" w:rsidRPr="00B53423">
        <w:instrText xml:space="preserve"> STYLEREF 1 \s </w:instrText>
      </w:r>
      <w:r w:rsidR="005D68E7" w:rsidRPr="00B53423">
        <w:rPr>
          <w:b w:val="0"/>
        </w:rPr>
        <w:fldChar w:fldCharType="separate"/>
      </w:r>
      <w:r w:rsidR="00847C1B">
        <w:rPr>
          <w:noProof/>
        </w:rPr>
        <w:t>15</w:t>
      </w:r>
      <w:r w:rsidR="005D68E7" w:rsidRPr="00B53423">
        <w:rPr>
          <w:b w:val="0"/>
        </w:rPr>
        <w:fldChar w:fldCharType="end"/>
      </w:r>
      <w:r w:rsidR="001F17BF" w:rsidRPr="00B53423">
        <w:noBreakHyphen/>
      </w:r>
      <w:r w:rsidR="005D68E7" w:rsidRPr="00B53423">
        <w:rPr>
          <w:b w:val="0"/>
        </w:rPr>
        <w:fldChar w:fldCharType="begin"/>
      </w:r>
      <w:r w:rsidR="001F17BF" w:rsidRPr="00B53423">
        <w:instrText xml:space="preserve"> SEQ Table \* ARABIC \s 1 </w:instrText>
      </w:r>
      <w:r w:rsidR="005D68E7" w:rsidRPr="00B53423">
        <w:rPr>
          <w:b w:val="0"/>
        </w:rPr>
        <w:fldChar w:fldCharType="separate"/>
      </w:r>
      <w:r w:rsidR="00847C1B">
        <w:rPr>
          <w:noProof/>
        </w:rPr>
        <w:t>2</w:t>
      </w:r>
      <w:r w:rsidR="005D68E7" w:rsidRPr="00B53423">
        <w:rPr>
          <w:b w:val="0"/>
        </w:rPr>
        <w:fldChar w:fldCharType="end"/>
      </w:r>
      <w:r w:rsidR="001F17BF" w:rsidRPr="00B53423">
        <w:t xml:space="preserve">: </w:t>
      </w:r>
      <w:r w:rsidRPr="00B53423">
        <w:t>COMMISSION’S APPROVAL OF CONNECTED LOAD (KW) FOR FY 201</w:t>
      </w:r>
      <w:bookmarkEnd w:id="1013"/>
      <w:r w:rsidR="004B5AB4" w:rsidRPr="00B53423">
        <w:t>4-15</w:t>
      </w:r>
      <w:bookmarkEnd w:id="1014"/>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985"/>
        <w:gridCol w:w="1520"/>
        <w:gridCol w:w="1520"/>
        <w:gridCol w:w="1520"/>
        <w:gridCol w:w="1521"/>
        <w:gridCol w:w="1518"/>
        <w:gridCol w:w="1527"/>
        <w:gridCol w:w="1507"/>
      </w:tblGrid>
      <w:tr w:rsidR="004B5AB4" w:rsidRPr="00B53423" w:rsidTr="004B5AB4">
        <w:trPr>
          <w:trHeight w:val="612"/>
          <w:tblHeader/>
        </w:trPr>
        <w:tc>
          <w:tcPr>
            <w:tcW w:w="1364" w:type="pct"/>
            <w:shd w:val="clear" w:color="000000" w:fill="DCE6F1"/>
            <w:noWrap/>
            <w:vAlign w:val="center"/>
            <w:hideMark/>
          </w:tcPr>
          <w:p w:rsidR="004B5AB4" w:rsidRPr="00B53423" w:rsidRDefault="004B5AB4" w:rsidP="0015232B">
            <w:pPr>
              <w:spacing w:before="0" w:line="240" w:lineRule="auto"/>
              <w:jc w:val="left"/>
              <w:rPr>
                <w:rFonts w:cs="Calibri"/>
                <w:b/>
                <w:bCs/>
                <w:color w:val="000000"/>
                <w:lang w:val="en-IN" w:eastAsia="en-IN"/>
              </w:rPr>
            </w:pPr>
            <w:r w:rsidRPr="00B53423">
              <w:rPr>
                <w:rFonts w:cs="Calibri"/>
                <w:b/>
                <w:bCs/>
                <w:color w:val="000000"/>
                <w:lang w:val="en-IN" w:eastAsia="en-IN"/>
              </w:rPr>
              <w:t>Consumer categories</w:t>
            </w:r>
          </w:p>
        </w:tc>
        <w:tc>
          <w:tcPr>
            <w:tcW w:w="521" w:type="pct"/>
            <w:shd w:val="clear" w:color="000000" w:fill="DCE6F1"/>
            <w:vAlign w:val="center"/>
            <w:hideMark/>
          </w:tcPr>
          <w:p w:rsidR="004B5AB4" w:rsidRPr="00B53423" w:rsidRDefault="004B5AB4" w:rsidP="0015232B">
            <w:pPr>
              <w:spacing w:before="0" w:line="240" w:lineRule="auto"/>
              <w:jc w:val="center"/>
              <w:rPr>
                <w:rFonts w:cs="Calibri"/>
                <w:b/>
                <w:bCs/>
                <w:color w:val="000000"/>
                <w:lang w:val="en-IN" w:eastAsia="en-IN"/>
              </w:rPr>
            </w:pPr>
            <w:r w:rsidRPr="00B53423">
              <w:rPr>
                <w:rFonts w:cs="Calibri"/>
                <w:b/>
                <w:bCs/>
                <w:color w:val="000000"/>
                <w:lang w:val="en-IN" w:eastAsia="en-IN"/>
              </w:rPr>
              <w:t>FY 10-11</w:t>
            </w:r>
          </w:p>
        </w:tc>
        <w:tc>
          <w:tcPr>
            <w:tcW w:w="521" w:type="pct"/>
            <w:shd w:val="clear" w:color="000000" w:fill="DCE6F1"/>
            <w:vAlign w:val="center"/>
            <w:hideMark/>
          </w:tcPr>
          <w:p w:rsidR="004B5AB4" w:rsidRPr="00B53423" w:rsidRDefault="004B5AB4" w:rsidP="0015232B">
            <w:pPr>
              <w:spacing w:before="0" w:line="240" w:lineRule="auto"/>
              <w:jc w:val="center"/>
              <w:rPr>
                <w:rFonts w:cs="Calibri"/>
                <w:b/>
                <w:bCs/>
                <w:color w:val="000000"/>
                <w:lang w:val="en-IN" w:eastAsia="en-IN"/>
              </w:rPr>
            </w:pPr>
            <w:r w:rsidRPr="00B53423">
              <w:rPr>
                <w:rFonts w:cs="Calibri"/>
                <w:b/>
                <w:bCs/>
                <w:color w:val="000000"/>
                <w:lang w:val="en-IN" w:eastAsia="en-IN"/>
              </w:rPr>
              <w:t>FY 11-12</w:t>
            </w:r>
          </w:p>
        </w:tc>
        <w:tc>
          <w:tcPr>
            <w:tcW w:w="521" w:type="pct"/>
            <w:shd w:val="clear" w:color="000000" w:fill="DCE6F1"/>
            <w:vAlign w:val="center"/>
            <w:hideMark/>
          </w:tcPr>
          <w:p w:rsidR="004B5AB4" w:rsidRPr="00B53423" w:rsidRDefault="004B5AB4" w:rsidP="0015232B">
            <w:pPr>
              <w:spacing w:before="0" w:line="240" w:lineRule="auto"/>
              <w:jc w:val="center"/>
              <w:rPr>
                <w:rFonts w:cs="Calibri"/>
                <w:b/>
                <w:bCs/>
                <w:color w:val="000000"/>
                <w:lang w:val="en-IN" w:eastAsia="en-IN"/>
              </w:rPr>
            </w:pPr>
            <w:r w:rsidRPr="00B53423">
              <w:rPr>
                <w:rFonts w:cs="Calibri"/>
                <w:b/>
                <w:bCs/>
                <w:color w:val="000000"/>
                <w:lang w:val="en-IN" w:eastAsia="en-IN"/>
              </w:rPr>
              <w:t>FY 12-13</w:t>
            </w:r>
          </w:p>
        </w:tc>
        <w:tc>
          <w:tcPr>
            <w:tcW w:w="521" w:type="pct"/>
            <w:shd w:val="clear" w:color="000000" w:fill="DCE6F1"/>
            <w:vAlign w:val="center"/>
            <w:hideMark/>
          </w:tcPr>
          <w:p w:rsidR="004B5AB4" w:rsidRPr="00B53423" w:rsidRDefault="00EB6CB1" w:rsidP="0015232B">
            <w:pPr>
              <w:spacing w:before="0" w:line="240" w:lineRule="auto"/>
              <w:jc w:val="center"/>
              <w:rPr>
                <w:rFonts w:cs="Calibri"/>
                <w:b/>
                <w:bCs/>
                <w:color w:val="000000"/>
                <w:lang w:val="en-IN" w:eastAsia="en-IN"/>
              </w:rPr>
            </w:pPr>
            <w:r w:rsidRPr="00B53423">
              <w:rPr>
                <w:rFonts w:cs="Calibri"/>
                <w:b/>
                <w:bCs/>
                <w:color w:val="000000"/>
                <w:lang w:val="en-IN" w:eastAsia="en-IN"/>
              </w:rPr>
              <w:t>3</w:t>
            </w:r>
            <w:r w:rsidR="004B5AB4" w:rsidRPr="00B53423">
              <w:rPr>
                <w:rFonts w:cs="Calibri"/>
                <w:b/>
                <w:bCs/>
                <w:color w:val="000000"/>
                <w:lang w:val="en-IN" w:eastAsia="en-IN"/>
              </w:rPr>
              <w:t>-yr CAGR</w:t>
            </w:r>
          </w:p>
        </w:tc>
        <w:tc>
          <w:tcPr>
            <w:tcW w:w="520" w:type="pct"/>
            <w:shd w:val="clear" w:color="000000" w:fill="DCE6F1"/>
            <w:vAlign w:val="center"/>
            <w:hideMark/>
          </w:tcPr>
          <w:p w:rsidR="004B5AB4" w:rsidRPr="00B53423" w:rsidRDefault="004B5AB4" w:rsidP="0015232B">
            <w:pPr>
              <w:spacing w:before="0" w:line="240" w:lineRule="auto"/>
              <w:jc w:val="center"/>
              <w:rPr>
                <w:rFonts w:cs="Calibri"/>
                <w:b/>
                <w:bCs/>
                <w:color w:val="000000"/>
                <w:lang w:val="en-IN" w:eastAsia="en-IN"/>
              </w:rPr>
            </w:pPr>
            <w:r w:rsidRPr="00B53423">
              <w:rPr>
                <w:rFonts w:cs="Calibri"/>
                <w:b/>
                <w:bCs/>
                <w:color w:val="000000"/>
                <w:lang w:val="en-IN" w:eastAsia="en-IN"/>
              </w:rPr>
              <w:t>Adopted growth rate</w:t>
            </w:r>
          </w:p>
        </w:tc>
        <w:tc>
          <w:tcPr>
            <w:tcW w:w="516" w:type="pct"/>
            <w:shd w:val="clear" w:color="000000" w:fill="DCE6F1"/>
            <w:vAlign w:val="center"/>
            <w:hideMark/>
          </w:tcPr>
          <w:p w:rsidR="004B5AB4" w:rsidRPr="00B53423" w:rsidRDefault="002B3D6B" w:rsidP="0015232B">
            <w:pPr>
              <w:spacing w:before="0" w:line="240" w:lineRule="auto"/>
              <w:jc w:val="center"/>
              <w:rPr>
                <w:rFonts w:cs="Calibri"/>
                <w:b/>
                <w:bCs/>
                <w:color w:val="000000"/>
                <w:lang w:val="en-IN" w:eastAsia="en-IN"/>
              </w:rPr>
            </w:pPr>
            <w:r w:rsidRPr="00B53423">
              <w:rPr>
                <w:rFonts w:cs="Calibri"/>
                <w:b/>
                <w:bCs/>
                <w:color w:val="000000"/>
                <w:lang w:val="en-IN" w:eastAsia="en-IN"/>
              </w:rPr>
              <w:t>Revised Computation</w:t>
            </w:r>
            <w:r w:rsidR="004B5AB4" w:rsidRPr="00B53423">
              <w:rPr>
                <w:rFonts w:cs="Calibri"/>
                <w:b/>
                <w:bCs/>
                <w:color w:val="000000"/>
                <w:lang w:val="en-IN" w:eastAsia="en-IN"/>
              </w:rPr>
              <w:t xml:space="preserve"> for FY 13-14</w:t>
            </w:r>
          </w:p>
        </w:tc>
        <w:tc>
          <w:tcPr>
            <w:tcW w:w="516" w:type="pct"/>
            <w:shd w:val="clear" w:color="000000" w:fill="DCE6F1"/>
          </w:tcPr>
          <w:p w:rsidR="004B5AB4" w:rsidRPr="00B53423" w:rsidRDefault="004B5AB4" w:rsidP="0015232B">
            <w:pPr>
              <w:spacing w:before="0" w:line="240" w:lineRule="auto"/>
              <w:jc w:val="center"/>
              <w:rPr>
                <w:rFonts w:cs="Calibri"/>
                <w:b/>
                <w:bCs/>
                <w:color w:val="000000"/>
                <w:lang w:val="en-IN" w:eastAsia="en-IN"/>
              </w:rPr>
            </w:pPr>
            <w:r w:rsidRPr="00B53423">
              <w:rPr>
                <w:rFonts w:cs="Calibri"/>
                <w:b/>
                <w:bCs/>
                <w:color w:val="000000"/>
                <w:lang w:val="en-IN" w:eastAsia="en-IN"/>
              </w:rPr>
              <w:t>Approved for FY 14-15</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LMV-1: Domestic</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(unmetered)</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(metered)</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Bulk Load</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17801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17801</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17801</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Other Metered</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976498</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930041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1071954</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1123126</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1176741</w:t>
            </w:r>
          </w:p>
        </w:tc>
      </w:tr>
      <w:tr w:rsidR="00DC1A02" w:rsidRPr="00B53423" w:rsidTr="00782F7D">
        <w:trPr>
          <w:trHeight w:val="300"/>
        </w:trPr>
        <w:tc>
          <w:tcPr>
            <w:tcW w:w="1364" w:type="pct"/>
            <w:shd w:val="clear" w:color="auto" w:fill="auto"/>
            <w:noWrap/>
            <w:hideMark/>
          </w:tcPr>
          <w:p w:rsidR="00DC1A02" w:rsidRPr="00B53423" w:rsidRDefault="00DC1A02" w:rsidP="0015232B">
            <w:pPr>
              <w:pStyle w:val="NoSpacing"/>
              <w:rPr>
                <w:rFonts w:asciiTheme="minorHAnsi" w:hAnsiTheme="minorHAnsi" w:cstheme="minorHAnsi"/>
                <w:lang w:eastAsia="en-IN"/>
              </w:rPr>
            </w:pPr>
            <w:r w:rsidRPr="00B53423">
              <w:rPr>
                <w:rFonts w:asciiTheme="minorHAnsi" w:hAnsiTheme="minorHAnsi" w:cstheme="minorHAnsi"/>
                <w:lang w:eastAsia="en-IN"/>
              </w:rPr>
              <w:t>BPL</w:t>
            </w:r>
          </w:p>
        </w:tc>
        <w:tc>
          <w:tcPr>
            <w:tcW w:w="521" w:type="pct"/>
            <w:shd w:val="clear" w:color="auto" w:fill="auto"/>
            <w:noWrap/>
            <w:vAlign w:val="center"/>
            <w:hideMark/>
          </w:tcPr>
          <w:p w:rsidR="00DC1A02" w:rsidRPr="00B53423" w:rsidRDefault="00DC1A02"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DC1A02" w:rsidRPr="00B53423" w:rsidRDefault="00DC1A02"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90233</w:t>
            </w:r>
          </w:p>
        </w:tc>
        <w:tc>
          <w:tcPr>
            <w:tcW w:w="521" w:type="pct"/>
            <w:shd w:val="clear" w:color="auto" w:fill="auto"/>
            <w:noWrap/>
            <w:vAlign w:val="center"/>
            <w:hideMark/>
          </w:tcPr>
          <w:p w:rsidR="00DC1A02" w:rsidRPr="00B53423" w:rsidRDefault="00DC1A02"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55384</w:t>
            </w:r>
          </w:p>
        </w:tc>
        <w:tc>
          <w:tcPr>
            <w:tcW w:w="521" w:type="pct"/>
            <w:shd w:val="clear" w:color="auto" w:fill="auto"/>
            <w:noWrap/>
            <w:vAlign w:val="bottom"/>
            <w:hideMark/>
          </w:tcPr>
          <w:p w:rsidR="00DC1A02"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bottom"/>
            <w:hideMark/>
          </w:tcPr>
          <w:p w:rsidR="00DC1A02" w:rsidRPr="00B53423" w:rsidRDefault="00DC1A02"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bottom"/>
            <w:hideMark/>
          </w:tcPr>
          <w:p w:rsidR="00DC1A02" w:rsidRPr="00B53423" w:rsidRDefault="00DC1A02"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53834</w:t>
            </w:r>
          </w:p>
        </w:tc>
        <w:tc>
          <w:tcPr>
            <w:tcW w:w="516" w:type="pct"/>
          </w:tcPr>
          <w:p w:rsidR="00DC1A02" w:rsidRPr="00B53423" w:rsidRDefault="00DC1A02"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53834</w:t>
            </w:r>
          </w:p>
        </w:tc>
      </w:tr>
      <w:tr w:rsidR="00DC1A02" w:rsidRPr="00B53423" w:rsidTr="00782F7D">
        <w:trPr>
          <w:trHeight w:val="300"/>
        </w:trPr>
        <w:tc>
          <w:tcPr>
            <w:tcW w:w="1364" w:type="pct"/>
            <w:shd w:val="clear" w:color="auto" w:fill="auto"/>
            <w:noWrap/>
            <w:hideMark/>
          </w:tcPr>
          <w:p w:rsidR="00DC1A02" w:rsidRPr="00B53423" w:rsidRDefault="00DC1A02"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(LMV-1)</w:t>
            </w:r>
          </w:p>
        </w:tc>
        <w:tc>
          <w:tcPr>
            <w:tcW w:w="521" w:type="pct"/>
            <w:shd w:val="clear" w:color="auto" w:fill="auto"/>
            <w:noWrap/>
            <w:vAlign w:val="center"/>
            <w:hideMark/>
          </w:tcPr>
          <w:p w:rsidR="00DC1A02" w:rsidRPr="00B53423" w:rsidRDefault="00DC1A02"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976498</w:t>
            </w:r>
          </w:p>
        </w:tc>
        <w:tc>
          <w:tcPr>
            <w:tcW w:w="521" w:type="pct"/>
            <w:shd w:val="clear" w:color="auto" w:fill="auto"/>
            <w:noWrap/>
            <w:vAlign w:val="center"/>
            <w:hideMark/>
          </w:tcPr>
          <w:p w:rsidR="00DC1A02" w:rsidRPr="00B53423" w:rsidRDefault="00DC1A02"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1020274</w:t>
            </w:r>
          </w:p>
        </w:tc>
        <w:tc>
          <w:tcPr>
            <w:tcW w:w="521" w:type="pct"/>
            <w:shd w:val="clear" w:color="auto" w:fill="auto"/>
            <w:noWrap/>
            <w:vAlign w:val="center"/>
            <w:hideMark/>
          </w:tcPr>
          <w:p w:rsidR="00DC1A02" w:rsidRPr="00B53423" w:rsidRDefault="00DC1A02"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1145139</w:t>
            </w:r>
          </w:p>
        </w:tc>
        <w:tc>
          <w:tcPr>
            <w:tcW w:w="521" w:type="pct"/>
            <w:shd w:val="clear" w:color="auto" w:fill="auto"/>
            <w:noWrap/>
            <w:vAlign w:val="bottom"/>
            <w:hideMark/>
          </w:tcPr>
          <w:p w:rsidR="00DC1A02" w:rsidRPr="00B53423" w:rsidRDefault="00DC1A02"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DC1A02" w:rsidRPr="00B53423" w:rsidRDefault="00DC1A02"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DC1A02" w:rsidRPr="00B53423" w:rsidRDefault="00DC1A02"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1194761</w:t>
            </w:r>
          </w:p>
        </w:tc>
        <w:tc>
          <w:tcPr>
            <w:tcW w:w="516" w:type="pct"/>
          </w:tcPr>
          <w:p w:rsidR="00DC1A02" w:rsidRPr="00B53423" w:rsidRDefault="00DC1A02"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1248376</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LMV-2:Non-Domestic</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(unmetered)</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(metered)</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Advertising</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3739</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4295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4298</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4513</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4739</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Other Metered</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227093</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235656</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258282</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275448</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293755</w:t>
            </w:r>
          </w:p>
        </w:tc>
      </w:tr>
      <w:tr w:rsidR="00DC1A02" w:rsidRPr="00B53423" w:rsidTr="00782F7D">
        <w:trPr>
          <w:trHeight w:val="300"/>
        </w:trPr>
        <w:tc>
          <w:tcPr>
            <w:tcW w:w="1364" w:type="pct"/>
            <w:shd w:val="clear" w:color="auto" w:fill="auto"/>
            <w:noWrap/>
            <w:hideMark/>
          </w:tcPr>
          <w:p w:rsidR="00DC1A02" w:rsidRPr="00B53423" w:rsidRDefault="00DC1A02"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(LMV-2)</w:t>
            </w:r>
          </w:p>
        </w:tc>
        <w:tc>
          <w:tcPr>
            <w:tcW w:w="521" w:type="pct"/>
            <w:shd w:val="clear" w:color="auto" w:fill="auto"/>
            <w:noWrap/>
            <w:vAlign w:val="center"/>
            <w:hideMark/>
          </w:tcPr>
          <w:p w:rsidR="00DC1A02" w:rsidRPr="00B53423" w:rsidRDefault="00DC1A02"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230832</w:t>
            </w:r>
          </w:p>
        </w:tc>
        <w:tc>
          <w:tcPr>
            <w:tcW w:w="521" w:type="pct"/>
            <w:shd w:val="clear" w:color="auto" w:fill="auto"/>
            <w:noWrap/>
            <w:vAlign w:val="center"/>
            <w:hideMark/>
          </w:tcPr>
          <w:p w:rsidR="00DC1A02" w:rsidRPr="00B53423" w:rsidRDefault="00DC1A02"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239951</w:t>
            </w:r>
          </w:p>
        </w:tc>
        <w:tc>
          <w:tcPr>
            <w:tcW w:w="521" w:type="pct"/>
            <w:shd w:val="clear" w:color="auto" w:fill="auto"/>
            <w:noWrap/>
            <w:vAlign w:val="center"/>
            <w:hideMark/>
          </w:tcPr>
          <w:p w:rsidR="00DC1A02" w:rsidRPr="00B53423" w:rsidRDefault="00DC1A02"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262580</w:t>
            </w:r>
          </w:p>
        </w:tc>
        <w:tc>
          <w:tcPr>
            <w:tcW w:w="521" w:type="pct"/>
            <w:shd w:val="clear" w:color="auto" w:fill="auto"/>
            <w:noWrap/>
            <w:vAlign w:val="bottom"/>
            <w:hideMark/>
          </w:tcPr>
          <w:p w:rsidR="00DC1A02" w:rsidRPr="00B53423" w:rsidRDefault="00DC1A02"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DC1A02" w:rsidRPr="00B53423" w:rsidRDefault="00DC1A02"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DC1A02" w:rsidRPr="00B53423" w:rsidRDefault="00DC1A02"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279961</w:t>
            </w:r>
          </w:p>
        </w:tc>
        <w:tc>
          <w:tcPr>
            <w:tcW w:w="516" w:type="pct"/>
          </w:tcPr>
          <w:p w:rsidR="00DC1A02" w:rsidRPr="00B53423" w:rsidRDefault="00DC1A02"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298493</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xml:space="preserve">LMV-3: Public Lamps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Unmetered - Gram Panchayat</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Unmetered - Nagar Palika &amp; Panchayat</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Unmetered - Nagar Nigam</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13369</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13768</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13768</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13768</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13768</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Metered - Gram Panchayat</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Metered - Nagar Palika &amp; Panchayat</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Metered - Nagar Nigam</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(LMV-3)</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13369</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13768</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13768</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13768</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13768</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LMV-4: Institutions</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Public</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9012</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7795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10751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9%</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9%</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11743</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12826</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Private</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1580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1829</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1919</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6%</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2034</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2156</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(LMV-4)</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10592</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9624</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12670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13777</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14982</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LMV-5: Private Tube Wells</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(unmetered)</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(metered)</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Urban (metered)</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123</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123</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123</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123</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123</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123</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 6: Small and Medium Power</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Power Loom: Rural</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Power Loom: Urban</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78</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-33%</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35</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35</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Others: Rural</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61688</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61688</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61688</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Others: Urban</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110050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114476</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58773</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-27%</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58773</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58773</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(LMV-6)</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110128</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114476</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120496</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120496</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120496</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xml:space="preserve">LMV-7: Public Water Works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Jal Nigam</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Jal Sansthan</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Other PWWs</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Urban: Jal Nigam</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Urban: Jal Sansthan</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19631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19888</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23600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25876</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28371</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Urban: Other PWWs</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(LMV-7)</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19631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19888</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23600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25876</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28371</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LMV-8: State Tube Wells</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Metered STW</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 xml:space="preserve">0                </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Unmetered STW</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Unmetered Laghu Dal Nahar</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(LMV-8)</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xml:space="preserve">LMV-9: Temporary Supply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Metered: Individual residential</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849</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849</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849</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Metered: Others</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Unmetered: Ceremonies</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Unmetered: Temp shops</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156</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(LMV-9)</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1005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849</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849</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LMV-10: Departmental Employees</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Class IV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374</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374</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374</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374</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Class III</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295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295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295</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295</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Junior Engineers</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30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Assistant Engineers</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71</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71</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Executive Engineers</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75</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75</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Deputy General Manager</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20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CGM/GM</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Pensioners</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983</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983</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-97%</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983</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983</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(LMV-10)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1853</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1853</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1853</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1853</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HV-1: Non-Industrial Bulk Loads</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Urban: 11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45947</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45947</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45947</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Urban: Above 11 kV &amp; up to 66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5105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5105</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5105</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Urban: Above 66 kV &amp; up to 132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41935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53411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-100%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Urban: Above 132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At 11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Above 11 kV &amp; up to 66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(HV-1)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41935</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53411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51052</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51052</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51052</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HV-2: Large and Heavy Power</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Urban: 11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122975</w:t>
            </w:r>
          </w:p>
        </w:tc>
        <w:tc>
          <w:tcPr>
            <w:tcW w:w="521" w:type="pct"/>
            <w:shd w:val="clear" w:color="auto" w:fill="auto"/>
            <w:noWrap/>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bottom"/>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w:t>
            </w:r>
          </w:p>
        </w:tc>
        <w:tc>
          <w:tcPr>
            <w:tcW w:w="516" w:type="pct"/>
            <w:shd w:val="clear" w:color="auto" w:fill="auto"/>
            <w:noWrap/>
            <w:vAlign w:val="bottom"/>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124205</w:t>
            </w:r>
          </w:p>
        </w:tc>
        <w:tc>
          <w:tcPr>
            <w:tcW w:w="516" w:type="pct"/>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125447</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Urban: Above 11 kV &amp; up to 66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14300</w:t>
            </w:r>
          </w:p>
        </w:tc>
        <w:tc>
          <w:tcPr>
            <w:tcW w:w="521" w:type="pct"/>
            <w:shd w:val="clear" w:color="auto" w:fill="auto"/>
            <w:noWrap/>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bottom"/>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w:t>
            </w:r>
          </w:p>
        </w:tc>
        <w:tc>
          <w:tcPr>
            <w:tcW w:w="516" w:type="pct"/>
            <w:shd w:val="clear" w:color="auto" w:fill="auto"/>
            <w:noWrap/>
            <w:vAlign w:val="bottom"/>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14443</w:t>
            </w:r>
          </w:p>
        </w:tc>
        <w:tc>
          <w:tcPr>
            <w:tcW w:w="516" w:type="pct"/>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14587</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Urban: Above 66 kV &amp; up to 132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175864</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159071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66623</w:t>
            </w:r>
          </w:p>
        </w:tc>
        <w:tc>
          <w:tcPr>
            <w:tcW w:w="521" w:type="pct"/>
            <w:shd w:val="clear" w:color="auto" w:fill="auto"/>
            <w:noWrap/>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bottom"/>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w:t>
            </w:r>
          </w:p>
        </w:tc>
        <w:tc>
          <w:tcPr>
            <w:tcW w:w="516" w:type="pct"/>
            <w:shd w:val="clear" w:color="auto" w:fill="auto"/>
            <w:noWrap/>
            <w:vAlign w:val="bottom"/>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67289</w:t>
            </w:r>
          </w:p>
        </w:tc>
        <w:tc>
          <w:tcPr>
            <w:tcW w:w="516" w:type="pct"/>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67962</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Urban: Above 132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bottom"/>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w:t>
            </w:r>
          </w:p>
        </w:tc>
        <w:tc>
          <w:tcPr>
            <w:tcW w:w="516" w:type="pct"/>
            <w:shd w:val="clear" w:color="auto" w:fill="auto"/>
            <w:noWrap/>
            <w:vAlign w:val="bottom"/>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At 11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Rural: Above 11 kV &amp; up to 66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1%</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(HV-2)</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175864</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159071</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203898</w:t>
            </w:r>
          </w:p>
        </w:tc>
        <w:tc>
          <w:tcPr>
            <w:tcW w:w="521" w:type="pct"/>
            <w:shd w:val="clear" w:color="auto" w:fill="auto"/>
            <w:noWrap/>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205937</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207996</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HV-3: Railway Traction</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At 132 kV and above</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Below 132 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Metro traction</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(HV-3)</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HV-4: Lift Irrigation</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At 11kV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Above 11kV &amp; up to 66kV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Above 66 kV &amp; up to 132kV</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(HV-4)</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Bulk &amp; Extra State</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Extra state &amp; others</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lang w:eastAsia="en-IN"/>
              </w:rPr>
            </w:pPr>
            <w:r w:rsidRPr="00B53423">
              <w:rPr>
                <w:rFonts w:asciiTheme="minorHAnsi" w:hAnsiTheme="minorHAnsi" w:cstheme="minorHAnsi"/>
                <w:lang w:eastAsia="en-IN"/>
              </w:rPr>
              <w:t>Bulk supply – Others</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lang w:eastAsia="en-IN"/>
              </w:rPr>
            </w:pPr>
            <w:r w:rsidRPr="00B53423">
              <w:rPr>
                <w:rFonts w:asciiTheme="minorHAnsi" w:hAnsiTheme="minorHAnsi" w:cstheme="minorHAnsi"/>
                <w:lang w:eastAsia="en-IN"/>
              </w:rPr>
              <w:t>0</w:t>
            </w:r>
          </w:p>
        </w:tc>
      </w:tr>
      <w:tr w:rsidR="00F076B5" w:rsidRPr="00B53423" w:rsidTr="00F8598E">
        <w:trPr>
          <w:trHeight w:val="300"/>
        </w:trPr>
        <w:tc>
          <w:tcPr>
            <w:tcW w:w="1364" w:type="pct"/>
            <w:shd w:val="clear" w:color="auto" w:fill="auto"/>
            <w:noWrap/>
            <w:hideMark/>
          </w:tcPr>
          <w:p w:rsidR="00F076B5" w:rsidRPr="00B53423" w:rsidRDefault="00F076B5" w:rsidP="0015232B">
            <w:pPr>
              <w:pStyle w:val="NoSpacing"/>
              <w:rPr>
                <w:rFonts w:asciiTheme="minorHAnsi" w:hAnsiTheme="minorHAnsi" w:cstheme="minorHAnsi"/>
                <w:b/>
                <w:lang w:eastAsia="en-IN"/>
              </w:rPr>
            </w:pPr>
            <w:r w:rsidRPr="00B53423">
              <w:rPr>
                <w:rFonts w:asciiTheme="minorHAnsi" w:hAnsiTheme="minorHAnsi" w:cstheme="minorHAnsi"/>
                <w:b/>
                <w:lang w:eastAsia="en-IN"/>
              </w:rPr>
              <w:t>SUBTOTAL (Bulk &amp; Extra State)</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21"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20"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p>
        </w:tc>
        <w:tc>
          <w:tcPr>
            <w:tcW w:w="516" w:type="pct"/>
            <w:shd w:val="clear" w:color="auto" w:fill="auto"/>
            <w:noWrap/>
            <w:vAlign w:val="center"/>
            <w:hideMark/>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c>
          <w:tcPr>
            <w:tcW w:w="516" w:type="pct"/>
            <w:vAlign w:val="center"/>
          </w:tcPr>
          <w:p w:rsidR="00F076B5" w:rsidRPr="00B53423" w:rsidRDefault="00F076B5"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0</w:t>
            </w:r>
          </w:p>
        </w:tc>
      </w:tr>
      <w:tr w:rsidR="004B5AB4" w:rsidRPr="00B53423" w:rsidTr="004B5AB4">
        <w:trPr>
          <w:trHeight w:val="300"/>
        </w:trPr>
        <w:tc>
          <w:tcPr>
            <w:tcW w:w="1364" w:type="pct"/>
            <w:shd w:val="clear" w:color="auto" w:fill="auto"/>
            <w:noWrap/>
            <w:hideMark/>
          </w:tcPr>
          <w:p w:rsidR="004B5AB4" w:rsidRPr="00B53423" w:rsidRDefault="004B5AB4" w:rsidP="0015232B">
            <w:pPr>
              <w:pStyle w:val="NoSpacing"/>
              <w:rPr>
                <w:rFonts w:asciiTheme="minorHAnsi" w:hAnsiTheme="minorHAnsi" w:cstheme="minorHAnsi"/>
                <w:b/>
                <w:lang w:eastAsia="en-IN"/>
              </w:rPr>
            </w:pPr>
            <w:r w:rsidRPr="00B53423">
              <w:rPr>
                <w:rFonts w:asciiTheme="minorHAnsi" w:hAnsiTheme="minorHAnsi" w:cstheme="minorHAnsi"/>
                <w:b/>
                <w:lang w:eastAsia="en-IN"/>
              </w:rPr>
              <w:t> </w:t>
            </w: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1"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4B5AB4" w:rsidRPr="00B53423" w:rsidRDefault="004B5AB4" w:rsidP="0015232B">
            <w:pPr>
              <w:pStyle w:val="NoSpacing"/>
              <w:jc w:val="center"/>
              <w:rPr>
                <w:rFonts w:asciiTheme="minorHAnsi" w:hAnsiTheme="minorHAnsi" w:cstheme="minorHAnsi"/>
                <w:b/>
                <w:lang w:eastAsia="en-IN"/>
              </w:rPr>
            </w:pPr>
          </w:p>
        </w:tc>
        <w:tc>
          <w:tcPr>
            <w:tcW w:w="516" w:type="pct"/>
          </w:tcPr>
          <w:p w:rsidR="004B5AB4" w:rsidRPr="00B53423" w:rsidRDefault="004B5AB4" w:rsidP="0015232B">
            <w:pPr>
              <w:pStyle w:val="NoSpacing"/>
              <w:jc w:val="center"/>
              <w:rPr>
                <w:rFonts w:asciiTheme="minorHAnsi" w:hAnsiTheme="minorHAnsi" w:cstheme="minorHAnsi"/>
                <w:b/>
                <w:lang w:eastAsia="en-IN"/>
              </w:rPr>
            </w:pPr>
          </w:p>
        </w:tc>
      </w:tr>
      <w:tr w:rsidR="00F5688F" w:rsidRPr="00B53423" w:rsidTr="00F8598E">
        <w:trPr>
          <w:trHeight w:val="300"/>
        </w:trPr>
        <w:tc>
          <w:tcPr>
            <w:tcW w:w="1364" w:type="pct"/>
            <w:shd w:val="clear" w:color="auto" w:fill="auto"/>
            <w:noWrap/>
            <w:hideMark/>
          </w:tcPr>
          <w:p w:rsidR="00F5688F" w:rsidRPr="00B53423" w:rsidRDefault="00F5688F" w:rsidP="0015232B">
            <w:pPr>
              <w:pStyle w:val="NoSpacing"/>
              <w:rPr>
                <w:rFonts w:asciiTheme="minorHAnsi" w:hAnsiTheme="minorHAnsi" w:cstheme="minorHAnsi"/>
                <w:b/>
                <w:lang w:eastAsia="en-IN"/>
              </w:rPr>
            </w:pPr>
            <w:r w:rsidRPr="00B53423">
              <w:rPr>
                <w:rFonts w:asciiTheme="minorHAnsi" w:hAnsiTheme="minorHAnsi" w:cstheme="minorHAnsi"/>
                <w:b/>
                <w:lang w:eastAsia="en-IN"/>
              </w:rPr>
              <w:t>GRAND TOTAL</w:t>
            </w:r>
          </w:p>
        </w:tc>
        <w:tc>
          <w:tcPr>
            <w:tcW w:w="521" w:type="pct"/>
            <w:shd w:val="clear" w:color="auto" w:fill="auto"/>
            <w:noWrap/>
            <w:vAlign w:val="center"/>
            <w:hideMark/>
          </w:tcPr>
          <w:p w:rsidR="00F5688F" w:rsidRPr="00B53423" w:rsidRDefault="00F5688F"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1580702</w:t>
            </w:r>
          </w:p>
        </w:tc>
        <w:tc>
          <w:tcPr>
            <w:tcW w:w="521" w:type="pct"/>
            <w:shd w:val="clear" w:color="auto" w:fill="auto"/>
            <w:noWrap/>
            <w:vAlign w:val="center"/>
            <w:hideMark/>
          </w:tcPr>
          <w:p w:rsidR="00F5688F" w:rsidRPr="00B53423" w:rsidRDefault="00F5688F"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1632316</w:t>
            </w:r>
          </w:p>
        </w:tc>
        <w:tc>
          <w:tcPr>
            <w:tcW w:w="521" w:type="pct"/>
            <w:shd w:val="clear" w:color="auto" w:fill="auto"/>
            <w:noWrap/>
            <w:vAlign w:val="center"/>
            <w:hideMark/>
          </w:tcPr>
          <w:p w:rsidR="00F5688F" w:rsidRPr="00B53423" w:rsidRDefault="00F5688F"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1834332</w:t>
            </w:r>
          </w:p>
        </w:tc>
        <w:tc>
          <w:tcPr>
            <w:tcW w:w="521" w:type="pct"/>
            <w:shd w:val="clear" w:color="auto" w:fill="auto"/>
            <w:noWrap/>
            <w:vAlign w:val="bottom"/>
            <w:hideMark/>
          </w:tcPr>
          <w:p w:rsidR="00F5688F" w:rsidRPr="00B53423" w:rsidRDefault="00F5688F" w:rsidP="0015232B">
            <w:pPr>
              <w:pStyle w:val="NoSpacing"/>
              <w:jc w:val="center"/>
              <w:rPr>
                <w:rFonts w:asciiTheme="minorHAnsi" w:hAnsiTheme="minorHAnsi" w:cstheme="minorHAnsi"/>
                <w:b/>
                <w:lang w:eastAsia="en-IN"/>
              </w:rPr>
            </w:pPr>
          </w:p>
        </w:tc>
        <w:tc>
          <w:tcPr>
            <w:tcW w:w="520" w:type="pct"/>
            <w:shd w:val="clear" w:color="auto" w:fill="auto"/>
            <w:noWrap/>
            <w:vAlign w:val="bottom"/>
            <w:hideMark/>
          </w:tcPr>
          <w:p w:rsidR="00F5688F" w:rsidRPr="00B53423" w:rsidRDefault="00F5688F" w:rsidP="0015232B">
            <w:pPr>
              <w:pStyle w:val="NoSpacing"/>
              <w:jc w:val="center"/>
              <w:rPr>
                <w:rFonts w:asciiTheme="minorHAnsi" w:hAnsiTheme="minorHAnsi" w:cstheme="minorHAnsi"/>
                <w:b/>
                <w:lang w:eastAsia="en-IN"/>
              </w:rPr>
            </w:pPr>
          </w:p>
        </w:tc>
        <w:tc>
          <w:tcPr>
            <w:tcW w:w="516" w:type="pct"/>
            <w:shd w:val="clear" w:color="auto" w:fill="auto"/>
            <w:noWrap/>
            <w:vAlign w:val="bottom"/>
            <w:hideMark/>
          </w:tcPr>
          <w:p w:rsidR="00F5688F" w:rsidRPr="00B53423" w:rsidRDefault="00F5688F"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1908453</w:t>
            </w:r>
          </w:p>
        </w:tc>
        <w:tc>
          <w:tcPr>
            <w:tcW w:w="516" w:type="pct"/>
          </w:tcPr>
          <w:p w:rsidR="00F5688F" w:rsidRPr="00B53423" w:rsidRDefault="00F5688F" w:rsidP="0015232B">
            <w:pPr>
              <w:pStyle w:val="NoSpacing"/>
              <w:jc w:val="center"/>
              <w:rPr>
                <w:rFonts w:asciiTheme="minorHAnsi" w:hAnsiTheme="minorHAnsi" w:cstheme="minorHAnsi"/>
                <w:b/>
                <w:lang w:eastAsia="en-IN"/>
              </w:rPr>
            </w:pPr>
            <w:r w:rsidRPr="00B53423">
              <w:rPr>
                <w:rFonts w:asciiTheme="minorHAnsi" w:hAnsiTheme="minorHAnsi" w:cstheme="minorHAnsi"/>
                <w:b/>
                <w:lang w:eastAsia="en-IN"/>
              </w:rPr>
              <w:t>1986360</w:t>
            </w:r>
          </w:p>
        </w:tc>
      </w:tr>
    </w:tbl>
    <w:p w:rsidR="00DE37E0" w:rsidRPr="00B53423" w:rsidRDefault="00DE37E0" w:rsidP="0015232B">
      <w:pPr>
        <w:spacing w:before="0" w:line="240" w:lineRule="auto"/>
        <w:jc w:val="left"/>
        <w:rPr>
          <w:rFonts w:asciiTheme="minorHAnsi" w:hAnsiTheme="minorHAnsi" w:cs="Arial"/>
          <w:b/>
          <w:bCs/>
        </w:rPr>
      </w:pPr>
    </w:p>
    <w:p w:rsidR="00DE37E0" w:rsidRPr="00B53423" w:rsidRDefault="00DE37E0" w:rsidP="0015232B">
      <w:pPr>
        <w:spacing w:before="0" w:line="240" w:lineRule="auto"/>
        <w:jc w:val="left"/>
        <w:rPr>
          <w:rFonts w:asciiTheme="minorHAnsi" w:hAnsiTheme="minorHAnsi" w:cs="Arial"/>
          <w:b/>
          <w:bCs/>
        </w:rPr>
      </w:pPr>
      <w:r w:rsidRPr="00B53423">
        <w:rPr>
          <w:rFonts w:asciiTheme="minorHAnsi" w:hAnsiTheme="minorHAnsi"/>
          <w:b/>
        </w:rPr>
        <w:br w:type="page"/>
      </w:r>
    </w:p>
    <w:p w:rsidR="00DE37E0" w:rsidRPr="00B53423" w:rsidRDefault="00DE37E0" w:rsidP="0015232B">
      <w:pPr>
        <w:pStyle w:val="Caption"/>
        <w:jc w:val="center"/>
        <w:sectPr w:rsidR="00DE37E0" w:rsidRPr="00B53423" w:rsidSect="005D7AFD">
          <w:headerReference w:type="default" r:id="rId28"/>
          <w:footerReference w:type="default" r:id="rId29"/>
          <w:pgSz w:w="16834" w:h="11909" w:orient="landscape" w:code="9"/>
          <w:pgMar w:top="1729" w:right="992" w:bottom="1440" w:left="1440" w:header="1008" w:footer="1008" w:gutter="0"/>
          <w:cols w:space="720"/>
        </w:sectPr>
      </w:pPr>
    </w:p>
    <w:p w:rsidR="00DE37E0" w:rsidRPr="00B53423" w:rsidRDefault="001F17BF" w:rsidP="0015232B">
      <w:pPr>
        <w:pStyle w:val="Caption"/>
        <w:jc w:val="center"/>
      </w:pPr>
      <w:bookmarkStart w:id="1015" w:name="_Toc357738759"/>
      <w:bookmarkStart w:id="1016" w:name="_Toc399626449"/>
      <w:r w:rsidRPr="00B53423">
        <w:t xml:space="preserve">Table </w:t>
      </w:r>
      <w:r w:rsidR="005D68E7" w:rsidRPr="00B53423">
        <w:rPr>
          <w:b w:val="0"/>
        </w:rPr>
        <w:fldChar w:fldCharType="begin"/>
      </w:r>
      <w:r w:rsidRPr="00B53423">
        <w:instrText xml:space="preserve"> STYLEREF 1 \s </w:instrText>
      </w:r>
      <w:r w:rsidR="005D68E7" w:rsidRPr="00B53423">
        <w:rPr>
          <w:b w:val="0"/>
        </w:rPr>
        <w:fldChar w:fldCharType="separate"/>
      </w:r>
      <w:r w:rsidR="00847C1B">
        <w:rPr>
          <w:noProof/>
        </w:rPr>
        <w:t>15</w:t>
      </w:r>
      <w:r w:rsidR="005D68E7" w:rsidRPr="00B53423">
        <w:rPr>
          <w:b w:val="0"/>
        </w:rPr>
        <w:fldChar w:fldCharType="end"/>
      </w:r>
      <w:r w:rsidRPr="00B53423">
        <w:noBreakHyphen/>
      </w:r>
      <w:r w:rsidR="005D68E7" w:rsidRPr="00B53423">
        <w:rPr>
          <w:b w:val="0"/>
        </w:rPr>
        <w:fldChar w:fldCharType="begin"/>
      </w:r>
      <w:r w:rsidRPr="00B53423">
        <w:instrText xml:space="preserve"> SEQ Table \* ARABIC \s 1 </w:instrText>
      </w:r>
      <w:r w:rsidR="005D68E7" w:rsidRPr="00B53423">
        <w:rPr>
          <w:b w:val="0"/>
        </w:rPr>
        <w:fldChar w:fldCharType="separate"/>
      </w:r>
      <w:r w:rsidR="00847C1B">
        <w:rPr>
          <w:noProof/>
        </w:rPr>
        <w:t>3</w:t>
      </w:r>
      <w:r w:rsidR="005D68E7" w:rsidRPr="00B53423">
        <w:rPr>
          <w:b w:val="0"/>
        </w:rPr>
        <w:fldChar w:fldCharType="end"/>
      </w:r>
      <w:r w:rsidRPr="00B53423">
        <w:t xml:space="preserve">: </w:t>
      </w:r>
      <w:r w:rsidR="00DE37E0" w:rsidRPr="00B53423">
        <w:t>COMMISSION’S APPROVAL OF ENERGY SALES (MU) FOR FY 201</w:t>
      </w:r>
      <w:r w:rsidR="002B3D6B" w:rsidRPr="00B53423">
        <w:t>4-15</w:t>
      </w:r>
      <w:bookmarkEnd w:id="1015"/>
      <w:bookmarkEnd w:id="1016"/>
    </w:p>
    <w:tbl>
      <w:tblPr>
        <w:tblW w:w="9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528"/>
        <w:gridCol w:w="990"/>
        <w:gridCol w:w="810"/>
        <w:gridCol w:w="900"/>
        <w:gridCol w:w="1620"/>
        <w:gridCol w:w="1260"/>
      </w:tblGrid>
      <w:tr w:rsidR="00E5595A" w:rsidRPr="00B53423" w:rsidTr="002B3D6B">
        <w:trPr>
          <w:trHeight w:val="701"/>
          <w:tblHeader/>
        </w:trPr>
        <w:tc>
          <w:tcPr>
            <w:tcW w:w="3528" w:type="dxa"/>
            <w:shd w:val="clear" w:color="000000" w:fill="DCE6F1"/>
            <w:noWrap/>
            <w:vAlign w:val="center"/>
            <w:hideMark/>
          </w:tcPr>
          <w:p w:rsidR="00E5595A" w:rsidRPr="00B53423" w:rsidRDefault="00E5595A" w:rsidP="0015232B">
            <w:pPr>
              <w:spacing w:before="0" w:line="240" w:lineRule="auto"/>
              <w:jc w:val="center"/>
              <w:rPr>
                <w:rFonts w:cs="Calibri"/>
                <w:b/>
                <w:bCs/>
                <w:lang w:val="en-US"/>
              </w:rPr>
            </w:pPr>
            <w:r w:rsidRPr="00B53423">
              <w:rPr>
                <w:rFonts w:cs="Calibri"/>
                <w:b/>
                <w:bCs/>
                <w:lang w:val="en-US"/>
              </w:rPr>
              <w:t>Consumer categories</w:t>
            </w:r>
          </w:p>
        </w:tc>
        <w:tc>
          <w:tcPr>
            <w:tcW w:w="990" w:type="dxa"/>
            <w:shd w:val="clear" w:color="000000" w:fill="DCE6F1"/>
            <w:vAlign w:val="center"/>
            <w:hideMark/>
          </w:tcPr>
          <w:p w:rsidR="00E5595A" w:rsidRPr="00B53423" w:rsidRDefault="00E5595A" w:rsidP="0015232B">
            <w:pPr>
              <w:spacing w:before="0" w:line="240" w:lineRule="auto"/>
              <w:jc w:val="center"/>
              <w:rPr>
                <w:rFonts w:cs="Calibri"/>
                <w:b/>
                <w:bCs/>
                <w:lang w:val="en-US"/>
              </w:rPr>
            </w:pPr>
            <w:r w:rsidRPr="00B53423">
              <w:rPr>
                <w:rFonts w:cs="Calibri"/>
                <w:b/>
                <w:bCs/>
                <w:lang w:val="en-US"/>
              </w:rPr>
              <w:t xml:space="preserve">FY </w:t>
            </w:r>
          </w:p>
          <w:p w:rsidR="00E5595A" w:rsidRPr="00B53423" w:rsidRDefault="00E5595A" w:rsidP="0015232B">
            <w:pPr>
              <w:spacing w:before="0" w:line="240" w:lineRule="auto"/>
              <w:jc w:val="center"/>
              <w:rPr>
                <w:rFonts w:cs="Calibri"/>
                <w:b/>
                <w:bCs/>
                <w:lang w:val="en-US"/>
              </w:rPr>
            </w:pPr>
            <w:r w:rsidRPr="00B53423">
              <w:rPr>
                <w:rFonts w:cs="Calibri"/>
                <w:b/>
                <w:bCs/>
                <w:lang w:val="en-US"/>
              </w:rPr>
              <w:t>10-11</w:t>
            </w:r>
          </w:p>
        </w:tc>
        <w:tc>
          <w:tcPr>
            <w:tcW w:w="810" w:type="dxa"/>
            <w:shd w:val="clear" w:color="000000" w:fill="DCE6F1"/>
            <w:vAlign w:val="center"/>
            <w:hideMark/>
          </w:tcPr>
          <w:p w:rsidR="00E5595A" w:rsidRPr="00B53423" w:rsidRDefault="00E5595A" w:rsidP="0015232B">
            <w:pPr>
              <w:spacing w:before="0" w:line="240" w:lineRule="auto"/>
              <w:jc w:val="center"/>
              <w:rPr>
                <w:rFonts w:cs="Calibri"/>
                <w:b/>
                <w:bCs/>
                <w:lang w:val="en-US"/>
              </w:rPr>
            </w:pPr>
            <w:r w:rsidRPr="00B53423">
              <w:rPr>
                <w:rFonts w:cs="Calibri"/>
                <w:b/>
                <w:bCs/>
                <w:lang w:val="en-US"/>
              </w:rPr>
              <w:t xml:space="preserve">FY </w:t>
            </w:r>
          </w:p>
          <w:p w:rsidR="00E5595A" w:rsidRPr="00B53423" w:rsidRDefault="00E5595A" w:rsidP="0015232B">
            <w:pPr>
              <w:spacing w:before="0" w:line="240" w:lineRule="auto"/>
              <w:jc w:val="center"/>
              <w:rPr>
                <w:rFonts w:cs="Calibri"/>
                <w:b/>
                <w:bCs/>
                <w:lang w:val="en-US"/>
              </w:rPr>
            </w:pPr>
            <w:r w:rsidRPr="00B53423">
              <w:rPr>
                <w:rFonts w:cs="Calibri"/>
                <w:b/>
                <w:bCs/>
                <w:lang w:val="en-US"/>
              </w:rPr>
              <w:t>11-12</w:t>
            </w:r>
          </w:p>
        </w:tc>
        <w:tc>
          <w:tcPr>
            <w:tcW w:w="900" w:type="dxa"/>
            <w:shd w:val="clear" w:color="000000" w:fill="DCE6F1"/>
            <w:vAlign w:val="center"/>
            <w:hideMark/>
          </w:tcPr>
          <w:p w:rsidR="00E5595A" w:rsidRPr="00B53423" w:rsidRDefault="00E5595A" w:rsidP="0015232B">
            <w:pPr>
              <w:spacing w:before="0" w:line="240" w:lineRule="auto"/>
              <w:jc w:val="center"/>
              <w:rPr>
                <w:rFonts w:cs="Calibri"/>
                <w:b/>
                <w:bCs/>
                <w:lang w:val="en-US"/>
              </w:rPr>
            </w:pPr>
            <w:r w:rsidRPr="00B53423">
              <w:rPr>
                <w:rFonts w:cs="Calibri"/>
                <w:b/>
                <w:bCs/>
                <w:lang w:val="en-US"/>
              </w:rPr>
              <w:t xml:space="preserve">FY </w:t>
            </w:r>
          </w:p>
          <w:p w:rsidR="00E5595A" w:rsidRPr="00B53423" w:rsidRDefault="00E5595A" w:rsidP="0015232B">
            <w:pPr>
              <w:spacing w:before="0" w:line="240" w:lineRule="auto"/>
              <w:jc w:val="center"/>
              <w:rPr>
                <w:rFonts w:cs="Calibri"/>
                <w:b/>
                <w:bCs/>
                <w:lang w:val="en-US"/>
              </w:rPr>
            </w:pPr>
            <w:r w:rsidRPr="00B53423">
              <w:rPr>
                <w:rFonts w:cs="Calibri"/>
                <w:b/>
                <w:bCs/>
                <w:lang w:val="en-US"/>
              </w:rPr>
              <w:t>12-13</w:t>
            </w:r>
          </w:p>
        </w:tc>
        <w:tc>
          <w:tcPr>
            <w:tcW w:w="1620" w:type="dxa"/>
            <w:shd w:val="clear" w:color="000000" w:fill="DCE6F1"/>
            <w:vAlign w:val="center"/>
            <w:hideMark/>
          </w:tcPr>
          <w:p w:rsidR="00E5595A" w:rsidRPr="00B53423" w:rsidRDefault="002B3D6B" w:rsidP="0015232B">
            <w:pPr>
              <w:spacing w:before="0" w:line="240" w:lineRule="auto"/>
              <w:jc w:val="center"/>
              <w:rPr>
                <w:rFonts w:cs="Calibri"/>
                <w:b/>
                <w:bCs/>
                <w:lang w:val="en-US"/>
              </w:rPr>
            </w:pPr>
            <w:r w:rsidRPr="00B53423">
              <w:rPr>
                <w:rFonts w:cs="Calibri"/>
                <w:b/>
                <w:bCs/>
                <w:lang w:val="en-US"/>
              </w:rPr>
              <w:t xml:space="preserve">Revised Computation </w:t>
            </w:r>
            <w:r w:rsidR="00E5595A" w:rsidRPr="00B53423">
              <w:rPr>
                <w:rFonts w:cs="Calibri"/>
                <w:b/>
                <w:bCs/>
                <w:lang w:val="en-US"/>
              </w:rPr>
              <w:t xml:space="preserve">for </w:t>
            </w:r>
          </w:p>
          <w:p w:rsidR="00E5595A" w:rsidRPr="00B53423" w:rsidRDefault="00E5595A" w:rsidP="0015232B">
            <w:pPr>
              <w:spacing w:before="0" w:line="240" w:lineRule="auto"/>
              <w:jc w:val="center"/>
              <w:rPr>
                <w:rFonts w:cs="Calibri"/>
                <w:b/>
                <w:bCs/>
                <w:lang w:val="en-US"/>
              </w:rPr>
            </w:pPr>
            <w:r w:rsidRPr="00B53423">
              <w:rPr>
                <w:rFonts w:cs="Calibri"/>
                <w:b/>
                <w:bCs/>
                <w:lang w:val="en-US"/>
              </w:rPr>
              <w:t>FY 13-14</w:t>
            </w:r>
          </w:p>
        </w:tc>
        <w:tc>
          <w:tcPr>
            <w:tcW w:w="1260" w:type="dxa"/>
            <w:shd w:val="clear" w:color="000000" w:fill="DCE6F1"/>
          </w:tcPr>
          <w:p w:rsidR="00E5595A" w:rsidRPr="00B53423" w:rsidRDefault="00E5595A" w:rsidP="0015232B">
            <w:pPr>
              <w:spacing w:before="0" w:line="240" w:lineRule="auto"/>
              <w:jc w:val="center"/>
              <w:rPr>
                <w:rFonts w:cs="Calibri"/>
                <w:b/>
                <w:bCs/>
                <w:lang w:val="en-US"/>
              </w:rPr>
            </w:pPr>
            <w:r w:rsidRPr="00B53423">
              <w:rPr>
                <w:rFonts w:cs="Calibri"/>
                <w:b/>
                <w:bCs/>
                <w:lang w:val="en-US"/>
              </w:rPr>
              <w:t>Approved for FY 2014-15</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LMV-1: Domestic</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F8598E" w:rsidRPr="00B53423" w:rsidTr="002B3D6B">
        <w:trPr>
          <w:trHeight w:val="300"/>
        </w:trPr>
        <w:tc>
          <w:tcPr>
            <w:tcW w:w="3528" w:type="dxa"/>
            <w:shd w:val="clear" w:color="auto" w:fill="auto"/>
            <w:noWrap/>
            <w:hideMark/>
          </w:tcPr>
          <w:p w:rsidR="00F8598E" w:rsidRPr="00B53423" w:rsidRDefault="00F8598E" w:rsidP="0015232B">
            <w:pPr>
              <w:spacing w:before="0" w:line="240" w:lineRule="auto"/>
              <w:jc w:val="left"/>
              <w:rPr>
                <w:rFonts w:cs="Calibri"/>
                <w:bCs/>
                <w:lang w:val="en-US"/>
              </w:rPr>
            </w:pPr>
            <w:r w:rsidRPr="00B53423">
              <w:rPr>
                <w:rFonts w:cs="Calibri"/>
                <w:bCs/>
                <w:lang w:val="en-US"/>
              </w:rPr>
              <w:t>Rural (unmetered)</w:t>
            </w:r>
          </w:p>
        </w:tc>
        <w:tc>
          <w:tcPr>
            <w:tcW w:w="99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F8598E" w:rsidRPr="00B53423" w:rsidRDefault="00F8598E" w:rsidP="0015232B">
            <w:pPr>
              <w:spacing w:before="0" w:line="240" w:lineRule="auto"/>
              <w:jc w:val="center"/>
              <w:rPr>
                <w:rFonts w:cs="Calibri"/>
                <w:bCs/>
                <w:lang w:val="en-US"/>
              </w:rPr>
            </w:pPr>
            <w:r w:rsidRPr="00B53423">
              <w:rPr>
                <w:rFonts w:cs="Calibri"/>
                <w:bCs/>
                <w:lang w:val="en-US"/>
              </w:rPr>
              <w:t>0</w:t>
            </w:r>
          </w:p>
        </w:tc>
      </w:tr>
      <w:tr w:rsidR="00F8598E" w:rsidRPr="00B53423" w:rsidTr="002B3D6B">
        <w:trPr>
          <w:trHeight w:val="300"/>
        </w:trPr>
        <w:tc>
          <w:tcPr>
            <w:tcW w:w="3528" w:type="dxa"/>
            <w:shd w:val="clear" w:color="auto" w:fill="auto"/>
            <w:noWrap/>
            <w:hideMark/>
          </w:tcPr>
          <w:p w:rsidR="00F8598E" w:rsidRPr="00B53423" w:rsidRDefault="00F8598E" w:rsidP="0015232B">
            <w:pPr>
              <w:spacing w:before="0" w:line="240" w:lineRule="auto"/>
              <w:jc w:val="left"/>
              <w:rPr>
                <w:rFonts w:cs="Calibri"/>
                <w:bCs/>
                <w:lang w:val="en-US"/>
              </w:rPr>
            </w:pPr>
            <w:r w:rsidRPr="00B53423">
              <w:rPr>
                <w:rFonts w:cs="Calibri"/>
                <w:bCs/>
                <w:lang w:val="en-US"/>
              </w:rPr>
              <w:t>Rural (metered)</w:t>
            </w:r>
          </w:p>
        </w:tc>
        <w:tc>
          <w:tcPr>
            <w:tcW w:w="99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F8598E" w:rsidRPr="00B53423" w:rsidRDefault="00F8598E" w:rsidP="0015232B">
            <w:pPr>
              <w:spacing w:before="0" w:line="240" w:lineRule="auto"/>
              <w:jc w:val="center"/>
              <w:rPr>
                <w:rFonts w:cs="Calibri"/>
                <w:bCs/>
                <w:lang w:val="en-US"/>
              </w:rPr>
            </w:pPr>
            <w:r w:rsidRPr="00B53423">
              <w:rPr>
                <w:rFonts w:cs="Calibri"/>
                <w:bCs/>
                <w:lang w:val="en-US"/>
              </w:rPr>
              <w:t>0</w:t>
            </w:r>
          </w:p>
        </w:tc>
      </w:tr>
      <w:tr w:rsidR="00F8598E" w:rsidRPr="00B53423" w:rsidTr="002B3D6B">
        <w:trPr>
          <w:trHeight w:val="300"/>
        </w:trPr>
        <w:tc>
          <w:tcPr>
            <w:tcW w:w="3528" w:type="dxa"/>
            <w:shd w:val="clear" w:color="auto" w:fill="auto"/>
            <w:noWrap/>
            <w:hideMark/>
          </w:tcPr>
          <w:p w:rsidR="00F8598E" w:rsidRPr="00B53423" w:rsidRDefault="00F8598E" w:rsidP="0015232B">
            <w:pPr>
              <w:spacing w:before="0" w:line="240" w:lineRule="auto"/>
              <w:jc w:val="left"/>
              <w:rPr>
                <w:rFonts w:cs="Calibri"/>
                <w:bCs/>
                <w:lang w:val="en-US"/>
              </w:rPr>
            </w:pPr>
            <w:r w:rsidRPr="00B53423">
              <w:rPr>
                <w:rFonts w:cs="Calibri"/>
                <w:bCs/>
                <w:lang w:val="en-US"/>
              </w:rPr>
              <w:t>Bulk Load</w:t>
            </w:r>
          </w:p>
        </w:tc>
        <w:tc>
          <w:tcPr>
            <w:tcW w:w="99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38</w:t>
            </w:r>
          </w:p>
        </w:tc>
        <w:tc>
          <w:tcPr>
            <w:tcW w:w="162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38</w:t>
            </w:r>
          </w:p>
        </w:tc>
        <w:tc>
          <w:tcPr>
            <w:tcW w:w="1260" w:type="dxa"/>
            <w:vAlign w:val="center"/>
          </w:tcPr>
          <w:p w:rsidR="00F8598E" w:rsidRPr="00B53423" w:rsidRDefault="00F8598E" w:rsidP="0015232B">
            <w:pPr>
              <w:spacing w:before="0" w:line="240" w:lineRule="auto"/>
              <w:jc w:val="center"/>
              <w:rPr>
                <w:rFonts w:cs="Calibri"/>
                <w:bCs/>
                <w:lang w:val="en-US"/>
              </w:rPr>
            </w:pPr>
            <w:r w:rsidRPr="00B53423">
              <w:rPr>
                <w:rFonts w:cs="Calibri"/>
                <w:bCs/>
                <w:lang w:val="en-US"/>
              </w:rPr>
              <w:t>38</w:t>
            </w:r>
          </w:p>
        </w:tc>
      </w:tr>
      <w:tr w:rsidR="00F8598E" w:rsidRPr="00B53423" w:rsidTr="002B3D6B">
        <w:trPr>
          <w:trHeight w:val="300"/>
        </w:trPr>
        <w:tc>
          <w:tcPr>
            <w:tcW w:w="3528" w:type="dxa"/>
            <w:shd w:val="clear" w:color="auto" w:fill="auto"/>
            <w:noWrap/>
            <w:hideMark/>
          </w:tcPr>
          <w:p w:rsidR="00F8598E" w:rsidRPr="00B53423" w:rsidRDefault="00F8598E" w:rsidP="0015232B">
            <w:pPr>
              <w:spacing w:before="0" w:line="240" w:lineRule="auto"/>
              <w:jc w:val="left"/>
              <w:rPr>
                <w:rFonts w:cs="Calibri"/>
                <w:bCs/>
                <w:lang w:val="en-US"/>
              </w:rPr>
            </w:pPr>
            <w:r w:rsidRPr="00B53423">
              <w:rPr>
                <w:rFonts w:cs="Calibri"/>
                <w:bCs/>
                <w:lang w:val="en-US"/>
              </w:rPr>
              <w:t>Other Metered</w:t>
            </w:r>
          </w:p>
        </w:tc>
        <w:tc>
          <w:tcPr>
            <w:tcW w:w="99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1067</w:t>
            </w:r>
          </w:p>
        </w:tc>
        <w:tc>
          <w:tcPr>
            <w:tcW w:w="81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1148</w:t>
            </w:r>
          </w:p>
        </w:tc>
        <w:tc>
          <w:tcPr>
            <w:tcW w:w="90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877</w:t>
            </w:r>
          </w:p>
        </w:tc>
        <w:tc>
          <w:tcPr>
            <w:tcW w:w="162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948</w:t>
            </w:r>
          </w:p>
        </w:tc>
        <w:tc>
          <w:tcPr>
            <w:tcW w:w="1260" w:type="dxa"/>
            <w:vAlign w:val="center"/>
          </w:tcPr>
          <w:p w:rsidR="00F8598E" w:rsidRPr="00B53423" w:rsidRDefault="00F8598E" w:rsidP="0015232B">
            <w:pPr>
              <w:spacing w:before="0" w:line="240" w:lineRule="auto"/>
              <w:jc w:val="center"/>
              <w:rPr>
                <w:rFonts w:cs="Calibri"/>
                <w:bCs/>
                <w:lang w:val="en-US"/>
              </w:rPr>
            </w:pPr>
            <w:r w:rsidRPr="00B53423">
              <w:rPr>
                <w:rFonts w:cs="Calibri"/>
                <w:bCs/>
                <w:lang w:val="en-US"/>
              </w:rPr>
              <w:t>1026</w:t>
            </w:r>
          </w:p>
        </w:tc>
      </w:tr>
      <w:tr w:rsidR="00F8598E" w:rsidRPr="00B53423" w:rsidTr="002B3D6B">
        <w:trPr>
          <w:trHeight w:val="300"/>
        </w:trPr>
        <w:tc>
          <w:tcPr>
            <w:tcW w:w="3528" w:type="dxa"/>
            <w:shd w:val="clear" w:color="auto" w:fill="auto"/>
            <w:noWrap/>
            <w:hideMark/>
          </w:tcPr>
          <w:p w:rsidR="00F8598E" w:rsidRPr="00B53423" w:rsidRDefault="00F8598E" w:rsidP="0015232B">
            <w:pPr>
              <w:spacing w:before="0" w:line="240" w:lineRule="auto"/>
              <w:jc w:val="left"/>
              <w:rPr>
                <w:rFonts w:cs="Calibri"/>
                <w:bCs/>
                <w:lang w:val="en-US"/>
              </w:rPr>
            </w:pPr>
            <w:r w:rsidRPr="00B53423">
              <w:rPr>
                <w:rFonts w:cs="Calibri"/>
                <w:bCs/>
                <w:lang w:val="en-US"/>
              </w:rPr>
              <w:t>BPL</w:t>
            </w:r>
          </w:p>
        </w:tc>
        <w:tc>
          <w:tcPr>
            <w:tcW w:w="99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4</w:t>
            </w:r>
          </w:p>
        </w:tc>
        <w:tc>
          <w:tcPr>
            <w:tcW w:w="81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12</w:t>
            </w:r>
          </w:p>
        </w:tc>
        <w:tc>
          <w:tcPr>
            <w:tcW w:w="900" w:type="dxa"/>
            <w:shd w:val="clear" w:color="auto" w:fill="auto"/>
            <w:noWrap/>
            <w:vAlign w:val="center"/>
            <w:hideMark/>
          </w:tcPr>
          <w:p w:rsidR="00F8598E" w:rsidRPr="00B53423" w:rsidRDefault="00F8598E" w:rsidP="0015232B">
            <w:pPr>
              <w:spacing w:before="0" w:line="240" w:lineRule="auto"/>
              <w:jc w:val="center"/>
              <w:rPr>
                <w:rFonts w:cs="Calibri"/>
                <w:bCs/>
                <w:lang w:val="en-US"/>
              </w:rPr>
            </w:pPr>
            <w:r w:rsidRPr="00B53423">
              <w:rPr>
                <w:rFonts w:cs="Calibri"/>
                <w:bCs/>
                <w:lang w:val="en-US"/>
              </w:rPr>
              <w:t>64</w:t>
            </w:r>
          </w:p>
        </w:tc>
        <w:tc>
          <w:tcPr>
            <w:tcW w:w="1620" w:type="dxa"/>
            <w:shd w:val="clear" w:color="auto" w:fill="auto"/>
            <w:noWrap/>
            <w:vAlign w:val="bottom"/>
            <w:hideMark/>
          </w:tcPr>
          <w:p w:rsidR="00F8598E" w:rsidRPr="00B53423" w:rsidRDefault="00F8598E" w:rsidP="0015232B">
            <w:pPr>
              <w:spacing w:before="0" w:line="240" w:lineRule="auto"/>
              <w:jc w:val="center"/>
              <w:rPr>
                <w:rFonts w:cs="Calibri"/>
                <w:bCs/>
                <w:lang w:val="en-US"/>
              </w:rPr>
            </w:pPr>
            <w:r w:rsidRPr="00B53423">
              <w:rPr>
                <w:rFonts w:cs="Calibri"/>
                <w:bCs/>
                <w:lang w:val="en-US"/>
              </w:rPr>
              <w:t>69</w:t>
            </w:r>
          </w:p>
        </w:tc>
        <w:tc>
          <w:tcPr>
            <w:tcW w:w="1260" w:type="dxa"/>
          </w:tcPr>
          <w:p w:rsidR="00F8598E" w:rsidRPr="00B53423" w:rsidRDefault="00F8598E" w:rsidP="0015232B">
            <w:pPr>
              <w:spacing w:before="0" w:line="240" w:lineRule="auto"/>
              <w:jc w:val="center"/>
              <w:rPr>
                <w:rFonts w:cs="Calibri"/>
                <w:bCs/>
                <w:lang w:val="en-US"/>
              </w:rPr>
            </w:pPr>
            <w:r w:rsidRPr="00B53423">
              <w:rPr>
                <w:rFonts w:cs="Calibri"/>
                <w:bCs/>
                <w:lang w:val="en-US"/>
              </w:rPr>
              <w:t>75</w:t>
            </w:r>
          </w:p>
        </w:tc>
      </w:tr>
      <w:tr w:rsidR="00DD784E" w:rsidRPr="00B53423" w:rsidTr="002B3D6B">
        <w:trPr>
          <w:trHeight w:val="300"/>
        </w:trPr>
        <w:tc>
          <w:tcPr>
            <w:tcW w:w="3528" w:type="dxa"/>
            <w:shd w:val="clear" w:color="auto" w:fill="auto"/>
            <w:noWrap/>
            <w:hideMark/>
          </w:tcPr>
          <w:p w:rsidR="00DD784E" w:rsidRPr="00B53423" w:rsidRDefault="00DD784E" w:rsidP="0015232B">
            <w:pPr>
              <w:spacing w:before="0" w:line="240" w:lineRule="auto"/>
              <w:jc w:val="left"/>
              <w:rPr>
                <w:rFonts w:cs="Calibri"/>
                <w:b/>
                <w:bCs/>
                <w:lang w:val="en-US"/>
              </w:rPr>
            </w:pPr>
            <w:r w:rsidRPr="00B53423">
              <w:rPr>
                <w:rFonts w:cs="Calibri"/>
                <w:b/>
                <w:bCs/>
                <w:lang w:val="en-US"/>
              </w:rPr>
              <w:t>SUBTOTAL (LMV-1)</w:t>
            </w:r>
          </w:p>
        </w:tc>
        <w:tc>
          <w:tcPr>
            <w:tcW w:w="990" w:type="dxa"/>
            <w:shd w:val="clear" w:color="auto" w:fill="auto"/>
            <w:noWrap/>
            <w:vAlign w:val="center"/>
            <w:hideMark/>
          </w:tcPr>
          <w:p w:rsidR="00DD784E" w:rsidRPr="00B53423" w:rsidRDefault="00DD784E" w:rsidP="0015232B">
            <w:pPr>
              <w:spacing w:before="0" w:line="240" w:lineRule="auto"/>
              <w:jc w:val="center"/>
              <w:rPr>
                <w:rFonts w:cs="Calibri"/>
                <w:b/>
                <w:bCs/>
                <w:lang w:val="en-US"/>
              </w:rPr>
            </w:pPr>
            <w:r w:rsidRPr="00B53423">
              <w:rPr>
                <w:rFonts w:cs="Calibri"/>
                <w:b/>
                <w:bCs/>
                <w:lang w:val="en-US"/>
              </w:rPr>
              <w:t>1071</w:t>
            </w:r>
          </w:p>
        </w:tc>
        <w:tc>
          <w:tcPr>
            <w:tcW w:w="810" w:type="dxa"/>
            <w:shd w:val="clear" w:color="auto" w:fill="auto"/>
            <w:noWrap/>
            <w:vAlign w:val="center"/>
            <w:hideMark/>
          </w:tcPr>
          <w:p w:rsidR="00DD784E" w:rsidRPr="00B53423" w:rsidRDefault="00DD784E" w:rsidP="0015232B">
            <w:pPr>
              <w:spacing w:before="0" w:line="240" w:lineRule="auto"/>
              <w:jc w:val="center"/>
              <w:rPr>
                <w:rFonts w:cs="Calibri"/>
                <w:b/>
                <w:bCs/>
                <w:lang w:val="en-US"/>
              </w:rPr>
            </w:pPr>
            <w:r w:rsidRPr="00B53423">
              <w:rPr>
                <w:rFonts w:cs="Calibri"/>
                <w:b/>
                <w:bCs/>
                <w:lang w:val="en-US"/>
              </w:rPr>
              <w:t>1160</w:t>
            </w:r>
          </w:p>
        </w:tc>
        <w:tc>
          <w:tcPr>
            <w:tcW w:w="900" w:type="dxa"/>
            <w:shd w:val="clear" w:color="auto" w:fill="auto"/>
            <w:noWrap/>
            <w:vAlign w:val="center"/>
            <w:hideMark/>
          </w:tcPr>
          <w:p w:rsidR="00DD784E" w:rsidRPr="00B53423" w:rsidRDefault="00DD784E" w:rsidP="0015232B">
            <w:pPr>
              <w:spacing w:before="0" w:line="240" w:lineRule="auto"/>
              <w:jc w:val="center"/>
              <w:rPr>
                <w:rFonts w:cs="Calibri"/>
                <w:b/>
                <w:bCs/>
                <w:lang w:val="en-US"/>
              </w:rPr>
            </w:pPr>
            <w:r w:rsidRPr="00B53423">
              <w:rPr>
                <w:rFonts w:cs="Calibri"/>
                <w:b/>
                <w:bCs/>
                <w:lang w:val="en-US"/>
              </w:rPr>
              <w:t>979</w:t>
            </w:r>
          </w:p>
        </w:tc>
        <w:tc>
          <w:tcPr>
            <w:tcW w:w="1620" w:type="dxa"/>
            <w:shd w:val="clear" w:color="auto" w:fill="auto"/>
            <w:noWrap/>
            <w:vAlign w:val="bottom"/>
            <w:hideMark/>
          </w:tcPr>
          <w:p w:rsidR="00DD784E" w:rsidRPr="00B53423" w:rsidRDefault="00DD784E" w:rsidP="0015232B">
            <w:pPr>
              <w:spacing w:before="0" w:line="240" w:lineRule="auto"/>
              <w:jc w:val="center"/>
              <w:rPr>
                <w:rFonts w:cs="Calibri"/>
                <w:b/>
                <w:bCs/>
                <w:lang w:val="en-US"/>
              </w:rPr>
            </w:pPr>
            <w:r w:rsidRPr="00B53423">
              <w:rPr>
                <w:rFonts w:cs="Calibri"/>
                <w:b/>
                <w:bCs/>
                <w:lang w:val="en-US"/>
              </w:rPr>
              <w:t>1056</w:t>
            </w:r>
          </w:p>
        </w:tc>
        <w:tc>
          <w:tcPr>
            <w:tcW w:w="1260" w:type="dxa"/>
          </w:tcPr>
          <w:p w:rsidR="00DD784E" w:rsidRPr="00B53423" w:rsidRDefault="00DD784E" w:rsidP="0015232B">
            <w:pPr>
              <w:spacing w:before="0" w:line="240" w:lineRule="auto"/>
              <w:jc w:val="center"/>
              <w:rPr>
                <w:rFonts w:cs="Calibri"/>
                <w:b/>
                <w:bCs/>
                <w:lang w:val="en-US"/>
              </w:rPr>
            </w:pPr>
            <w:r w:rsidRPr="00B53423">
              <w:rPr>
                <w:rFonts w:cs="Calibri"/>
                <w:b/>
                <w:bCs/>
                <w:lang w:val="en-US"/>
              </w:rPr>
              <w:t>1138</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LMV-2:Non-Domestic</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Rural (unmetered)</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Rural (metered)</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Advertising</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18</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3</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3</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3</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3</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Other Metered</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210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256</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258</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286</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316</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SUBTOTAL (LMV-2)</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xml:space="preserve">LMV-3: Public Lamps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Unmetered - Gram Panchayat</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Unmetered - Nagar Palika &amp; Panchayat</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Unmetered - Nagar Nigam</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48</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49</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40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59</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59</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Metered - Gram Panchayat</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Metered - Nagar Palika &amp; Panchayat</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Metered - Nagar Nigam</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
                <w:bCs/>
                <w:lang w:val="en-US"/>
              </w:rPr>
            </w:pPr>
            <w:r w:rsidRPr="00B53423">
              <w:rPr>
                <w:rFonts w:cs="Calibri"/>
                <w:b/>
                <w:bCs/>
                <w:lang w:val="en-US"/>
              </w:rPr>
              <w:t>SUBTOTAL (LMV-3)</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48</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49</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40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59</w:t>
            </w:r>
          </w:p>
        </w:tc>
        <w:tc>
          <w:tcPr>
            <w:tcW w:w="1260" w:type="dxa"/>
            <w:vAlign w:val="center"/>
          </w:tcPr>
          <w:p w:rsidR="00905137" w:rsidRPr="00B53423" w:rsidRDefault="00905137" w:rsidP="0015232B">
            <w:pPr>
              <w:spacing w:before="0" w:line="240" w:lineRule="auto"/>
              <w:jc w:val="center"/>
              <w:rPr>
                <w:rFonts w:cs="Calibri"/>
                <w:b/>
                <w:bCs/>
                <w:lang w:val="en-US"/>
              </w:rPr>
            </w:pPr>
            <w:r w:rsidRPr="00B53423">
              <w:rPr>
                <w:rFonts w:cs="Calibri"/>
                <w:b/>
                <w:bCs/>
                <w:lang w:val="en-US"/>
              </w:rPr>
              <w:t>59</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LMV-4: Institutions</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Public</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38</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27</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31</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36</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Private</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5</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5</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5</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6</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6</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
                <w:bCs/>
                <w:lang w:val="en-US"/>
              </w:rPr>
            </w:pPr>
            <w:r w:rsidRPr="00B53423">
              <w:rPr>
                <w:rFonts w:cs="Calibri"/>
                <w:b/>
                <w:bCs/>
                <w:lang w:val="en-US"/>
              </w:rPr>
              <w:t>SUBTOTAL (LMV-4)</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24</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43</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32</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37</w:t>
            </w:r>
          </w:p>
        </w:tc>
        <w:tc>
          <w:tcPr>
            <w:tcW w:w="1260" w:type="dxa"/>
            <w:vAlign w:val="center"/>
          </w:tcPr>
          <w:p w:rsidR="00905137" w:rsidRPr="00B53423" w:rsidRDefault="00905137" w:rsidP="0015232B">
            <w:pPr>
              <w:spacing w:before="0" w:line="240" w:lineRule="auto"/>
              <w:jc w:val="center"/>
              <w:rPr>
                <w:rFonts w:cs="Calibri"/>
                <w:b/>
                <w:bCs/>
                <w:lang w:val="en-US"/>
              </w:rPr>
            </w:pPr>
            <w:r w:rsidRPr="00B53423">
              <w:rPr>
                <w:rFonts w:cs="Calibri"/>
                <w:b/>
                <w:bCs/>
                <w:lang w:val="en-US"/>
              </w:rPr>
              <w:t>42</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LMV-5: Private Tube Wells</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Rural (unmetered)</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Rural (metered)</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Urban (metered)</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
                <w:bCs/>
                <w:lang w:val="en-US"/>
              </w:rPr>
            </w:pPr>
            <w:r w:rsidRPr="00B53423">
              <w:rPr>
                <w:rFonts w:cs="Calibri"/>
                <w:b/>
                <w:bCs/>
                <w:lang w:val="en-US"/>
              </w:rPr>
              <w:t>SUBTOTAL (LMV-5)</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0</w:t>
            </w:r>
          </w:p>
        </w:tc>
        <w:tc>
          <w:tcPr>
            <w:tcW w:w="1260" w:type="dxa"/>
            <w:vAlign w:val="center"/>
          </w:tcPr>
          <w:p w:rsidR="00905137" w:rsidRPr="00B53423" w:rsidRDefault="00905137" w:rsidP="0015232B">
            <w:pPr>
              <w:spacing w:before="0" w:line="240" w:lineRule="auto"/>
              <w:jc w:val="center"/>
              <w:rPr>
                <w:rFonts w:cs="Calibri"/>
                <w:b/>
                <w:bCs/>
                <w:lang w:val="en-US"/>
              </w:rPr>
            </w:pPr>
            <w:r w:rsidRPr="00B53423">
              <w:rPr>
                <w:rFonts w:cs="Calibri"/>
                <w:b/>
                <w:bCs/>
                <w:lang w:val="en-US"/>
              </w:rPr>
              <w:t>0</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LMV 6: Small and Medium Power</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Power Loom: Rural</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Power Loom: Urban</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3</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3</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3</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Others: Rural</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22</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22</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22</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Others: Urban</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232</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232</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215</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255</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276</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
                <w:bCs/>
                <w:lang w:val="en-US"/>
              </w:rPr>
            </w:pPr>
            <w:r w:rsidRPr="00B53423">
              <w:rPr>
                <w:rFonts w:cs="Calibri"/>
                <w:b/>
                <w:bCs/>
                <w:lang w:val="en-US"/>
              </w:rPr>
              <w:t>SUBTOTAL (LMV-6)</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232</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232</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240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281</w:t>
            </w:r>
          </w:p>
        </w:tc>
        <w:tc>
          <w:tcPr>
            <w:tcW w:w="1260" w:type="dxa"/>
            <w:vAlign w:val="center"/>
          </w:tcPr>
          <w:p w:rsidR="00905137" w:rsidRPr="00B53423" w:rsidRDefault="00905137" w:rsidP="0015232B">
            <w:pPr>
              <w:spacing w:before="0" w:line="240" w:lineRule="auto"/>
              <w:jc w:val="center"/>
              <w:rPr>
                <w:rFonts w:cs="Calibri"/>
                <w:b/>
                <w:bCs/>
                <w:lang w:val="en-US"/>
              </w:rPr>
            </w:pPr>
            <w:r w:rsidRPr="00B53423">
              <w:rPr>
                <w:rFonts w:cs="Calibri"/>
                <w:b/>
                <w:bCs/>
                <w:lang w:val="en-US"/>
              </w:rPr>
              <w:t>301</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xml:space="preserve">LMV-7: Public Water Works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Rural: Jal Nigam</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Rural: Jal Sansthan</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Rural: Other PWWs</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Urban: Jal Nigam</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Urban: Jal Sansthan</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49</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49</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40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41</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42</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Urban: Other PWWs</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
                <w:bCs/>
                <w:lang w:val="en-US"/>
              </w:rPr>
            </w:pPr>
            <w:r w:rsidRPr="00B53423">
              <w:rPr>
                <w:rFonts w:cs="Calibri"/>
                <w:b/>
                <w:bCs/>
                <w:lang w:val="en-US"/>
              </w:rPr>
              <w:t>SUBTOTAL (LMV-7)</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50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49</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40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41</w:t>
            </w:r>
          </w:p>
        </w:tc>
        <w:tc>
          <w:tcPr>
            <w:tcW w:w="1260" w:type="dxa"/>
            <w:vAlign w:val="center"/>
          </w:tcPr>
          <w:p w:rsidR="00905137" w:rsidRPr="00B53423" w:rsidRDefault="00905137" w:rsidP="0015232B">
            <w:pPr>
              <w:spacing w:before="0" w:line="240" w:lineRule="auto"/>
              <w:jc w:val="center"/>
              <w:rPr>
                <w:rFonts w:cs="Calibri"/>
                <w:b/>
                <w:bCs/>
                <w:lang w:val="en-US"/>
              </w:rPr>
            </w:pPr>
            <w:r w:rsidRPr="00B53423">
              <w:rPr>
                <w:rFonts w:cs="Calibri"/>
                <w:b/>
                <w:bCs/>
                <w:lang w:val="en-US"/>
              </w:rPr>
              <w:t>42</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LMV-8: State Tube Wells</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Metered STW</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Unmetered STW</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Unmetered Laghu Dal Nahar</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
                <w:bCs/>
                <w:lang w:val="en-US"/>
              </w:rPr>
            </w:pPr>
            <w:r w:rsidRPr="00B53423">
              <w:rPr>
                <w:rFonts w:cs="Calibri"/>
                <w:b/>
                <w:bCs/>
                <w:lang w:val="en-US"/>
              </w:rPr>
              <w:t>SUBTOTAL (LMV-8)</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0</w:t>
            </w:r>
          </w:p>
        </w:tc>
        <w:tc>
          <w:tcPr>
            <w:tcW w:w="1260" w:type="dxa"/>
            <w:vAlign w:val="center"/>
          </w:tcPr>
          <w:p w:rsidR="00905137" w:rsidRPr="00B53423" w:rsidRDefault="00905137" w:rsidP="0015232B">
            <w:pPr>
              <w:spacing w:before="0" w:line="240" w:lineRule="auto"/>
              <w:jc w:val="center"/>
              <w:rPr>
                <w:rFonts w:cs="Calibri"/>
                <w:b/>
                <w:bCs/>
                <w:lang w:val="en-US"/>
              </w:rPr>
            </w:pPr>
            <w:r w:rsidRPr="00B53423">
              <w:rPr>
                <w:rFonts w:cs="Calibri"/>
                <w:b/>
                <w:bCs/>
                <w:lang w:val="en-US"/>
              </w:rPr>
              <w:t>0</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xml:space="preserve">LMV-9: Temporary Supply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Metered: Individual residential</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Metered: Others</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Unmetered: Ceremonies</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Unmetered: Temp shops</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
                <w:bCs/>
                <w:lang w:val="en-US"/>
              </w:rPr>
            </w:pPr>
            <w:r w:rsidRPr="00B53423">
              <w:rPr>
                <w:rFonts w:cs="Calibri"/>
                <w:b/>
                <w:bCs/>
                <w:lang w:val="en-US"/>
              </w:rPr>
              <w:t>SUBTOTAL (LMV-9)</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1</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1</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1</w:t>
            </w:r>
          </w:p>
        </w:tc>
        <w:tc>
          <w:tcPr>
            <w:tcW w:w="1260" w:type="dxa"/>
            <w:vAlign w:val="center"/>
          </w:tcPr>
          <w:p w:rsidR="00905137" w:rsidRPr="00B53423" w:rsidRDefault="00905137" w:rsidP="0015232B">
            <w:pPr>
              <w:spacing w:before="0" w:line="240" w:lineRule="auto"/>
              <w:jc w:val="center"/>
              <w:rPr>
                <w:rFonts w:cs="Calibri"/>
                <w:b/>
                <w:bCs/>
                <w:lang w:val="en-US"/>
              </w:rPr>
            </w:pPr>
            <w:r w:rsidRPr="00B53423">
              <w:rPr>
                <w:rFonts w:cs="Calibri"/>
                <w:b/>
                <w:bCs/>
                <w:lang w:val="en-US"/>
              </w:rPr>
              <w:t>1</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LMV-10: Departmental Employees</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Class IV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4</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5</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5</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Class III</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3</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3</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3</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Junior Engineers</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Assistant Engineers</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Executive Engineers</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Deputy General Manager</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CGM/GM</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Pensioners</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12</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13</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13</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
                <w:bCs/>
                <w:lang w:val="en-US"/>
              </w:rPr>
            </w:pPr>
            <w:r w:rsidRPr="00B53423">
              <w:rPr>
                <w:rFonts w:cs="Calibri"/>
                <w:b/>
                <w:bCs/>
                <w:lang w:val="en-US"/>
              </w:rPr>
              <w:t>SUBTOTAL (LMV-10)</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1</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1</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22</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23</w:t>
            </w:r>
          </w:p>
        </w:tc>
        <w:tc>
          <w:tcPr>
            <w:tcW w:w="1260" w:type="dxa"/>
            <w:vAlign w:val="center"/>
          </w:tcPr>
          <w:p w:rsidR="00905137" w:rsidRPr="00B53423" w:rsidRDefault="00905137" w:rsidP="0015232B">
            <w:pPr>
              <w:spacing w:before="0" w:line="240" w:lineRule="auto"/>
              <w:jc w:val="center"/>
              <w:rPr>
                <w:rFonts w:cs="Calibri"/>
                <w:b/>
                <w:bCs/>
                <w:lang w:val="en-US"/>
              </w:rPr>
            </w:pPr>
            <w:r w:rsidRPr="00B53423">
              <w:rPr>
                <w:rFonts w:cs="Calibri"/>
                <w:b/>
                <w:bCs/>
                <w:lang w:val="en-US"/>
              </w:rPr>
              <w:t>24</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HV-1: Non-Industrial Bulk Loads</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Urban: 11 kV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17</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107</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107</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107</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Urban: Above 11 kV &amp; up to 66 kV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12</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12</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12</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Urban: Above 66 kV &amp; up to 132 kV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88</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113</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Urban: Above 132 kV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Rural: At 11 kV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Rural: Above 11 kV &amp; up to 66 kV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
                <w:bCs/>
                <w:lang w:val="en-US"/>
              </w:rPr>
            </w:pPr>
            <w:r w:rsidRPr="00B53423">
              <w:rPr>
                <w:rFonts w:cs="Calibri"/>
                <w:b/>
                <w:bCs/>
                <w:lang w:val="en-US"/>
              </w:rPr>
              <w:t>SUBTOTAL (HV-1)</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105</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114</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119</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119</w:t>
            </w:r>
          </w:p>
        </w:tc>
        <w:tc>
          <w:tcPr>
            <w:tcW w:w="1260" w:type="dxa"/>
            <w:vAlign w:val="center"/>
          </w:tcPr>
          <w:p w:rsidR="00905137" w:rsidRPr="00B53423" w:rsidRDefault="00905137" w:rsidP="0015232B">
            <w:pPr>
              <w:spacing w:before="0" w:line="240" w:lineRule="auto"/>
              <w:jc w:val="center"/>
              <w:rPr>
                <w:rFonts w:cs="Calibri"/>
                <w:b/>
                <w:bCs/>
                <w:lang w:val="en-US"/>
              </w:rPr>
            </w:pPr>
            <w:r w:rsidRPr="00B53423">
              <w:rPr>
                <w:rFonts w:cs="Calibri"/>
                <w:b/>
                <w:bCs/>
                <w:lang w:val="en-US"/>
              </w:rPr>
              <w:t>119</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HV-2: Large and Heavy Power</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Urban: 11 kV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4</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276</w:t>
            </w:r>
          </w:p>
        </w:tc>
        <w:tc>
          <w:tcPr>
            <w:tcW w:w="1620" w:type="dxa"/>
            <w:shd w:val="clear" w:color="auto" w:fill="auto"/>
            <w:noWrap/>
            <w:vAlign w:val="bottom"/>
            <w:hideMark/>
          </w:tcPr>
          <w:p w:rsidR="00905137" w:rsidRPr="00B53423" w:rsidRDefault="00905137" w:rsidP="0015232B">
            <w:pPr>
              <w:spacing w:before="0" w:line="240" w:lineRule="auto"/>
              <w:jc w:val="center"/>
              <w:rPr>
                <w:rFonts w:cs="Calibri"/>
                <w:bCs/>
                <w:lang w:val="en-US"/>
              </w:rPr>
            </w:pPr>
            <w:r w:rsidRPr="00B53423">
              <w:rPr>
                <w:rFonts w:cs="Calibri"/>
                <w:bCs/>
                <w:lang w:val="en-US"/>
              </w:rPr>
              <w:t>279</w:t>
            </w:r>
          </w:p>
        </w:tc>
        <w:tc>
          <w:tcPr>
            <w:tcW w:w="1260" w:type="dxa"/>
          </w:tcPr>
          <w:p w:rsidR="00905137" w:rsidRPr="00B53423" w:rsidRDefault="00905137" w:rsidP="0015232B">
            <w:pPr>
              <w:spacing w:before="0" w:line="240" w:lineRule="auto"/>
              <w:jc w:val="center"/>
              <w:rPr>
                <w:rFonts w:cs="Calibri"/>
                <w:bCs/>
                <w:lang w:val="en-US"/>
              </w:rPr>
            </w:pPr>
            <w:r w:rsidRPr="00B53423">
              <w:rPr>
                <w:rFonts w:cs="Calibri"/>
                <w:bCs/>
                <w:lang w:val="en-US"/>
              </w:rPr>
              <w:t>282</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Urban: Above 11 kV &amp; up to 66 kV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34</w:t>
            </w:r>
          </w:p>
        </w:tc>
        <w:tc>
          <w:tcPr>
            <w:tcW w:w="1620" w:type="dxa"/>
            <w:shd w:val="clear" w:color="auto" w:fill="auto"/>
            <w:noWrap/>
            <w:vAlign w:val="bottom"/>
            <w:hideMark/>
          </w:tcPr>
          <w:p w:rsidR="00905137" w:rsidRPr="00B53423" w:rsidRDefault="00905137" w:rsidP="0015232B">
            <w:pPr>
              <w:spacing w:before="0" w:line="240" w:lineRule="auto"/>
              <w:jc w:val="center"/>
              <w:rPr>
                <w:rFonts w:cs="Calibri"/>
                <w:bCs/>
                <w:lang w:val="en-US"/>
              </w:rPr>
            </w:pPr>
            <w:r w:rsidRPr="00B53423">
              <w:rPr>
                <w:rFonts w:cs="Calibri"/>
                <w:bCs/>
                <w:lang w:val="en-US"/>
              </w:rPr>
              <w:t>34</w:t>
            </w:r>
          </w:p>
        </w:tc>
        <w:tc>
          <w:tcPr>
            <w:tcW w:w="1260" w:type="dxa"/>
          </w:tcPr>
          <w:p w:rsidR="00905137" w:rsidRPr="00B53423" w:rsidRDefault="00905137" w:rsidP="0015232B">
            <w:pPr>
              <w:spacing w:before="0" w:line="240" w:lineRule="auto"/>
              <w:jc w:val="center"/>
              <w:rPr>
                <w:rFonts w:cs="Calibri"/>
                <w:bCs/>
                <w:lang w:val="en-US"/>
              </w:rPr>
            </w:pPr>
            <w:r w:rsidRPr="00B53423">
              <w:rPr>
                <w:rFonts w:cs="Calibri"/>
                <w:bCs/>
                <w:lang w:val="en-US"/>
              </w:rPr>
              <w:t>35</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Urban: Above 66 kV &amp; up to 132 kV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364</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389</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109</w:t>
            </w:r>
          </w:p>
        </w:tc>
        <w:tc>
          <w:tcPr>
            <w:tcW w:w="1620" w:type="dxa"/>
            <w:shd w:val="clear" w:color="auto" w:fill="auto"/>
            <w:noWrap/>
            <w:vAlign w:val="bottom"/>
            <w:hideMark/>
          </w:tcPr>
          <w:p w:rsidR="00905137" w:rsidRPr="00B53423" w:rsidRDefault="00905137" w:rsidP="0015232B">
            <w:pPr>
              <w:spacing w:before="0" w:line="240" w:lineRule="auto"/>
              <w:jc w:val="center"/>
              <w:rPr>
                <w:rFonts w:cs="Calibri"/>
                <w:bCs/>
                <w:lang w:val="en-US"/>
              </w:rPr>
            </w:pPr>
            <w:r w:rsidRPr="00B53423">
              <w:rPr>
                <w:rFonts w:cs="Calibri"/>
                <w:bCs/>
                <w:lang w:val="en-US"/>
              </w:rPr>
              <w:t>110</w:t>
            </w:r>
          </w:p>
        </w:tc>
        <w:tc>
          <w:tcPr>
            <w:tcW w:w="1260" w:type="dxa"/>
          </w:tcPr>
          <w:p w:rsidR="00905137" w:rsidRPr="00B53423" w:rsidRDefault="00905137" w:rsidP="0015232B">
            <w:pPr>
              <w:spacing w:before="0" w:line="240" w:lineRule="auto"/>
              <w:jc w:val="center"/>
              <w:rPr>
                <w:rFonts w:cs="Calibri"/>
                <w:bCs/>
                <w:lang w:val="en-US"/>
              </w:rPr>
            </w:pPr>
            <w:r w:rsidRPr="00B53423">
              <w:rPr>
                <w:rFonts w:cs="Calibri"/>
                <w:bCs/>
                <w:lang w:val="en-US"/>
              </w:rPr>
              <w:t>111</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Urban: Above 132 kV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Rural: At 11 kV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Cs/>
                <w:lang w:val="en-US"/>
              </w:rPr>
            </w:pPr>
            <w:r w:rsidRPr="00B53423">
              <w:rPr>
                <w:rFonts w:cs="Calibri"/>
                <w:bCs/>
                <w:lang w:val="en-US"/>
              </w:rPr>
              <w:t>Rural: Above 11 kV &amp; up to 66 kV</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905137" w:rsidRPr="00B53423" w:rsidRDefault="00905137" w:rsidP="0015232B">
            <w:pPr>
              <w:spacing w:before="0" w:line="240" w:lineRule="auto"/>
              <w:jc w:val="center"/>
              <w:rPr>
                <w:rFonts w:cs="Calibri"/>
                <w:bCs/>
                <w:lang w:val="en-US"/>
              </w:rPr>
            </w:pPr>
            <w:r w:rsidRPr="00B53423">
              <w:rPr>
                <w:rFonts w:cs="Calibri"/>
                <w:bCs/>
                <w:lang w:val="en-US"/>
              </w:rPr>
              <w:t>0</w:t>
            </w:r>
          </w:p>
        </w:tc>
      </w:tr>
      <w:tr w:rsidR="00905137" w:rsidRPr="00B53423" w:rsidTr="002B3D6B">
        <w:trPr>
          <w:trHeight w:val="300"/>
        </w:trPr>
        <w:tc>
          <w:tcPr>
            <w:tcW w:w="3528" w:type="dxa"/>
            <w:shd w:val="clear" w:color="auto" w:fill="auto"/>
            <w:noWrap/>
            <w:hideMark/>
          </w:tcPr>
          <w:p w:rsidR="00905137" w:rsidRPr="00B53423" w:rsidRDefault="00905137" w:rsidP="0015232B">
            <w:pPr>
              <w:spacing w:before="0" w:line="240" w:lineRule="auto"/>
              <w:jc w:val="left"/>
              <w:rPr>
                <w:rFonts w:cs="Calibri"/>
                <w:b/>
                <w:bCs/>
                <w:lang w:val="en-US"/>
              </w:rPr>
            </w:pPr>
            <w:r w:rsidRPr="00B53423">
              <w:rPr>
                <w:rFonts w:cs="Calibri"/>
                <w:b/>
                <w:bCs/>
                <w:lang w:val="en-US"/>
              </w:rPr>
              <w:t>SUBTOTAL (HV-2)</w:t>
            </w:r>
          </w:p>
        </w:tc>
        <w:tc>
          <w:tcPr>
            <w:tcW w:w="99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367</w:t>
            </w:r>
          </w:p>
        </w:tc>
        <w:tc>
          <w:tcPr>
            <w:tcW w:w="81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389</w:t>
            </w:r>
          </w:p>
        </w:tc>
        <w:tc>
          <w:tcPr>
            <w:tcW w:w="900" w:type="dxa"/>
            <w:shd w:val="clear" w:color="auto" w:fill="auto"/>
            <w:noWrap/>
            <w:vAlign w:val="center"/>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419</w:t>
            </w:r>
          </w:p>
        </w:tc>
        <w:tc>
          <w:tcPr>
            <w:tcW w:w="1620" w:type="dxa"/>
            <w:shd w:val="clear" w:color="auto" w:fill="auto"/>
            <w:noWrap/>
            <w:vAlign w:val="bottom"/>
            <w:hideMark/>
          </w:tcPr>
          <w:p w:rsidR="00905137" w:rsidRPr="00B53423" w:rsidRDefault="00905137" w:rsidP="0015232B">
            <w:pPr>
              <w:spacing w:before="0" w:line="240" w:lineRule="auto"/>
              <w:jc w:val="center"/>
              <w:rPr>
                <w:rFonts w:cs="Calibri"/>
                <w:b/>
                <w:bCs/>
                <w:lang w:val="en-US"/>
              </w:rPr>
            </w:pPr>
            <w:r w:rsidRPr="00B53423">
              <w:rPr>
                <w:rFonts w:cs="Calibri"/>
                <w:b/>
                <w:bCs/>
                <w:lang w:val="en-US"/>
              </w:rPr>
              <w:t>424</w:t>
            </w:r>
          </w:p>
        </w:tc>
        <w:tc>
          <w:tcPr>
            <w:tcW w:w="1260" w:type="dxa"/>
          </w:tcPr>
          <w:p w:rsidR="00905137" w:rsidRPr="00B53423" w:rsidRDefault="00905137" w:rsidP="0015232B">
            <w:pPr>
              <w:spacing w:before="0" w:line="240" w:lineRule="auto"/>
              <w:jc w:val="center"/>
              <w:rPr>
                <w:rFonts w:cs="Calibri"/>
                <w:b/>
                <w:bCs/>
                <w:lang w:val="en-US"/>
              </w:rPr>
            </w:pPr>
            <w:r w:rsidRPr="00B53423">
              <w:rPr>
                <w:rFonts w:cs="Calibri"/>
                <w:b/>
                <w:bCs/>
                <w:lang w:val="en-US"/>
              </w:rPr>
              <w:t>428</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HV-3: Railway Traction</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CF1C3D" w:rsidRPr="00B53423" w:rsidTr="002B3D6B">
        <w:trPr>
          <w:trHeight w:val="300"/>
        </w:trPr>
        <w:tc>
          <w:tcPr>
            <w:tcW w:w="3528" w:type="dxa"/>
            <w:shd w:val="clear" w:color="auto" w:fill="auto"/>
            <w:noWrap/>
            <w:hideMark/>
          </w:tcPr>
          <w:p w:rsidR="00CF1C3D" w:rsidRPr="00B53423" w:rsidRDefault="00CF1C3D" w:rsidP="0015232B">
            <w:pPr>
              <w:spacing w:before="0" w:line="240" w:lineRule="auto"/>
              <w:jc w:val="left"/>
              <w:rPr>
                <w:rFonts w:cs="Calibri"/>
                <w:bCs/>
                <w:lang w:val="en-US"/>
              </w:rPr>
            </w:pPr>
            <w:r w:rsidRPr="00B53423">
              <w:rPr>
                <w:rFonts w:cs="Calibri"/>
                <w:bCs/>
                <w:lang w:val="en-US"/>
              </w:rPr>
              <w:t>At 132 kV and above</w:t>
            </w:r>
          </w:p>
        </w:tc>
        <w:tc>
          <w:tcPr>
            <w:tcW w:w="99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r>
      <w:tr w:rsidR="00CF1C3D" w:rsidRPr="00B53423" w:rsidTr="002B3D6B">
        <w:trPr>
          <w:trHeight w:val="300"/>
        </w:trPr>
        <w:tc>
          <w:tcPr>
            <w:tcW w:w="3528" w:type="dxa"/>
            <w:shd w:val="clear" w:color="auto" w:fill="auto"/>
            <w:noWrap/>
            <w:hideMark/>
          </w:tcPr>
          <w:p w:rsidR="00CF1C3D" w:rsidRPr="00B53423" w:rsidRDefault="00CF1C3D" w:rsidP="0015232B">
            <w:pPr>
              <w:spacing w:before="0" w:line="240" w:lineRule="auto"/>
              <w:jc w:val="left"/>
              <w:rPr>
                <w:rFonts w:cs="Calibri"/>
                <w:bCs/>
                <w:lang w:val="en-US"/>
              </w:rPr>
            </w:pPr>
            <w:r w:rsidRPr="00B53423">
              <w:rPr>
                <w:rFonts w:cs="Calibri"/>
                <w:bCs/>
                <w:lang w:val="en-US"/>
              </w:rPr>
              <w:t>Below 132 kV</w:t>
            </w:r>
          </w:p>
        </w:tc>
        <w:tc>
          <w:tcPr>
            <w:tcW w:w="99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r>
      <w:tr w:rsidR="00CF1C3D" w:rsidRPr="00B53423" w:rsidTr="002B3D6B">
        <w:trPr>
          <w:trHeight w:val="300"/>
        </w:trPr>
        <w:tc>
          <w:tcPr>
            <w:tcW w:w="3528" w:type="dxa"/>
            <w:shd w:val="clear" w:color="auto" w:fill="auto"/>
            <w:noWrap/>
            <w:hideMark/>
          </w:tcPr>
          <w:p w:rsidR="00CF1C3D" w:rsidRPr="00B53423" w:rsidRDefault="00CF1C3D" w:rsidP="0015232B">
            <w:pPr>
              <w:spacing w:before="0" w:line="240" w:lineRule="auto"/>
              <w:jc w:val="left"/>
              <w:rPr>
                <w:rFonts w:cs="Calibri"/>
                <w:bCs/>
                <w:lang w:val="en-US"/>
              </w:rPr>
            </w:pPr>
            <w:r w:rsidRPr="00B53423">
              <w:rPr>
                <w:rFonts w:cs="Calibri"/>
                <w:bCs/>
                <w:lang w:val="en-US"/>
              </w:rPr>
              <w:t>Metro traction</w:t>
            </w:r>
          </w:p>
        </w:tc>
        <w:tc>
          <w:tcPr>
            <w:tcW w:w="99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r>
      <w:tr w:rsidR="00CF1C3D" w:rsidRPr="00B53423" w:rsidTr="002B3D6B">
        <w:trPr>
          <w:trHeight w:val="300"/>
        </w:trPr>
        <w:tc>
          <w:tcPr>
            <w:tcW w:w="3528" w:type="dxa"/>
            <w:shd w:val="clear" w:color="auto" w:fill="auto"/>
            <w:noWrap/>
            <w:hideMark/>
          </w:tcPr>
          <w:p w:rsidR="00CF1C3D" w:rsidRPr="00B53423" w:rsidRDefault="00CF1C3D" w:rsidP="0015232B">
            <w:pPr>
              <w:spacing w:before="0" w:line="240" w:lineRule="auto"/>
              <w:jc w:val="left"/>
              <w:rPr>
                <w:rFonts w:cs="Calibri"/>
                <w:b/>
                <w:bCs/>
                <w:lang w:val="en-US"/>
              </w:rPr>
            </w:pPr>
            <w:r w:rsidRPr="00B53423">
              <w:rPr>
                <w:rFonts w:cs="Calibri"/>
                <w:b/>
                <w:bCs/>
                <w:lang w:val="en-US"/>
              </w:rPr>
              <w:t>SUBTOTAL (HV-3)</w:t>
            </w:r>
          </w:p>
        </w:tc>
        <w:tc>
          <w:tcPr>
            <w:tcW w:w="99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c>
          <w:tcPr>
            <w:tcW w:w="81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c>
          <w:tcPr>
            <w:tcW w:w="90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c>
          <w:tcPr>
            <w:tcW w:w="162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c>
          <w:tcPr>
            <w:tcW w:w="1260" w:type="dxa"/>
            <w:vAlign w:val="center"/>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HV-4: Lift Irrigation</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CF1C3D" w:rsidRPr="00B53423" w:rsidTr="002B3D6B">
        <w:trPr>
          <w:trHeight w:val="300"/>
        </w:trPr>
        <w:tc>
          <w:tcPr>
            <w:tcW w:w="3528" w:type="dxa"/>
            <w:shd w:val="clear" w:color="auto" w:fill="auto"/>
            <w:noWrap/>
            <w:hideMark/>
          </w:tcPr>
          <w:p w:rsidR="00CF1C3D" w:rsidRPr="00B53423" w:rsidRDefault="00CF1C3D" w:rsidP="0015232B">
            <w:pPr>
              <w:spacing w:before="0" w:line="240" w:lineRule="auto"/>
              <w:jc w:val="left"/>
              <w:rPr>
                <w:rFonts w:cs="Calibri"/>
                <w:bCs/>
                <w:lang w:val="en-US"/>
              </w:rPr>
            </w:pPr>
            <w:r w:rsidRPr="00B53423">
              <w:rPr>
                <w:rFonts w:cs="Calibri"/>
                <w:bCs/>
                <w:lang w:val="en-US"/>
              </w:rPr>
              <w:t>At 11kV</w:t>
            </w:r>
          </w:p>
        </w:tc>
        <w:tc>
          <w:tcPr>
            <w:tcW w:w="99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r>
      <w:tr w:rsidR="00CF1C3D" w:rsidRPr="00B53423" w:rsidTr="002B3D6B">
        <w:trPr>
          <w:trHeight w:val="300"/>
        </w:trPr>
        <w:tc>
          <w:tcPr>
            <w:tcW w:w="3528" w:type="dxa"/>
            <w:shd w:val="clear" w:color="auto" w:fill="auto"/>
            <w:noWrap/>
            <w:hideMark/>
          </w:tcPr>
          <w:p w:rsidR="00CF1C3D" w:rsidRPr="00B53423" w:rsidRDefault="00CF1C3D" w:rsidP="0015232B">
            <w:pPr>
              <w:spacing w:before="0" w:line="240" w:lineRule="auto"/>
              <w:jc w:val="left"/>
              <w:rPr>
                <w:rFonts w:cs="Calibri"/>
                <w:bCs/>
                <w:lang w:val="en-US"/>
              </w:rPr>
            </w:pPr>
            <w:r w:rsidRPr="00B53423">
              <w:rPr>
                <w:rFonts w:cs="Calibri"/>
                <w:bCs/>
                <w:lang w:val="en-US"/>
              </w:rPr>
              <w:t>Above 11kV &amp; up to 66kV</w:t>
            </w:r>
          </w:p>
        </w:tc>
        <w:tc>
          <w:tcPr>
            <w:tcW w:w="99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r>
      <w:tr w:rsidR="00CF1C3D" w:rsidRPr="00B53423" w:rsidTr="002B3D6B">
        <w:trPr>
          <w:trHeight w:val="300"/>
        </w:trPr>
        <w:tc>
          <w:tcPr>
            <w:tcW w:w="3528" w:type="dxa"/>
            <w:shd w:val="clear" w:color="auto" w:fill="auto"/>
            <w:noWrap/>
            <w:hideMark/>
          </w:tcPr>
          <w:p w:rsidR="00CF1C3D" w:rsidRPr="00B53423" w:rsidRDefault="00CF1C3D" w:rsidP="0015232B">
            <w:pPr>
              <w:spacing w:before="0" w:line="240" w:lineRule="auto"/>
              <w:jc w:val="left"/>
              <w:rPr>
                <w:rFonts w:cs="Calibri"/>
                <w:bCs/>
                <w:lang w:val="en-US"/>
              </w:rPr>
            </w:pPr>
            <w:r w:rsidRPr="00B53423">
              <w:rPr>
                <w:rFonts w:cs="Calibri"/>
                <w:bCs/>
                <w:lang w:val="en-US"/>
              </w:rPr>
              <w:t>Above 66 kV &amp; up to 132kV</w:t>
            </w:r>
          </w:p>
        </w:tc>
        <w:tc>
          <w:tcPr>
            <w:tcW w:w="99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r>
      <w:tr w:rsidR="00CF1C3D" w:rsidRPr="00B53423" w:rsidTr="002B3D6B">
        <w:trPr>
          <w:trHeight w:val="300"/>
        </w:trPr>
        <w:tc>
          <w:tcPr>
            <w:tcW w:w="3528" w:type="dxa"/>
            <w:shd w:val="clear" w:color="auto" w:fill="auto"/>
            <w:noWrap/>
            <w:hideMark/>
          </w:tcPr>
          <w:p w:rsidR="00CF1C3D" w:rsidRPr="00B53423" w:rsidRDefault="00CF1C3D" w:rsidP="0015232B">
            <w:pPr>
              <w:spacing w:before="0" w:line="240" w:lineRule="auto"/>
              <w:jc w:val="left"/>
              <w:rPr>
                <w:rFonts w:cs="Calibri"/>
                <w:b/>
                <w:bCs/>
                <w:lang w:val="en-US"/>
              </w:rPr>
            </w:pPr>
            <w:r w:rsidRPr="00B53423">
              <w:rPr>
                <w:rFonts w:cs="Calibri"/>
                <w:b/>
                <w:bCs/>
                <w:lang w:val="en-US"/>
              </w:rPr>
              <w:t>SUBTOTAL (HV-4)</w:t>
            </w:r>
          </w:p>
        </w:tc>
        <w:tc>
          <w:tcPr>
            <w:tcW w:w="99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c>
          <w:tcPr>
            <w:tcW w:w="81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c>
          <w:tcPr>
            <w:tcW w:w="90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c>
          <w:tcPr>
            <w:tcW w:w="162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c>
          <w:tcPr>
            <w:tcW w:w="1260" w:type="dxa"/>
            <w:vAlign w:val="center"/>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Bulk &amp; Extra State</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CF1C3D" w:rsidRPr="00B53423" w:rsidTr="002B3D6B">
        <w:trPr>
          <w:trHeight w:val="300"/>
        </w:trPr>
        <w:tc>
          <w:tcPr>
            <w:tcW w:w="3528" w:type="dxa"/>
            <w:shd w:val="clear" w:color="auto" w:fill="auto"/>
            <w:noWrap/>
            <w:hideMark/>
          </w:tcPr>
          <w:p w:rsidR="00CF1C3D" w:rsidRPr="00B53423" w:rsidRDefault="00CF1C3D" w:rsidP="0015232B">
            <w:pPr>
              <w:spacing w:before="0" w:line="240" w:lineRule="auto"/>
              <w:jc w:val="left"/>
              <w:rPr>
                <w:rFonts w:cs="Calibri"/>
                <w:bCs/>
                <w:lang w:val="en-US"/>
              </w:rPr>
            </w:pPr>
            <w:r w:rsidRPr="00B53423">
              <w:rPr>
                <w:rFonts w:cs="Calibri"/>
                <w:bCs/>
                <w:lang w:val="en-US"/>
              </w:rPr>
              <w:t>Extra state &amp; others</w:t>
            </w:r>
          </w:p>
        </w:tc>
        <w:tc>
          <w:tcPr>
            <w:tcW w:w="99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r>
      <w:tr w:rsidR="00CF1C3D" w:rsidRPr="00B53423" w:rsidTr="002B3D6B">
        <w:trPr>
          <w:trHeight w:val="300"/>
        </w:trPr>
        <w:tc>
          <w:tcPr>
            <w:tcW w:w="3528" w:type="dxa"/>
            <w:shd w:val="clear" w:color="auto" w:fill="auto"/>
            <w:noWrap/>
            <w:hideMark/>
          </w:tcPr>
          <w:p w:rsidR="00CF1C3D" w:rsidRPr="00B53423" w:rsidRDefault="00CF1C3D" w:rsidP="0015232B">
            <w:pPr>
              <w:spacing w:before="0" w:line="240" w:lineRule="auto"/>
              <w:jc w:val="left"/>
              <w:rPr>
                <w:rFonts w:cs="Calibri"/>
                <w:bCs/>
                <w:lang w:val="en-US"/>
              </w:rPr>
            </w:pPr>
            <w:r w:rsidRPr="00B53423">
              <w:rPr>
                <w:rFonts w:cs="Calibri"/>
                <w:bCs/>
                <w:lang w:val="en-US"/>
              </w:rPr>
              <w:t xml:space="preserve">Bulk supply </w:t>
            </w:r>
            <w:r w:rsidR="00AB4EB0" w:rsidRPr="00B53423">
              <w:rPr>
                <w:rFonts w:cs="Calibri"/>
                <w:bCs/>
                <w:lang w:val="en-US"/>
              </w:rPr>
              <w:t>–</w:t>
            </w:r>
            <w:r w:rsidRPr="00B53423">
              <w:rPr>
                <w:rFonts w:cs="Calibri"/>
                <w:bCs/>
                <w:lang w:val="en-US"/>
              </w:rPr>
              <w:t xml:space="preserve"> Others</w:t>
            </w:r>
          </w:p>
        </w:tc>
        <w:tc>
          <w:tcPr>
            <w:tcW w:w="99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81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90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620" w:type="dxa"/>
            <w:shd w:val="clear" w:color="auto" w:fill="auto"/>
            <w:noWrap/>
            <w:vAlign w:val="center"/>
            <w:hideMark/>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c>
          <w:tcPr>
            <w:tcW w:w="1260" w:type="dxa"/>
            <w:vAlign w:val="center"/>
          </w:tcPr>
          <w:p w:rsidR="00CF1C3D" w:rsidRPr="00B53423" w:rsidRDefault="00CF1C3D" w:rsidP="0015232B">
            <w:pPr>
              <w:spacing w:before="0" w:line="240" w:lineRule="auto"/>
              <w:jc w:val="center"/>
              <w:rPr>
                <w:rFonts w:cs="Calibri"/>
                <w:bCs/>
                <w:lang w:val="en-US"/>
              </w:rPr>
            </w:pPr>
            <w:r w:rsidRPr="00B53423">
              <w:rPr>
                <w:rFonts w:cs="Calibri"/>
                <w:bCs/>
                <w:lang w:val="en-US"/>
              </w:rPr>
              <w:t>0</w:t>
            </w:r>
          </w:p>
        </w:tc>
      </w:tr>
      <w:tr w:rsidR="00CF1C3D" w:rsidRPr="00B53423" w:rsidTr="002B3D6B">
        <w:trPr>
          <w:trHeight w:val="300"/>
        </w:trPr>
        <w:tc>
          <w:tcPr>
            <w:tcW w:w="3528" w:type="dxa"/>
            <w:shd w:val="clear" w:color="auto" w:fill="auto"/>
            <w:noWrap/>
            <w:hideMark/>
          </w:tcPr>
          <w:p w:rsidR="00CF1C3D" w:rsidRPr="00B53423" w:rsidRDefault="00CF1C3D" w:rsidP="0015232B">
            <w:pPr>
              <w:spacing w:before="0" w:line="240" w:lineRule="auto"/>
              <w:jc w:val="left"/>
              <w:rPr>
                <w:rFonts w:cs="Calibri"/>
                <w:b/>
                <w:bCs/>
                <w:lang w:val="en-US"/>
              </w:rPr>
            </w:pPr>
            <w:r w:rsidRPr="00B53423">
              <w:rPr>
                <w:rFonts w:cs="Calibri"/>
                <w:b/>
                <w:bCs/>
                <w:lang w:val="en-US"/>
              </w:rPr>
              <w:t>SUBTOTAL (Bulk &amp; Extra State)</w:t>
            </w:r>
          </w:p>
        </w:tc>
        <w:tc>
          <w:tcPr>
            <w:tcW w:w="99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c>
          <w:tcPr>
            <w:tcW w:w="81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c>
          <w:tcPr>
            <w:tcW w:w="90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c>
          <w:tcPr>
            <w:tcW w:w="162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c>
          <w:tcPr>
            <w:tcW w:w="1260" w:type="dxa"/>
            <w:vAlign w:val="center"/>
          </w:tcPr>
          <w:p w:rsidR="00CF1C3D" w:rsidRPr="00B53423" w:rsidRDefault="00CF1C3D" w:rsidP="0015232B">
            <w:pPr>
              <w:spacing w:before="0" w:line="240" w:lineRule="auto"/>
              <w:jc w:val="center"/>
              <w:rPr>
                <w:rFonts w:cs="Calibri"/>
                <w:b/>
                <w:bCs/>
                <w:lang w:val="en-US"/>
              </w:rPr>
            </w:pPr>
            <w:r w:rsidRPr="00B53423">
              <w:rPr>
                <w:rFonts w:cs="Calibri"/>
                <w:b/>
                <w:bCs/>
                <w:lang w:val="en-US"/>
              </w:rPr>
              <w:t>0</w:t>
            </w:r>
          </w:p>
        </w:tc>
      </w:tr>
      <w:tr w:rsidR="00E5595A" w:rsidRPr="00B53423" w:rsidTr="002B3D6B">
        <w:trPr>
          <w:trHeight w:val="300"/>
        </w:trPr>
        <w:tc>
          <w:tcPr>
            <w:tcW w:w="3528" w:type="dxa"/>
            <w:shd w:val="clear" w:color="auto" w:fill="auto"/>
            <w:noWrap/>
            <w:hideMark/>
          </w:tcPr>
          <w:p w:rsidR="00E5595A" w:rsidRPr="00B53423" w:rsidRDefault="00E5595A" w:rsidP="0015232B">
            <w:pPr>
              <w:spacing w:before="0" w:line="240" w:lineRule="auto"/>
              <w:jc w:val="left"/>
              <w:rPr>
                <w:rFonts w:cs="Calibri"/>
                <w:b/>
                <w:bCs/>
                <w:lang w:val="en-US"/>
              </w:rPr>
            </w:pPr>
            <w:r w:rsidRPr="00B53423">
              <w:rPr>
                <w:rFonts w:cs="Calibri"/>
                <w:b/>
                <w:bCs/>
                <w:lang w:val="en-US"/>
              </w:rPr>
              <w:t> </w:t>
            </w:r>
          </w:p>
        </w:tc>
        <w:tc>
          <w:tcPr>
            <w:tcW w:w="99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81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90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620" w:type="dxa"/>
            <w:shd w:val="clear" w:color="auto" w:fill="auto"/>
            <w:noWrap/>
            <w:vAlign w:val="bottom"/>
            <w:hideMark/>
          </w:tcPr>
          <w:p w:rsidR="00E5595A" w:rsidRPr="00B53423" w:rsidRDefault="00E5595A" w:rsidP="0015232B">
            <w:pPr>
              <w:spacing w:before="0" w:line="240" w:lineRule="auto"/>
              <w:jc w:val="center"/>
              <w:rPr>
                <w:rFonts w:cs="Calibri"/>
                <w:b/>
                <w:bCs/>
                <w:lang w:val="en-US"/>
              </w:rPr>
            </w:pPr>
          </w:p>
        </w:tc>
        <w:tc>
          <w:tcPr>
            <w:tcW w:w="1260" w:type="dxa"/>
          </w:tcPr>
          <w:p w:rsidR="00E5595A" w:rsidRPr="00B53423" w:rsidRDefault="00E5595A" w:rsidP="0015232B">
            <w:pPr>
              <w:spacing w:before="0" w:line="240" w:lineRule="auto"/>
              <w:jc w:val="center"/>
              <w:rPr>
                <w:rFonts w:cs="Calibri"/>
                <w:b/>
                <w:bCs/>
                <w:lang w:val="en-US"/>
              </w:rPr>
            </w:pPr>
          </w:p>
        </w:tc>
      </w:tr>
      <w:tr w:rsidR="00CF1C3D" w:rsidRPr="00B53423" w:rsidTr="002B3D6B">
        <w:trPr>
          <w:trHeight w:val="300"/>
        </w:trPr>
        <w:tc>
          <w:tcPr>
            <w:tcW w:w="3528" w:type="dxa"/>
            <w:shd w:val="clear" w:color="auto" w:fill="auto"/>
            <w:noWrap/>
            <w:hideMark/>
          </w:tcPr>
          <w:p w:rsidR="00CF1C3D" w:rsidRPr="00B53423" w:rsidRDefault="00CF1C3D" w:rsidP="0015232B">
            <w:pPr>
              <w:spacing w:before="0" w:line="240" w:lineRule="auto"/>
              <w:jc w:val="left"/>
              <w:rPr>
                <w:rFonts w:cs="Calibri"/>
                <w:b/>
                <w:bCs/>
                <w:lang w:val="en-US"/>
              </w:rPr>
            </w:pPr>
            <w:r w:rsidRPr="00B53423">
              <w:rPr>
                <w:rFonts w:cs="Calibri"/>
                <w:b/>
                <w:bCs/>
                <w:lang w:val="en-US"/>
              </w:rPr>
              <w:t>GRAND TOTAL</w:t>
            </w:r>
          </w:p>
        </w:tc>
        <w:tc>
          <w:tcPr>
            <w:tcW w:w="99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2130</w:t>
            </w:r>
          </w:p>
        </w:tc>
        <w:tc>
          <w:tcPr>
            <w:tcW w:w="81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2297</w:t>
            </w:r>
          </w:p>
        </w:tc>
        <w:tc>
          <w:tcPr>
            <w:tcW w:w="900" w:type="dxa"/>
            <w:shd w:val="clear" w:color="auto" w:fill="auto"/>
            <w:noWrap/>
            <w:vAlign w:val="center"/>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2154</w:t>
            </w:r>
          </w:p>
        </w:tc>
        <w:tc>
          <w:tcPr>
            <w:tcW w:w="1620" w:type="dxa"/>
            <w:shd w:val="clear" w:color="auto" w:fill="auto"/>
            <w:noWrap/>
            <w:vAlign w:val="bottom"/>
            <w:hideMark/>
          </w:tcPr>
          <w:p w:rsidR="00CF1C3D" w:rsidRPr="00B53423" w:rsidRDefault="00CF1C3D" w:rsidP="0015232B">
            <w:pPr>
              <w:spacing w:before="0" w:line="240" w:lineRule="auto"/>
              <w:jc w:val="center"/>
              <w:rPr>
                <w:rFonts w:cs="Calibri"/>
                <w:b/>
                <w:bCs/>
                <w:lang w:val="en-US"/>
              </w:rPr>
            </w:pPr>
            <w:r w:rsidRPr="00B53423">
              <w:rPr>
                <w:rFonts w:cs="Calibri"/>
                <w:b/>
                <w:bCs/>
                <w:lang w:val="en-US"/>
              </w:rPr>
              <w:t>2329</w:t>
            </w:r>
          </w:p>
        </w:tc>
        <w:tc>
          <w:tcPr>
            <w:tcW w:w="1260" w:type="dxa"/>
          </w:tcPr>
          <w:p w:rsidR="00CF1C3D" w:rsidRPr="00B53423" w:rsidRDefault="00CF1C3D" w:rsidP="0015232B">
            <w:pPr>
              <w:spacing w:before="0" w:line="240" w:lineRule="auto"/>
              <w:jc w:val="center"/>
              <w:rPr>
                <w:rFonts w:cs="Calibri"/>
                <w:b/>
                <w:bCs/>
                <w:lang w:val="en-US"/>
              </w:rPr>
            </w:pPr>
            <w:r w:rsidRPr="00B53423">
              <w:rPr>
                <w:rFonts w:cs="Calibri"/>
                <w:b/>
                <w:bCs/>
                <w:lang w:val="en-US"/>
              </w:rPr>
              <w:t>2475</w:t>
            </w:r>
          </w:p>
        </w:tc>
      </w:tr>
    </w:tbl>
    <w:p w:rsidR="00DE37E0" w:rsidRPr="00B53423" w:rsidRDefault="00DE37E0" w:rsidP="0015232B">
      <w:pPr>
        <w:spacing w:before="0" w:line="240" w:lineRule="auto"/>
        <w:rPr>
          <w:rFonts w:cs="Calibri"/>
          <w:b/>
          <w:bCs/>
          <w:lang w:val="en-US"/>
        </w:rPr>
      </w:pPr>
      <w:r w:rsidRPr="00B53423">
        <w:rPr>
          <w:rFonts w:cs="Calibri"/>
          <w:b/>
          <w:bCs/>
          <w:lang w:val="en-US"/>
        </w:rPr>
        <w:br w:type="page"/>
      </w:r>
    </w:p>
    <w:p w:rsidR="00DE37E0" w:rsidRPr="00B53423" w:rsidRDefault="00DE37E0" w:rsidP="0015232B">
      <w:pPr>
        <w:pStyle w:val="Heading2"/>
        <w:keepNext w:val="0"/>
        <w:ind w:left="810" w:hanging="1170"/>
        <w:rPr>
          <w:color w:val="auto"/>
        </w:rPr>
      </w:pPr>
      <w:bookmarkStart w:id="1017" w:name="_Toc357733356"/>
      <w:bookmarkStart w:id="1018" w:name="_Ref397607123"/>
      <w:bookmarkStart w:id="1019" w:name="_Toc399626258"/>
      <w:bookmarkStart w:id="1020" w:name="_Toc338336085"/>
      <w:bookmarkStart w:id="1021" w:name="_Toc357345058"/>
      <w:r w:rsidRPr="00B53423">
        <w:rPr>
          <w:color w:val="auto"/>
        </w:rPr>
        <w:t>RATE SCHEDULE FOR FY 201</w:t>
      </w:r>
      <w:bookmarkEnd w:id="1017"/>
      <w:r w:rsidRPr="00B53423">
        <w:rPr>
          <w:color w:val="auto"/>
        </w:rPr>
        <w:t>4-15</w:t>
      </w:r>
      <w:bookmarkEnd w:id="1018"/>
      <w:bookmarkEnd w:id="1019"/>
    </w:p>
    <w:bookmarkEnd w:id="1020"/>
    <w:bookmarkEnd w:id="1021"/>
    <w:p w:rsidR="00DE37E0" w:rsidRPr="00B53423" w:rsidRDefault="00DE37E0" w:rsidP="0015232B">
      <w:pPr>
        <w:rPr>
          <w:b/>
        </w:rPr>
      </w:pPr>
    </w:p>
    <w:p w:rsidR="00DE37E0" w:rsidRPr="00B53423" w:rsidRDefault="00DE37E0" w:rsidP="0015232B">
      <w:pPr>
        <w:jc w:val="center"/>
        <w:rPr>
          <w:b/>
        </w:rPr>
      </w:pPr>
      <w:r w:rsidRPr="00B53423">
        <w:rPr>
          <w:b/>
        </w:rPr>
        <w:t>RETAIL TARIFFS FOR FINANCIAL YEAR 2014-15:</w:t>
      </w:r>
    </w:p>
    <w:p w:rsidR="00DE37E0" w:rsidRPr="00B53423" w:rsidRDefault="00DE37E0" w:rsidP="0015232B">
      <w:pPr>
        <w:rPr>
          <w:b/>
        </w:rPr>
      </w:pPr>
    </w:p>
    <w:p w:rsidR="005B31C0" w:rsidRPr="00B53423" w:rsidRDefault="00D94698" w:rsidP="0015232B">
      <w:pPr>
        <w:spacing w:before="0" w:after="200"/>
        <w:jc w:val="left"/>
        <w:rPr>
          <w:rFonts w:asciiTheme="minorHAnsi" w:hAnsiTheme="minorHAnsi" w:cstheme="minorHAnsi"/>
          <w:b/>
        </w:rPr>
      </w:pPr>
      <w:bookmarkStart w:id="1022" w:name="_Toc357733359"/>
      <w:bookmarkStart w:id="1023" w:name="_Ref397183045"/>
      <w:r w:rsidRPr="00B53423">
        <w:rPr>
          <w:rFonts w:asciiTheme="minorHAnsi" w:hAnsiTheme="minorHAnsi" w:cstheme="minorHAnsi"/>
          <w:b/>
        </w:rPr>
        <w:t>GENERAL PROVISIONS:</w:t>
      </w:r>
    </w:p>
    <w:p w:rsidR="00D94698" w:rsidRPr="00B53423" w:rsidRDefault="00D94698" w:rsidP="0015232B">
      <w:pPr>
        <w:spacing w:before="100" w:after="100"/>
        <w:rPr>
          <w:rFonts w:asciiTheme="minorHAnsi" w:hAnsiTheme="minorHAnsi" w:cstheme="minorHAnsi"/>
        </w:rPr>
      </w:pPr>
      <w:r w:rsidRPr="00B53423">
        <w:rPr>
          <w:rFonts w:asciiTheme="minorHAnsi" w:hAnsiTheme="minorHAnsi" w:cstheme="minorHAnsi"/>
        </w:rPr>
        <w:t>These provisions shall apply to all categories unless specified otherwise and are integral part of the Rate Schedule.</w:t>
      </w:r>
    </w:p>
    <w:p w:rsidR="00D94698" w:rsidRPr="00B53423" w:rsidRDefault="00D94698" w:rsidP="0015232B">
      <w:pPr>
        <w:spacing w:before="100" w:after="100"/>
        <w:rPr>
          <w:rFonts w:asciiTheme="minorHAnsi" w:hAnsiTheme="minorHAnsi" w:cstheme="minorHAnsi"/>
        </w:rPr>
      </w:pPr>
    </w:p>
    <w:p w:rsidR="00D94698" w:rsidRPr="00B53423" w:rsidRDefault="00D94698" w:rsidP="0015232B">
      <w:pPr>
        <w:tabs>
          <w:tab w:val="left" w:pos="720"/>
        </w:tabs>
        <w:spacing w:before="100" w:after="100"/>
        <w:ind w:right="-61"/>
        <w:rPr>
          <w:rFonts w:asciiTheme="minorHAnsi" w:hAnsiTheme="minorHAnsi" w:cstheme="minorHAnsi"/>
          <w:b/>
        </w:rPr>
      </w:pPr>
      <w:r w:rsidRPr="00B53423">
        <w:rPr>
          <w:rFonts w:asciiTheme="minorHAnsi" w:hAnsiTheme="minorHAnsi" w:cstheme="minorHAnsi"/>
          <w:b/>
        </w:rPr>
        <w:t>1.</w:t>
      </w:r>
      <w:r w:rsidRPr="00B53423">
        <w:rPr>
          <w:rFonts w:asciiTheme="minorHAnsi" w:hAnsiTheme="minorHAnsi" w:cstheme="minorHAnsi"/>
          <w:b/>
        </w:rPr>
        <w:tab/>
        <w:t>NEW CONNECTIONS:</w:t>
      </w:r>
    </w:p>
    <w:p w:rsidR="00D94698" w:rsidRPr="00B53423" w:rsidRDefault="00D94698" w:rsidP="000174C0">
      <w:pPr>
        <w:numPr>
          <w:ilvl w:val="0"/>
          <w:numId w:val="80"/>
        </w:numPr>
        <w:tabs>
          <w:tab w:val="clear" w:pos="1080"/>
        </w:tabs>
        <w:spacing w:before="100" w:after="100" w:line="288" w:lineRule="auto"/>
        <w:ind w:left="1440" w:right="29"/>
        <w:rPr>
          <w:rFonts w:asciiTheme="minorHAnsi" w:hAnsiTheme="minorHAnsi" w:cstheme="minorHAnsi"/>
          <w:szCs w:val="22"/>
        </w:rPr>
      </w:pPr>
      <w:r w:rsidRPr="00B53423">
        <w:rPr>
          <w:rFonts w:asciiTheme="minorHAnsi" w:hAnsiTheme="minorHAnsi" w:cstheme="minorHAnsi"/>
          <w:szCs w:val="22"/>
        </w:rPr>
        <w:t>All new connections shall be given as per the applicable provisions of Electricity Supply Code and shall be released in multiples of KW only, excluding consumers under categories LMV-5 &amp; LMV-8 of Rate Schedule.  Further, for tariff application purposes, if the contracted load (kW) of already existing consumer is in fractions  then the same shall be treated as next higher kW load;</w:t>
      </w:r>
    </w:p>
    <w:p w:rsidR="00D94698" w:rsidRPr="00B53423" w:rsidRDefault="00D94698" w:rsidP="0015232B">
      <w:pPr>
        <w:spacing w:before="100" w:after="100" w:line="288" w:lineRule="auto"/>
        <w:ind w:left="1440" w:right="29"/>
        <w:rPr>
          <w:rFonts w:asciiTheme="minorHAnsi" w:hAnsiTheme="minorHAnsi" w:cstheme="minorHAnsi"/>
        </w:rPr>
      </w:pPr>
    </w:p>
    <w:p w:rsidR="00D94698" w:rsidRPr="00B53423" w:rsidRDefault="00D94698" w:rsidP="0015232B">
      <w:pPr>
        <w:tabs>
          <w:tab w:val="left" w:pos="720"/>
        </w:tabs>
        <w:spacing w:before="100" w:after="100"/>
        <w:ind w:right="-61"/>
        <w:rPr>
          <w:rFonts w:asciiTheme="minorHAnsi" w:hAnsiTheme="minorHAnsi" w:cstheme="minorHAnsi"/>
          <w:b/>
        </w:rPr>
      </w:pPr>
      <w:r w:rsidRPr="00B53423">
        <w:rPr>
          <w:rFonts w:asciiTheme="minorHAnsi" w:hAnsiTheme="minorHAnsi" w:cstheme="minorHAnsi"/>
          <w:b/>
        </w:rPr>
        <w:t>2.</w:t>
      </w:r>
      <w:r w:rsidRPr="00B53423">
        <w:rPr>
          <w:rFonts w:asciiTheme="minorHAnsi" w:hAnsiTheme="minorHAnsi" w:cstheme="minorHAnsi"/>
          <w:b/>
        </w:rPr>
        <w:tab/>
        <w:t>READING OF METERS:</w:t>
      </w:r>
    </w:p>
    <w:p w:rsidR="00D94698" w:rsidRPr="00B53423" w:rsidRDefault="00D94698" w:rsidP="0015232B">
      <w:pPr>
        <w:spacing w:before="100" w:after="100"/>
        <w:ind w:left="360" w:right="-58" w:firstLine="360"/>
        <w:rPr>
          <w:rFonts w:asciiTheme="minorHAnsi" w:hAnsiTheme="minorHAnsi" w:cstheme="minorHAnsi"/>
        </w:rPr>
      </w:pPr>
      <w:proofErr w:type="gramStart"/>
      <w:r w:rsidRPr="00B53423">
        <w:rPr>
          <w:rFonts w:asciiTheme="minorHAnsi" w:hAnsiTheme="minorHAnsi" w:cstheme="minorHAnsi"/>
        </w:rPr>
        <w:t>As per applicable provisions of Electricity Supply Code.</w:t>
      </w:r>
      <w:proofErr w:type="gramEnd"/>
    </w:p>
    <w:p w:rsidR="00D94698" w:rsidRPr="00B53423" w:rsidRDefault="00D94698" w:rsidP="0015232B">
      <w:pPr>
        <w:ind w:left="720" w:hanging="720"/>
        <w:rPr>
          <w:rFonts w:asciiTheme="minorHAnsi" w:hAnsiTheme="minorHAnsi" w:cstheme="minorHAnsi"/>
          <w:b/>
        </w:rPr>
      </w:pPr>
    </w:p>
    <w:p w:rsidR="00D94698" w:rsidRPr="00B53423" w:rsidRDefault="00D94698" w:rsidP="0015232B">
      <w:pPr>
        <w:ind w:left="720" w:hanging="720"/>
        <w:rPr>
          <w:rFonts w:asciiTheme="minorHAnsi" w:hAnsiTheme="minorHAnsi" w:cstheme="minorHAnsi"/>
          <w:b/>
        </w:rPr>
      </w:pPr>
      <w:r w:rsidRPr="00B53423">
        <w:rPr>
          <w:rFonts w:asciiTheme="minorHAnsi" w:hAnsiTheme="minorHAnsi" w:cstheme="minorHAnsi"/>
          <w:b/>
        </w:rPr>
        <w:t>3.</w:t>
      </w:r>
      <w:r w:rsidRPr="00B53423">
        <w:rPr>
          <w:rFonts w:asciiTheme="minorHAnsi" w:hAnsiTheme="minorHAnsi" w:cstheme="minorHAnsi"/>
          <w:b/>
        </w:rPr>
        <w:tab/>
        <w:t>BILLING WHEN METER IS NOT MADE ACCESSIBLE:</w:t>
      </w:r>
    </w:p>
    <w:p w:rsidR="00D94698" w:rsidRPr="00B53423" w:rsidRDefault="00D94698" w:rsidP="0015232B">
      <w:pPr>
        <w:spacing w:before="100" w:after="100"/>
        <w:ind w:left="720" w:right="-58"/>
        <w:rPr>
          <w:rFonts w:asciiTheme="minorHAnsi" w:hAnsiTheme="minorHAnsi" w:cstheme="minorHAnsi"/>
        </w:rPr>
      </w:pPr>
      <w:r w:rsidRPr="00B53423">
        <w:rPr>
          <w:rFonts w:asciiTheme="minorHAnsi" w:hAnsiTheme="minorHAnsi" w:cstheme="minorHAnsi"/>
        </w:rPr>
        <w:t xml:space="preserve">A penalty of Rs. 50 / kW or as decided by the Commission through an Order shall be levied for the purposes of Clause 6.2 (c) of the applicable Electricity Supply Code.  </w:t>
      </w:r>
    </w:p>
    <w:p w:rsidR="00D94698" w:rsidRPr="00B53423" w:rsidRDefault="00D94698" w:rsidP="0015232B">
      <w:pPr>
        <w:spacing w:before="100" w:after="100"/>
        <w:ind w:left="720" w:right="-58"/>
        <w:rPr>
          <w:rFonts w:asciiTheme="minorHAnsi" w:hAnsiTheme="minorHAnsi" w:cstheme="minorHAnsi"/>
        </w:rPr>
      </w:pPr>
    </w:p>
    <w:p w:rsidR="00D94698" w:rsidRPr="00B53423" w:rsidRDefault="00D94698" w:rsidP="0015232B">
      <w:pPr>
        <w:tabs>
          <w:tab w:val="left" w:pos="720"/>
        </w:tabs>
        <w:spacing w:before="100" w:after="100"/>
        <w:ind w:right="-61"/>
        <w:rPr>
          <w:rFonts w:asciiTheme="minorHAnsi" w:hAnsiTheme="minorHAnsi" w:cstheme="minorHAnsi"/>
          <w:b/>
        </w:rPr>
      </w:pPr>
      <w:r w:rsidRPr="00B53423">
        <w:rPr>
          <w:rFonts w:asciiTheme="minorHAnsi" w:hAnsiTheme="minorHAnsi" w:cstheme="minorHAnsi"/>
          <w:b/>
        </w:rPr>
        <w:t>4.</w:t>
      </w:r>
      <w:r w:rsidRPr="00B53423">
        <w:rPr>
          <w:rFonts w:asciiTheme="minorHAnsi" w:hAnsiTheme="minorHAnsi" w:cstheme="minorHAnsi"/>
          <w:b/>
        </w:rPr>
        <w:tab/>
        <w:t>BILLING IN CASE OF DEFECTIVE METERS:</w:t>
      </w:r>
    </w:p>
    <w:p w:rsidR="00D94698" w:rsidRPr="00B53423" w:rsidRDefault="00D94698" w:rsidP="0015232B">
      <w:pPr>
        <w:spacing w:before="100" w:after="100"/>
        <w:ind w:right="-58" w:firstLine="720"/>
        <w:rPr>
          <w:rFonts w:asciiTheme="minorHAnsi" w:hAnsiTheme="minorHAnsi" w:cstheme="minorHAnsi"/>
        </w:rPr>
      </w:pPr>
      <w:proofErr w:type="gramStart"/>
      <w:r w:rsidRPr="00B53423">
        <w:rPr>
          <w:rFonts w:asciiTheme="minorHAnsi" w:hAnsiTheme="minorHAnsi" w:cstheme="minorHAnsi"/>
        </w:rPr>
        <w:t>As per the applicable provisions of Electricity Supply Code.</w:t>
      </w:r>
      <w:proofErr w:type="gramEnd"/>
    </w:p>
    <w:p w:rsidR="00564993" w:rsidRPr="00B53423" w:rsidRDefault="00F42C8B" w:rsidP="0015232B">
      <w:pPr>
        <w:tabs>
          <w:tab w:val="left" w:pos="7895"/>
        </w:tabs>
        <w:spacing w:before="100" w:after="100"/>
        <w:ind w:right="-58" w:firstLine="720"/>
        <w:rPr>
          <w:rFonts w:asciiTheme="minorHAnsi" w:hAnsiTheme="minorHAnsi" w:cstheme="minorHAnsi"/>
        </w:rPr>
      </w:pPr>
      <w:r w:rsidRPr="00B53423">
        <w:rPr>
          <w:rFonts w:asciiTheme="minorHAnsi" w:hAnsiTheme="minorHAnsi" w:cstheme="minorHAnsi"/>
        </w:rPr>
        <w:tab/>
      </w:r>
    </w:p>
    <w:p w:rsidR="00D94698" w:rsidRPr="00B53423" w:rsidRDefault="00D94698" w:rsidP="0015232B">
      <w:pPr>
        <w:spacing w:before="0" w:line="240" w:lineRule="auto"/>
        <w:jc w:val="left"/>
        <w:rPr>
          <w:rFonts w:asciiTheme="minorHAnsi" w:hAnsiTheme="minorHAnsi" w:cstheme="minorHAnsi"/>
          <w:b/>
        </w:rPr>
      </w:pPr>
      <w:r w:rsidRPr="00B53423">
        <w:rPr>
          <w:rFonts w:asciiTheme="minorHAnsi" w:hAnsiTheme="minorHAnsi" w:cstheme="minorHAnsi"/>
          <w:b/>
        </w:rPr>
        <w:br w:type="page"/>
      </w:r>
    </w:p>
    <w:p w:rsidR="00D94698" w:rsidRPr="00B53423" w:rsidRDefault="00D94698" w:rsidP="0015232B">
      <w:pPr>
        <w:spacing w:before="100" w:after="100"/>
        <w:ind w:right="-58"/>
        <w:rPr>
          <w:rFonts w:asciiTheme="minorHAnsi" w:hAnsiTheme="minorHAnsi" w:cstheme="minorHAnsi"/>
          <w:b/>
        </w:rPr>
      </w:pPr>
      <w:r w:rsidRPr="00B53423">
        <w:rPr>
          <w:rFonts w:asciiTheme="minorHAnsi" w:hAnsiTheme="minorHAnsi" w:cstheme="minorHAnsi"/>
          <w:b/>
        </w:rPr>
        <w:t>5.</w:t>
      </w:r>
      <w:r w:rsidRPr="00B53423">
        <w:rPr>
          <w:rFonts w:asciiTheme="minorHAnsi" w:hAnsiTheme="minorHAnsi" w:cstheme="minorHAnsi"/>
          <w:b/>
        </w:rPr>
        <w:tab/>
        <w:t>KVAH TARIFF:</w:t>
      </w:r>
    </w:p>
    <w:p w:rsidR="00D94698" w:rsidRPr="00B53423" w:rsidRDefault="00D94698" w:rsidP="0015232B">
      <w:pPr>
        <w:spacing w:before="100" w:after="100"/>
        <w:ind w:left="720" w:right="-58"/>
        <w:rPr>
          <w:rFonts w:asciiTheme="minorHAnsi" w:hAnsiTheme="minorHAnsi" w:cstheme="minorHAnsi"/>
        </w:rPr>
      </w:pPr>
      <w:r w:rsidRPr="00B53423">
        <w:rPr>
          <w:rFonts w:asciiTheme="minorHAnsi" w:hAnsiTheme="minorHAnsi" w:cstheme="minorHAnsi"/>
        </w:rPr>
        <w:t>‘</w:t>
      </w:r>
      <w:proofErr w:type="gramStart"/>
      <w:r w:rsidRPr="00B53423">
        <w:rPr>
          <w:rFonts w:asciiTheme="minorHAnsi" w:hAnsiTheme="minorHAnsi" w:cstheme="minorHAnsi"/>
        </w:rPr>
        <w:t>kVAh</w:t>
      </w:r>
      <w:proofErr w:type="gramEnd"/>
      <w:r w:rsidRPr="00B53423">
        <w:rPr>
          <w:rFonts w:asciiTheme="minorHAnsi" w:hAnsiTheme="minorHAnsi" w:cstheme="minorHAnsi"/>
        </w:rPr>
        <w:t xml:space="preserve"> based tariffs’ shall be applicable on all consumers having contracted load of 10 kW / 13.4 BHP and above, under different categories with TVM / TOD / Demand recording meters (as appropriate).  </w:t>
      </w:r>
    </w:p>
    <w:p w:rsidR="006949FC" w:rsidRPr="00B53423" w:rsidRDefault="006949FC" w:rsidP="0015232B">
      <w:pPr>
        <w:spacing w:before="100" w:after="100"/>
        <w:ind w:left="720" w:right="-58"/>
        <w:rPr>
          <w:rFonts w:asciiTheme="minorHAnsi" w:hAnsiTheme="minorHAnsi" w:cstheme="minorHAnsi"/>
        </w:rPr>
      </w:pPr>
    </w:p>
    <w:p w:rsidR="00D94698" w:rsidRPr="00B53423" w:rsidRDefault="00D94698" w:rsidP="0015232B">
      <w:pPr>
        <w:spacing w:before="100" w:after="100"/>
        <w:ind w:left="720" w:right="-58"/>
        <w:rPr>
          <w:rFonts w:asciiTheme="minorHAnsi" w:hAnsiTheme="minorHAnsi" w:cstheme="minorHAnsi"/>
        </w:rPr>
      </w:pPr>
      <w:r w:rsidRPr="00B53423">
        <w:rPr>
          <w:rFonts w:asciiTheme="minorHAnsi" w:hAnsiTheme="minorHAnsi" w:cstheme="minorHAnsi"/>
        </w:rPr>
        <w:t>The rates prescribed in different categories in terms of kW and kWh will be converted into appropriate kVA and kVAh by multiplying Fixed / Demand Charges and Energy Charges by an average power factor of 0.90.  Similarly, the Fixed / Demand Charges expressed in BHP can be converted into respective kVA rates in accordance with formula given below:</w:t>
      </w:r>
    </w:p>
    <w:p w:rsidR="00D94698" w:rsidRPr="00B53423" w:rsidRDefault="00D94698" w:rsidP="0015232B">
      <w:pPr>
        <w:ind w:left="720"/>
        <w:rPr>
          <w:rFonts w:asciiTheme="minorHAnsi" w:hAnsiTheme="minorHAnsi" w:cstheme="minorHAnsi"/>
          <w:b/>
        </w:rPr>
      </w:pPr>
      <w:r w:rsidRPr="00B53423">
        <w:rPr>
          <w:rFonts w:asciiTheme="minorHAnsi" w:hAnsiTheme="minorHAnsi" w:cstheme="minorHAnsi"/>
          <w:b/>
        </w:rPr>
        <w:t>Demand Charges in kVA = (Demand Charges in BHP / 0.746) * 0 .90</w:t>
      </w:r>
    </w:p>
    <w:p w:rsidR="00D94698" w:rsidRPr="00B53423" w:rsidRDefault="00D94698" w:rsidP="0015232B">
      <w:pPr>
        <w:ind w:left="720"/>
        <w:rPr>
          <w:rFonts w:asciiTheme="minorHAnsi" w:hAnsiTheme="minorHAnsi" w:cstheme="minorHAnsi"/>
          <w:b/>
        </w:rPr>
      </w:pPr>
      <w:r w:rsidRPr="00B53423">
        <w:rPr>
          <w:rFonts w:asciiTheme="minorHAnsi" w:hAnsiTheme="minorHAnsi" w:cstheme="minorHAnsi"/>
          <w:b/>
        </w:rPr>
        <w:t>Demand Charges in kVA = (Fixed Charges in kW * 0.90)</w:t>
      </w:r>
    </w:p>
    <w:p w:rsidR="00F42C8B" w:rsidRPr="00B53423" w:rsidRDefault="00F42C8B" w:rsidP="0015232B">
      <w:pPr>
        <w:ind w:left="720"/>
        <w:rPr>
          <w:rFonts w:asciiTheme="minorHAnsi" w:hAnsiTheme="minorHAnsi" w:cstheme="minorHAnsi"/>
          <w:b/>
        </w:rPr>
      </w:pPr>
      <w:r w:rsidRPr="00B53423">
        <w:rPr>
          <w:rFonts w:asciiTheme="minorHAnsi" w:hAnsiTheme="minorHAnsi" w:cstheme="minorHAnsi"/>
          <w:b/>
        </w:rPr>
        <w:t>Energy Charges in kVAh = (Energy Charges in kWh * 0.90)</w:t>
      </w:r>
    </w:p>
    <w:p w:rsidR="00D94698" w:rsidRPr="00B53423" w:rsidRDefault="00D94698" w:rsidP="0015232B">
      <w:pPr>
        <w:ind w:left="720"/>
        <w:rPr>
          <w:rFonts w:asciiTheme="minorHAnsi" w:hAnsiTheme="minorHAnsi" w:cstheme="minorHAnsi"/>
        </w:rPr>
      </w:pPr>
    </w:p>
    <w:p w:rsidR="00D94698" w:rsidRPr="00B53423" w:rsidRDefault="00D94698" w:rsidP="0015232B">
      <w:pPr>
        <w:ind w:left="720"/>
        <w:rPr>
          <w:rFonts w:asciiTheme="minorHAnsi" w:hAnsiTheme="minorHAnsi" w:cstheme="minorHAnsi"/>
        </w:rPr>
      </w:pPr>
    </w:p>
    <w:p w:rsidR="00D94698" w:rsidRPr="00B53423" w:rsidRDefault="00D94698" w:rsidP="0015232B">
      <w:pPr>
        <w:ind w:left="1440" w:hanging="720"/>
        <w:rPr>
          <w:rFonts w:asciiTheme="minorHAnsi" w:hAnsiTheme="minorHAnsi" w:cstheme="minorHAnsi"/>
        </w:rPr>
      </w:pPr>
      <w:r w:rsidRPr="00B53423">
        <w:rPr>
          <w:rFonts w:asciiTheme="minorHAnsi" w:hAnsiTheme="minorHAnsi" w:cstheme="minorHAnsi"/>
          <w:b/>
        </w:rPr>
        <w:t>Note:</w:t>
      </w:r>
      <w:r w:rsidRPr="00B53423">
        <w:rPr>
          <w:rFonts w:asciiTheme="minorHAnsi" w:hAnsiTheme="minorHAnsi" w:cstheme="minorHAnsi"/>
        </w:rPr>
        <w:t xml:space="preserve">  </w:t>
      </w:r>
      <w:r w:rsidRPr="00B53423">
        <w:rPr>
          <w:rFonts w:asciiTheme="minorHAnsi" w:hAnsiTheme="minorHAnsi" w:cstheme="minorHAnsi"/>
        </w:rPr>
        <w:tab/>
        <w:t>If the power factor of a consumer is leading and is within the range of 0.95 -1.00, then for tariff application purposes such leading power factor shall be treated as unity. The bills of such consumers shall be prepared accordingly. However, if the leading power factor is below 0.95 (lead) then the consumer shall be billed as per the kVAh reading indicated by the meter. However, the aforesaid provision of treating power factor below 0.95 (lead) as the commensurate lagging power factor for the purposes of billing shall not be applicable on HV-3 category and shall be treated as unity. Hence, for HV-3, lag + lead logic of the meter should not be used and “lag only” logic of the meter should be provided which blocks leading kVARh thereby treating leading power factor as unity and registering instantaneous kWh as instantaneous kVAh in case of leading power factor.</w:t>
      </w:r>
    </w:p>
    <w:p w:rsidR="00D94698" w:rsidRPr="00B53423" w:rsidRDefault="00D94698" w:rsidP="0015232B">
      <w:pPr>
        <w:ind w:left="1440" w:hanging="720"/>
        <w:rPr>
          <w:rFonts w:asciiTheme="minorHAnsi" w:hAnsiTheme="minorHAnsi" w:cstheme="minorHAnsi"/>
          <w:u w:val="single"/>
        </w:rPr>
      </w:pPr>
    </w:p>
    <w:p w:rsidR="00D94698" w:rsidRPr="00B53423" w:rsidRDefault="00D94698" w:rsidP="0015232B">
      <w:pPr>
        <w:tabs>
          <w:tab w:val="left" w:pos="720"/>
        </w:tabs>
        <w:spacing w:before="100" w:after="100"/>
        <w:rPr>
          <w:rFonts w:asciiTheme="minorHAnsi" w:hAnsiTheme="minorHAnsi" w:cstheme="minorHAnsi"/>
          <w:b/>
        </w:rPr>
      </w:pPr>
      <w:r w:rsidRPr="00B53423">
        <w:rPr>
          <w:rFonts w:asciiTheme="minorHAnsi" w:hAnsiTheme="minorHAnsi" w:cstheme="minorHAnsi"/>
          <w:b/>
        </w:rPr>
        <w:t>6.</w:t>
      </w:r>
      <w:r w:rsidRPr="00B53423">
        <w:rPr>
          <w:rFonts w:asciiTheme="minorHAnsi" w:hAnsiTheme="minorHAnsi" w:cstheme="minorHAnsi"/>
        </w:rPr>
        <w:tab/>
      </w:r>
      <w:r w:rsidRPr="00B53423">
        <w:rPr>
          <w:rFonts w:asciiTheme="minorHAnsi" w:hAnsiTheme="minorHAnsi" w:cstheme="minorHAnsi"/>
          <w:b/>
        </w:rPr>
        <w:t>BILLABLE LOAD / DEMAND:</w:t>
      </w:r>
    </w:p>
    <w:p w:rsidR="00D94698" w:rsidRPr="00B53423" w:rsidRDefault="00D94698" w:rsidP="0015232B">
      <w:pPr>
        <w:spacing w:before="100" w:after="100"/>
        <w:ind w:left="720" w:right="-58"/>
        <w:rPr>
          <w:rFonts w:asciiTheme="minorHAnsi" w:hAnsiTheme="minorHAnsi" w:cstheme="minorHAnsi"/>
        </w:rPr>
      </w:pPr>
      <w:r w:rsidRPr="00B53423">
        <w:rPr>
          <w:rFonts w:asciiTheme="minorHAnsi" w:hAnsiTheme="minorHAnsi" w:cstheme="minorHAnsi"/>
        </w:rPr>
        <w:t>For all consumers having TVM / TOD / Demand recording meters installed, the billable load / demand during a month shall be the actual maximum load / demand as recorded by the meter (can be in parts of kW or kVA) or 75% of the contracted load / demand (kW or kVA), whichever is higher. The consumers having load of 10 KW / 13.4 BHP and above, the contracted demand in kVA can be worked out according to the following formula:</w:t>
      </w:r>
    </w:p>
    <w:p w:rsidR="00D94698" w:rsidRPr="00B53423" w:rsidRDefault="00D94698" w:rsidP="0015232B">
      <w:pPr>
        <w:spacing w:before="100" w:after="100"/>
        <w:ind w:left="720" w:right="-58"/>
        <w:rPr>
          <w:rFonts w:asciiTheme="minorHAnsi" w:hAnsiTheme="minorHAnsi" w:cstheme="minorHAnsi"/>
          <w:b/>
        </w:rPr>
      </w:pPr>
      <w:r w:rsidRPr="00B53423">
        <w:rPr>
          <w:rFonts w:asciiTheme="minorHAnsi" w:hAnsiTheme="minorHAnsi" w:cstheme="minorHAnsi"/>
          <w:b/>
        </w:rPr>
        <w:t>Demand in kVA = (Load in BHP *0.746)/ 0.90</w:t>
      </w:r>
    </w:p>
    <w:p w:rsidR="00D94698" w:rsidRPr="00B53423" w:rsidRDefault="00D94698" w:rsidP="0015232B">
      <w:pPr>
        <w:spacing w:before="100" w:after="100"/>
        <w:ind w:left="720" w:right="-58"/>
        <w:rPr>
          <w:rFonts w:asciiTheme="minorHAnsi" w:hAnsiTheme="minorHAnsi" w:cstheme="minorHAnsi"/>
          <w:b/>
        </w:rPr>
      </w:pPr>
      <w:r w:rsidRPr="00B53423">
        <w:rPr>
          <w:rFonts w:asciiTheme="minorHAnsi" w:hAnsiTheme="minorHAnsi" w:cstheme="minorHAnsi"/>
          <w:b/>
        </w:rPr>
        <w:t>Demand in kVA = (Load in kW)/ 0.90</w:t>
      </w:r>
    </w:p>
    <w:p w:rsidR="00D94698" w:rsidRPr="00B53423" w:rsidRDefault="00D94698" w:rsidP="0015232B">
      <w:pPr>
        <w:spacing w:before="100" w:after="100"/>
        <w:ind w:left="720" w:right="-58"/>
        <w:rPr>
          <w:rFonts w:asciiTheme="minorHAnsi" w:hAnsiTheme="minorHAnsi" w:cstheme="minorHAnsi"/>
        </w:rPr>
      </w:pPr>
      <w:r w:rsidRPr="00B53423">
        <w:rPr>
          <w:rFonts w:asciiTheme="minorHAnsi" w:hAnsiTheme="minorHAnsi" w:cstheme="minorHAnsi"/>
          <w:b/>
        </w:rPr>
        <w:t>Example</w:t>
      </w:r>
      <w:r w:rsidR="00066721">
        <w:rPr>
          <w:rFonts w:asciiTheme="minorHAnsi" w:hAnsiTheme="minorHAnsi" w:cstheme="minorHAnsi"/>
          <w:b/>
        </w:rPr>
        <w:t>s</w:t>
      </w:r>
      <w:r w:rsidRPr="00B53423">
        <w:rPr>
          <w:rFonts w:asciiTheme="minorHAnsi" w:hAnsiTheme="minorHAnsi" w:cstheme="minorHAnsi"/>
          <w:b/>
        </w:rPr>
        <w:t xml:space="preserve">: </w:t>
      </w:r>
    </w:p>
    <w:p w:rsidR="00D94698" w:rsidRPr="00B53423" w:rsidRDefault="00D94698" w:rsidP="000174C0">
      <w:pPr>
        <w:pStyle w:val="ListParagraph"/>
        <w:numPr>
          <w:ilvl w:val="0"/>
          <w:numId w:val="83"/>
        </w:numPr>
        <w:spacing w:before="100" w:after="100"/>
        <w:ind w:left="1440" w:right="-58"/>
        <w:rPr>
          <w:rFonts w:cstheme="minorHAnsi"/>
        </w:rPr>
      </w:pPr>
      <w:r w:rsidRPr="00B53423">
        <w:rPr>
          <w:rFonts w:cstheme="minorHAnsi"/>
        </w:rPr>
        <w:t>Contracted demand = 2500 kVA,</w:t>
      </w:r>
    </w:p>
    <w:p w:rsidR="00D94698" w:rsidRPr="00B53423" w:rsidRDefault="00D94698" w:rsidP="0015232B">
      <w:pPr>
        <w:pStyle w:val="ListParagraph"/>
        <w:spacing w:before="100" w:after="100"/>
        <w:ind w:left="1440" w:right="-58"/>
        <w:rPr>
          <w:rFonts w:cstheme="minorHAnsi"/>
        </w:rPr>
      </w:pPr>
      <w:r w:rsidRPr="00B53423">
        <w:rPr>
          <w:rFonts w:cstheme="minorHAnsi"/>
        </w:rPr>
        <w:t>Maximum Demand recorded by the meter = 2800 kVA,</w:t>
      </w:r>
    </w:p>
    <w:p w:rsidR="00D94698" w:rsidRPr="00B53423" w:rsidRDefault="00D94698" w:rsidP="0015232B">
      <w:pPr>
        <w:spacing w:before="100" w:after="100"/>
        <w:ind w:left="1440" w:right="-58"/>
        <w:rPr>
          <w:rFonts w:asciiTheme="minorHAnsi" w:hAnsiTheme="minorHAnsi" w:cstheme="minorHAnsi"/>
        </w:rPr>
      </w:pPr>
      <w:r w:rsidRPr="00B53423">
        <w:rPr>
          <w:rFonts w:asciiTheme="minorHAnsi" w:hAnsiTheme="minorHAnsi" w:cstheme="minorHAnsi"/>
        </w:rPr>
        <w:t>75% of the contracted demand = 0.75 x 2500 kVA = 1875 kVA</w:t>
      </w:r>
    </w:p>
    <w:p w:rsidR="00D94698" w:rsidRPr="00B53423" w:rsidRDefault="00D94698" w:rsidP="0015232B">
      <w:pPr>
        <w:spacing w:before="100" w:after="100"/>
        <w:ind w:left="1440" w:right="-58"/>
        <w:rPr>
          <w:rFonts w:asciiTheme="minorHAnsi" w:hAnsiTheme="minorHAnsi" w:cstheme="minorHAnsi"/>
          <w:b/>
        </w:rPr>
      </w:pPr>
      <w:r w:rsidRPr="00B53423">
        <w:rPr>
          <w:rFonts w:asciiTheme="minorHAnsi" w:hAnsiTheme="minorHAnsi" w:cstheme="minorHAnsi"/>
          <w:b/>
        </w:rPr>
        <w:t>Billable Demand = 2800 kVA,</w:t>
      </w:r>
    </w:p>
    <w:p w:rsidR="00D94698" w:rsidRPr="00B53423" w:rsidRDefault="00D94698" w:rsidP="0015232B">
      <w:pPr>
        <w:spacing w:before="100" w:after="100"/>
        <w:ind w:left="1440" w:right="-58"/>
        <w:rPr>
          <w:rFonts w:asciiTheme="minorHAnsi" w:hAnsiTheme="minorHAnsi" w:cstheme="minorHAnsi"/>
        </w:rPr>
      </w:pPr>
      <w:r w:rsidRPr="00B53423">
        <w:rPr>
          <w:rFonts w:asciiTheme="minorHAnsi" w:hAnsiTheme="minorHAnsi" w:cstheme="minorHAnsi"/>
        </w:rPr>
        <w:t xml:space="preserve">Excess Demand = 2800 - 2500 = 300 kVA, </w:t>
      </w:r>
    </w:p>
    <w:p w:rsidR="00D94698" w:rsidRPr="00B53423" w:rsidRDefault="00D94698" w:rsidP="000174C0">
      <w:pPr>
        <w:pStyle w:val="ListParagraph"/>
        <w:numPr>
          <w:ilvl w:val="0"/>
          <w:numId w:val="83"/>
        </w:numPr>
        <w:spacing w:before="100" w:after="100"/>
        <w:ind w:left="1440" w:right="-58"/>
        <w:rPr>
          <w:rFonts w:cstheme="minorHAnsi"/>
        </w:rPr>
      </w:pPr>
      <w:r w:rsidRPr="00B53423">
        <w:rPr>
          <w:rFonts w:cstheme="minorHAnsi"/>
        </w:rPr>
        <w:t xml:space="preserve">Contracted demand = 2500 kVA, </w:t>
      </w:r>
    </w:p>
    <w:p w:rsidR="00D94698" w:rsidRPr="00B53423" w:rsidRDefault="00D94698" w:rsidP="0015232B">
      <w:pPr>
        <w:pStyle w:val="ListParagraph"/>
        <w:spacing w:before="100" w:after="100"/>
        <w:ind w:left="1440" w:right="-58"/>
        <w:rPr>
          <w:rFonts w:cstheme="minorHAnsi"/>
        </w:rPr>
      </w:pPr>
      <w:r w:rsidRPr="00B53423">
        <w:rPr>
          <w:rFonts w:cstheme="minorHAnsi"/>
        </w:rPr>
        <w:t>Maximum Demand recorded by the meter = 1800 kVA,</w:t>
      </w:r>
    </w:p>
    <w:p w:rsidR="00D94698" w:rsidRPr="00B53423" w:rsidRDefault="00D94698" w:rsidP="0015232B">
      <w:pPr>
        <w:spacing w:before="100" w:after="100"/>
        <w:ind w:left="1440" w:right="-58"/>
        <w:rPr>
          <w:rFonts w:asciiTheme="minorHAnsi" w:hAnsiTheme="minorHAnsi" w:cstheme="minorHAnsi"/>
        </w:rPr>
      </w:pPr>
      <w:r w:rsidRPr="00B53423">
        <w:rPr>
          <w:rFonts w:asciiTheme="minorHAnsi" w:hAnsiTheme="minorHAnsi" w:cstheme="minorHAnsi"/>
        </w:rPr>
        <w:t>75% of Contracted Demand = 0.75 x 2500 kVA = 1875 kVA</w:t>
      </w:r>
    </w:p>
    <w:p w:rsidR="00D94698" w:rsidRPr="00B53423" w:rsidRDefault="00D94698" w:rsidP="0015232B">
      <w:pPr>
        <w:spacing w:before="100" w:after="100"/>
        <w:ind w:left="1440" w:right="-58"/>
        <w:rPr>
          <w:rFonts w:asciiTheme="minorHAnsi" w:hAnsiTheme="minorHAnsi" w:cstheme="minorHAnsi"/>
          <w:b/>
        </w:rPr>
      </w:pPr>
      <w:r w:rsidRPr="00B53423">
        <w:rPr>
          <w:rFonts w:asciiTheme="minorHAnsi" w:hAnsiTheme="minorHAnsi" w:cstheme="minorHAnsi"/>
          <w:b/>
        </w:rPr>
        <w:t>Billable Demand = 1875 kVA,</w:t>
      </w:r>
    </w:p>
    <w:p w:rsidR="00D94698" w:rsidRPr="00B53423" w:rsidRDefault="00D94698" w:rsidP="000174C0">
      <w:pPr>
        <w:pStyle w:val="ListParagraph"/>
        <w:numPr>
          <w:ilvl w:val="0"/>
          <w:numId w:val="83"/>
        </w:numPr>
        <w:spacing w:before="100" w:after="100"/>
        <w:ind w:left="1440" w:right="-58"/>
        <w:rPr>
          <w:rFonts w:cstheme="minorHAnsi"/>
        </w:rPr>
      </w:pPr>
      <w:r w:rsidRPr="00B53423">
        <w:rPr>
          <w:rFonts w:cstheme="minorHAnsi"/>
        </w:rPr>
        <w:t xml:space="preserve">Contracted load = 3 kW, </w:t>
      </w:r>
    </w:p>
    <w:p w:rsidR="00D94698" w:rsidRPr="00B53423" w:rsidRDefault="00D94698" w:rsidP="0015232B">
      <w:pPr>
        <w:pStyle w:val="ListParagraph"/>
        <w:spacing w:before="100" w:after="100"/>
        <w:ind w:left="1440" w:right="-58"/>
        <w:rPr>
          <w:rFonts w:cstheme="minorHAnsi"/>
        </w:rPr>
      </w:pPr>
      <w:r w:rsidRPr="00B53423">
        <w:rPr>
          <w:rFonts w:cstheme="minorHAnsi"/>
        </w:rPr>
        <w:t>Maximum load recorded by the meter = 2.2 kW,</w:t>
      </w:r>
    </w:p>
    <w:p w:rsidR="00D94698" w:rsidRPr="00B53423" w:rsidRDefault="00D94698" w:rsidP="0015232B">
      <w:pPr>
        <w:spacing w:before="100" w:after="100"/>
        <w:ind w:left="1440" w:right="-58"/>
        <w:rPr>
          <w:rFonts w:asciiTheme="minorHAnsi" w:hAnsiTheme="minorHAnsi" w:cstheme="minorHAnsi"/>
        </w:rPr>
      </w:pPr>
      <w:r w:rsidRPr="00B53423">
        <w:rPr>
          <w:rFonts w:asciiTheme="minorHAnsi" w:hAnsiTheme="minorHAnsi" w:cstheme="minorHAnsi"/>
        </w:rPr>
        <w:t>75% of Contracted load = 0.75 x 3 kW = 2.25 kW</w:t>
      </w:r>
    </w:p>
    <w:p w:rsidR="00D94698" w:rsidRPr="00B53423" w:rsidRDefault="00D94698" w:rsidP="0015232B">
      <w:pPr>
        <w:spacing w:before="100" w:after="100"/>
        <w:ind w:left="1440" w:right="-58"/>
        <w:rPr>
          <w:rFonts w:asciiTheme="minorHAnsi" w:hAnsiTheme="minorHAnsi" w:cstheme="minorHAnsi"/>
          <w:b/>
        </w:rPr>
      </w:pPr>
      <w:r w:rsidRPr="00B53423">
        <w:rPr>
          <w:rFonts w:asciiTheme="minorHAnsi" w:hAnsiTheme="minorHAnsi" w:cstheme="minorHAnsi"/>
          <w:b/>
        </w:rPr>
        <w:t>Billable Load = 2.25 kW,</w:t>
      </w:r>
    </w:p>
    <w:p w:rsidR="00D94698" w:rsidRPr="00B53423" w:rsidRDefault="00D94698" w:rsidP="000174C0">
      <w:pPr>
        <w:pStyle w:val="ListParagraph"/>
        <w:numPr>
          <w:ilvl w:val="0"/>
          <w:numId w:val="83"/>
        </w:numPr>
        <w:spacing w:before="100" w:after="100"/>
        <w:ind w:left="1440" w:right="-58"/>
        <w:rPr>
          <w:rFonts w:cstheme="minorHAnsi"/>
        </w:rPr>
      </w:pPr>
      <w:r w:rsidRPr="00B53423">
        <w:rPr>
          <w:rFonts w:cstheme="minorHAnsi"/>
        </w:rPr>
        <w:t xml:space="preserve">Contracted load = 3 kW, </w:t>
      </w:r>
    </w:p>
    <w:p w:rsidR="00D94698" w:rsidRPr="00B53423" w:rsidRDefault="00D94698" w:rsidP="0015232B">
      <w:pPr>
        <w:pStyle w:val="ListParagraph"/>
        <w:spacing w:before="100" w:after="100"/>
        <w:ind w:left="1440" w:right="-58"/>
        <w:rPr>
          <w:rFonts w:cstheme="minorHAnsi"/>
        </w:rPr>
      </w:pPr>
      <w:r w:rsidRPr="00B53423">
        <w:rPr>
          <w:rFonts w:cstheme="minorHAnsi"/>
        </w:rPr>
        <w:t>Maximum load recorded by the meter = 3.20 kW,</w:t>
      </w:r>
    </w:p>
    <w:p w:rsidR="00D94698" w:rsidRPr="00B53423" w:rsidRDefault="00D94698" w:rsidP="0015232B">
      <w:pPr>
        <w:spacing w:before="100" w:after="100"/>
        <w:ind w:left="1440" w:right="-58"/>
        <w:rPr>
          <w:rFonts w:asciiTheme="minorHAnsi" w:hAnsiTheme="minorHAnsi" w:cstheme="minorHAnsi"/>
        </w:rPr>
      </w:pPr>
      <w:r w:rsidRPr="00B53423">
        <w:rPr>
          <w:rFonts w:asciiTheme="minorHAnsi" w:hAnsiTheme="minorHAnsi" w:cstheme="minorHAnsi"/>
        </w:rPr>
        <w:t>75% of Contracted load = 0.75 x 3 kW = 2.25 kW</w:t>
      </w:r>
    </w:p>
    <w:p w:rsidR="00D94698" w:rsidRPr="00B53423" w:rsidRDefault="00D94698" w:rsidP="0015232B">
      <w:pPr>
        <w:spacing w:before="100" w:after="100"/>
        <w:ind w:left="1440" w:right="-58"/>
        <w:rPr>
          <w:rFonts w:asciiTheme="minorHAnsi" w:hAnsiTheme="minorHAnsi" w:cstheme="minorHAnsi"/>
          <w:b/>
        </w:rPr>
      </w:pPr>
      <w:r w:rsidRPr="00B53423">
        <w:rPr>
          <w:rFonts w:asciiTheme="minorHAnsi" w:hAnsiTheme="minorHAnsi" w:cstheme="minorHAnsi"/>
          <w:b/>
        </w:rPr>
        <w:t>Billable Load = 3.20 kW,</w:t>
      </w:r>
    </w:p>
    <w:p w:rsidR="00D94698" w:rsidRPr="00B53423" w:rsidRDefault="00D94698" w:rsidP="0015232B">
      <w:pPr>
        <w:spacing w:before="100" w:after="100"/>
        <w:ind w:left="1440" w:right="-58"/>
        <w:rPr>
          <w:rFonts w:asciiTheme="minorHAnsi" w:hAnsiTheme="minorHAnsi" w:cstheme="minorHAnsi"/>
          <w:b/>
        </w:rPr>
      </w:pPr>
      <w:r w:rsidRPr="00B53423">
        <w:rPr>
          <w:rFonts w:asciiTheme="minorHAnsi" w:hAnsiTheme="minorHAnsi" w:cstheme="minorHAnsi"/>
        </w:rPr>
        <w:t>Excess load = 3.20 – 3.00 = 0.20 kW,</w:t>
      </w:r>
    </w:p>
    <w:p w:rsidR="00D94698" w:rsidRPr="00B53423" w:rsidRDefault="00D94698" w:rsidP="000174C0">
      <w:pPr>
        <w:pStyle w:val="ListParagraph"/>
        <w:numPr>
          <w:ilvl w:val="0"/>
          <w:numId w:val="83"/>
        </w:numPr>
        <w:spacing w:before="100" w:after="100"/>
        <w:ind w:left="1440" w:right="-58"/>
        <w:rPr>
          <w:rFonts w:cstheme="minorHAnsi"/>
        </w:rPr>
      </w:pPr>
      <w:r w:rsidRPr="00B53423">
        <w:rPr>
          <w:rFonts w:cstheme="minorHAnsi"/>
        </w:rPr>
        <w:t xml:space="preserve">Contracted load = 10 kW, </w:t>
      </w:r>
    </w:p>
    <w:p w:rsidR="00D94698" w:rsidRPr="00B53423" w:rsidRDefault="00D94698" w:rsidP="0015232B">
      <w:pPr>
        <w:pStyle w:val="ListParagraph"/>
        <w:spacing w:before="100" w:after="100"/>
        <w:ind w:left="1440" w:right="-58"/>
        <w:rPr>
          <w:rFonts w:cstheme="minorHAnsi"/>
        </w:rPr>
      </w:pPr>
      <w:r w:rsidRPr="00B53423">
        <w:rPr>
          <w:rFonts w:cstheme="minorHAnsi"/>
        </w:rPr>
        <w:t>Contracted demand in kVA = 10 / 0.9 kVA = 11.11 kVA</w:t>
      </w:r>
    </w:p>
    <w:p w:rsidR="00D94698" w:rsidRPr="00B53423" w:rsidRDefault="00D94698" w:rsidP="0015232B">
      <w:pPr>
        <w:pStyle w:val="ListParagraph"/>
        <w:spacing w:before="100" w:after="100"/>
        <w:ind w:left="1440" w:right="-58"/>
        <w:rPr>
          <w:rFonts w:cstheme="minorHAnsi"/>
        </w:rPr>
      </w:pPr>
      <w:r w:rsidRPr="00B53423">
        <w:rPr>
          <w:rFonts w:cstheme="minorHAnsi"/>
        </w:rPr>
        <w:t>Maximum demand recorded by the meter = 13.20 kVA,</w:t>
      </w:r>
    </w:p>
    <w:p w:rsidR="00D94698" w:rsidRPr="00B53423" w:rsidRDefault="00D94698" w:rsidP="0015232B">
      <w:pPr>
        <w:spacing w:before="100" w:after="100"/>
        <w:ind w:left="1440" w:right="-58"/>
        <w:rPr>
          <w:rFonts w:asciiTheme="minorHAnsi" w:hAnsiTheme="minorHAnsi" w:cstheme="minorHAnsi"/>
        </w:rPr>
      </w:pPr>
      <w:r w:rsidRPr="00B53423">
        <w:rPr>
          <w:rFonts w:asciiTheme="minorHAnsi" w:hAnsiTheme="minorHAnsi" w:cstheme="minorHAnsi"/>
        </w:rPr>
        <w:t>75% of Contracted demand = 0.75 x 11.11 kVA = 8.33 kVA</w:t>
      </w:r>
    </w:p>
    <w:p w:rsidR="00D94698" w:rsidRPr="00B53423" w:rsidRDefault="00D94698" w:rsidP="0015232B">
      <w:pPr>
        <w:spacing w:before="100" w:after="100"/>
        <w:ind w:left="1440" w:right="-58"/>
        <w:rPr>
          <w:rFonts w:asciiTheme="minorHAnsi" w:hAnsiTheme="minorHAnsi" w:cstheme="minorHAnsi"/>
          <w:b/>
        </w:rPr>
      </w:pPr>
      <w:r w:rsidRPr="00B53423">
        <w:rPr>
          <w:rFonts w:asciiTheme="minorHAnsi" w:hAnsiTheme="minorHAnsi" w:cstheme="minorHAnsi"/>
          <w:b/>
        </w:rPr>
        <w:t>Billable Demand = 13.20 kVA,</w:t>
      </w:r>
    </w:p>
    <w:p w:rsidR="00D94698" w:rsidRPr="00B53423" w:rsidRDefault="00D94698" w:rsidP="0015232B">
      <w:pPr>
        <w:spacing w:before="100" w:after="100"/>
        <w:ind w:left="1440" w:right="-58"/>
        <w:rPr>
          <w:rFonts w:asciiTheme="minorHAnsi" w:hAnsiTheme="minorHAnsi" w:cstheme="minorHAnsi"/>
        </w:rPr>
      </w:pPr>
      <w:r w:rsidRPr="00B53423">
        <w:rPr>
          <w:rFonts w:asciiTheme="minorHAnsi" w:hAnsiTheme="minorHAnsi" w:cstheme="minorHAnsi"/>
        </w:rPr>
        <w:t>Excess Demand = 13.20 kVA – 11.11 kVA = 2.08 kVA</w:t>
      </w:r>
    </w:p>
    <w:p w:rsidR="00D94698" w:rsidRPr="00B53423" w:rsidRDefault="00D94698" w:rsidP="0015232B">
      <w:pPr>
        <w:tabs>
          <w:tab w:val="left" w:pos="720"/>
        </w:tabs>
        <w:spacing w:before="100" w:after="100"/>
        <w:rPr>
          <w:rFonts w:asciiTheme="minorHAnsi" w:hAnsiTheme="minorHAnsi" w:cstheme="minorHAnsi"/>
        </w:rPr>
      </w:pPr>
    </w:p>
    <w:p w:rsidR="00D94698" w:rsidRPr="00B53423" w:rsidRDefault="00D94698" w:rsidP="0015232B">
      <w:pPr>
        <w:tabs>
          <w:tab w:val="left" w:pos="720"/>
        </w:tabs>
        <w:spacing w:before="100" w:after="100"/>
        <w:rPr>
          <w:rFonts w:asciiTheme="minorHAnsi" w:hAnsiTheme="minorHAnsi" w:cstheme="minorHAnsi"/>
          <w:b/>
        </w:rPr>
      </w:pPr>
      <w:r w:rsidRPr="00B53423">
        <w:rPr>
          <w:rFonts w:asciiTheme="minorHAnsi" w:hAnsiTheme="minorHAnsi" w:cstheme="minorHAnsi"/>
          <w:b/>
        </w:rPr>
        <w:t>7.</w:t>
      </w:r>
      <w:r w:rsidRPr="00B53423">
        <w:rPr>
          <w:rFonts w:asciiTheme="minorHAnsi" w:hAnsiTheme="minorHAnsi" w:cstheme="minorHAnsi"/>
          <w:b/>
        </w:rPr>
        <w:tab/>
        <w:t>SURCHARGE / PENALTY:</w:t>
      </w:r>
    </w:p>
    <w:p w:rsidR="00D94698" w:rsidRPr="00B53423" w:rsidRDefault="00D94698" w:rsidP="000174C0">
      <w:pPr>
        <w:numPr>
          <w:ilvl w:val="0"/>
          <w:numId w:val="81"/>
        </w:numPr>
        <w:spacing w:before="100" w:line="288" w:lineRule="auto"/>
        <w:ind w:right="11"/>
        <w:rPr>
          <w:rFonts w:asciiTheme="minorHAnsi" w:hAnsiTheme="minorHAnsi" w:cstheme="minorHAnsi"/>
          <w:b/>
        </w:rPr>
      </w:pPr>
      <w:r w:rsidRPr="00B53423">
        <w:rPr>
          <w:rFonts w:asciiTheme="minorHAnsi" w:hAnsiTheme="minorHAnsi" w:cstheme="minorHAnsi"/>
          <w:b/>
        </w:rPr>
        <w:t>DELAYED PAYMENT:</w:t>
      </w:r>
    </w:p>
    <w:p w:rsidR="00D94698" w:rsidRPr="00B53423" w:rsidRDefault="00D94698" w:rsidP="0015232B">
      <w:pPr>
        <w:ind w:left="720"/>
        <w:rPr>
          <w:rFonts w:asciiTheme="minorHAnsi" w:hAnsiTheme="minorHAnsi" w:cstheme="minorHAnsi"/>
        </w:rPr>
      </w:pPr>
      <w:r w:rsidRPr="00B53423">
        <w:rPr>
          <w:rFonts w:asciiTheme="minorHAnsi" w:hAnsiTheme="minorHAnsi" w:cstheme="minorHAnsi"/>
        </w:rPr>
        <w:t>If a consumer fails to pay his electricity bill by the due date specified therein, a late payment surcharge shall be levied at 1.5% per month. Late payment surcharge shall be calculated proportionately for the number of days for which the payment is delayed beyond the due date specified in the bill and levied on the unpaid amount of the bill excluding surcharge. Imposition of this surcharge is without prejudice to the right of the Licensee to disconnect the supply or take any other measure permissible under the law.</w:t>
      </w:r>
    </w:p>
    <w:p w:rsidR="00D94698" w:rsidRPr="00B53423" w:rsidRDefault="00D94698" w:rsidP="0015232B">
      <w:pPr>
        <w:ind w:left="720"/>
        <w:rPr>
          <w:rFonts w:asciiTheme="minorHAnsi" w:hAnsiTheme="minorHAnsi" w:cstheme="minorHAnsi"/>
        </w:rPr>
      </w:pPr>
    </w:p>
    <w:p w:rsidR="00D94698" w:rsidRPr="00B53423" w:rsidRDefault="00D94698" w:rsidP="000174C0">
      <w:pPr>
        <w:numPr>
          <w:ilvl w:val="0"/>
          <w:numId w:val="81"/>
        </w:numPr>
        <w:spacing w:before="100" w:line="288" w:lineRule="auto"/>
        <w:ind w:right="11"/>
        <w:rPr>
          <w:rFonts w:asciiTheme="minorHAnsi" w:hAnsiTheme="minorHAnsi" w:cstheme="minorHAnsi"/>
          <w:b/>
        </w:rPr>
      </w:pPr>
      <w:r w:rsidRPr="00B53423">
        <w:rPr>
          <w:rFonts w:asciiTheme="minorHAnsi" w:hAnsiTheme="minorHAnsi" w:cstheme="minorHAnsi"/>
          <w:b/>
        </w:rPr>
        <w:t xml:space="preserve">CHARGES FOR EXCEEDING CONTRACTED DEMAND: </w:t>
      </w:r>
    </w:p>
    <w:p w:rsidR="00D94698" w:rsidRPr="00B53423" w:rsidRDefault="00D94698" w:rsidP="0015232B">
      <w:pPr>
        <w:spacing w:before="100" w:after="100"/>
        <w:ind w:left="720" w:right="-58"/>
        <w:rPr>
          <w:rFonts w:asciiTheme="minorHAnsi" w:hAnsiTheme="minorHAnsi" w:cstheme="minorHAnsi"/>
        </w:rPr>
      </w:pPr>
      <w:r w:rsidRPr="00B53423">
        <w:rPr>
          <w:rFonts w:asciiTheme="minorHAnsi" w:hAnsiTheme="minorHAnsi" w:cstheme="minorHAnsi"/>
        </w:rPr>
        <w:t xml:space="preserve">If the maximum load / demand in any month of a consumer having TVM / TOD / Demand recording meters exceed the contracted load / demand, then such excess load / demand shall be levied equal to twice the normal rate apart from the normal fixed / demand charge as per the maximum load / demand recorded by the meter.  </w:t>
      </w:r>
    </w:p>
    <w:p w:rsidR="00D94698" w:rsidRPr="00B53423" w:rsidRDefault="00D94698" w:rsidP="0015232B">
      <w:pPr>
        <w:spacing w:before="100" w:after="100"/>
        <w:ind w:left="720" w:right="-58"/>
        <w:rPr>
          <w:rFonts w:asciiTheme="minorHAnsi" w:hAnsiTheme="minorHAnsi" w:cstheme="minorHAnsi"/>
        </w:rPr>
      </w:pPr>
    </w:p>
    <w:p w:rsidR="00D94698" w:rsidRPr="00B53423" w:rsidRDefault="00D94698" w:rsidP="0015232B">
      <w:pPr>
        <w:spacing w:before="100" w:after="100"/>
        <w:ind w:left="720" w:right="-58"/>
        <w:rPr>
          <w:rFonts w:asciiTheme="minorHAnsi" w:hAnsiTheme="minorHAnsi" w:cstheme="minorHAnsi"/>
        </w:rPr>
      </w:pPr>
      <w:r w:rsidRPr="00B53423">
        <w:rPr>
          <w:rFonts w:asciiTheme="minorHAnsi" w:hAnsiTheme="minorHAnsi" w:cstheme="minorHAnsi"/>
        </w:rPr>
        <w:t xml:space="preserve">The above shall be without prejudice to the Licensee’s right to take such other appropriate action including disconnection of supply, as may be deemed necessary to restrain the consumer from exceeding his contracted load. </w:t>
      </w:r>
    </w:p>
    <w:p w:rsidR="00D94698" w:rsidRPr="00B53423" w:rsidRDefault="00D94698" w:rsidP="0015232B">
      <w:pPr>
        <w:spacing w:before="100" w:after="100"/>
        <w:ind w:left="720" w:right="-58"/>
        <w:rPr>
          <w:rFonts w:asciiTheme="minorHAnsi" w:hAnsiTheme="minorHAnsi" w:cstheme="minorHAnsi"/>
        </w:rPr>
      </w:pPr>
    </w:p>
    <w:p w:rsidR="00D94698" w:rsidRPr="00B53423" w:rsidRDefault="00D94698" w:rsidP="0015232B">
      <w:pPr>
        <w:spacing w:before="100" w:after="100"/>
        <w:ind w:left="720" w:right="-58"/>
        <w:rPr>
          <w:rFonts w:asciiTheme="minorHAnsi" w:hAnsiTheme="minorHAnsi" w:cstheme="minorHAnsi"/>
        </w:rPr>
      </w:pPr>
      <w:r w:rsidRPr="00B53423">
        <w:rPr>
          <w:rFonts w:asciiTheme="minorHAnsi" w:hAnsiTheme="minorHAnsi" w:cstheme="minorHAnsi"/>
        </w:rPr>
        <w:t>Any surcharge / penalty shall be over and above the minimum charge, if the consumption bill of the consumer is being prepared on the basis of minimum charge.</w:t>
      </w:r>
    </w:p>
    <w:p w:rsidR="00D94698" w:rsidRPr="00B53423" w:rsidRDefault="00D94698" w:rsidP="0015232B">
      <w:pPr>
        <w:spacing w:before="100" w:after="100"/>
        <w:ind w:left="720" w:right="-58"/>
        <w:rPr>
          <w:rFonts w:asciiTheme="minorHAnsi" w:hAnsiTheme="minorHAnsi" w:cstheme="minorHAnsi"/>
        </w:rPr>
      </w:pPr>
    </w:p>
    <w:p w:rsidR="00D94698" w:rsidRPr="00B53423" w:rsidRDefault="00D94698" w:rsidP="0015232B">
      <w:pPr>
        <w:spacing w:before="100" w:after="100"/>
        <w:ind w:left="720" w:right="-58"/>
        <w:rPr>
          <w:rFonts w:asciiTheme="minorHAnsi" w:hAnsiTheme="minorHAnsi" w:cstheme="minorHAnsi"/>
          <w:b/>
        </w:rPr>
      </w:pPr>
      <w:r w:rsidRPr="00B53423">
        <w:rPr>
          <w:rFonts w:asciiTheme="minorHAnsi" w:hAnsiTheme="minorHAnsi" w:cstheme="minorHAnsi"/>
          <w:b/>
        </w:rPr>
        <w:t>Example</w:t>
      </w:r>
      <w:r w:rsidR="00066721">
        <w:rPr>
          <w:rFonts w:asciiTheme="minorHAnsi" w:hAnsiTheme="minorHAnsi" w:cstheme="minorHAnsi"/>
          <w:b/>
        </w:rPr>
        <w:t>s</w:t>
      </w:r>
      <w:r w:rsidRPr="00B53423">
        <w:rPr>
          <w:rFonts w:asciiTheme="minorHAnsi" w:hAnsiTheme="minorHAnsi" w:cstheme="minorHAnsi"/>
          <w:b/>
        </w:rPr>
        <w:t>:</w:t>
      </w:r>
    </w:p>
    <w:p w:rsidR="00D94698" w:rsidRPr="00B53423" w:rsidRDefault="00D94698" w:rsidP="000174C0">
      <w:pPr>
        <w:pStyle w:val="ListParagraph"/>
        <w:numPr>
          <w:ilvl w:val="0"/>
          <w:numId w:val="82"/>
        </w:numPr>
        <w:spacing w:before="100" w:after="100"/>
        <w:ind w:right="-58"/>
        <w:rPr>
          <w:rFonts w:cstheme="minorHAnsi"/>
          <w:b/>
        </w:rPr>
      </w:pPr>
      <w:r w:rsidRPr="00B53423">
        <w:rPr>
          <w:rFonts w:cstheme="minorHAnsi"/>
          <w:b/>
        </w:rPr>
        <w:t xml:space="preserve">For consumers billed on fixed charge basis: </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Contracted load = 5 kW, Maximum load recorded by meter = 7.2 kW,</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75% of the contracted load = 3.75 kW, Billable Load = 7.2 kW</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 xml:space="preserve">Excess Load = 7.2 kW – 5 kW = 2.2 kW, </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 xml:space="preserve">Rate of Fixed Charges = Rs. 225 / kW </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Fixed Charges for maximum load = 7.2 x 225=Rs. 1620</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 xml:space="preserve">Penalty Charges for excess load = 2.2 x (2 x225) =Rs. 990 </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Total Charges = 1620 + 990 = Rs. 2610</w:t>
      </w:r>
    </w:p>
    <w:p w:rsidR="00D94698" w:rsidRPr="00B53423" w:rsidRDefault="00D94698" w:rsidP="000174C0">
      <w:pPr>
        <w:pStyle w:val="ListParagraph"/>
        <w:numPr>
          <w:ilvl w:val="0"/>
          <w:numId w:val="82"/>
        </w:numPr>
        <w:spacing w:before="100" w:after="100"/>
        <w:ind w:right="-58"/>
        <w:rPr>
          <w:rFonts w:cstheme="minorHAnsi"/>
          <w:b/>
        </w:rPr>
      </w:pPr>
      <w:r w:rsidRPr="00B53423">
        <w:rPr>
          <w:rFonts w:cstheme="minorHAnsi"/>
          <w:b/>
        </w:rPr>
        <w:t xml:space="preserve">For consumers billed on demand charge basis: </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Contracted demand = 2500 kVA, Maximum Demand recorded by meter = 2800 kVA,</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 xml:space="preserve">75% of the contracted demand = </w:t>
      </w:r>
      <w:r w:rsidR="00F42C8B" w:rsidRPr="00B53423">
        <w:rPr>
          <w:rFonts w:asciiTheme="minorHAnsi" w:hAnsiTheme="minorHAnsi" w:cstheme="minorHAnsi"/>
        </w:rPr>
        <w:t>1875</w:t>
      </w:r>
      <w:r w:rsidRPr="00B53423">
        <w:rPr>
          <w:rFonts w:asciiTheme="minorHAnsi" w:hAnsiTheme="minorHAnsi" w:cstheme="minorHAnsi"/>
        </w:rPr>
        <w:t xml:space="preserve"> kVA, Billable demand = 2800 kVA</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 xml:space="preserve">Excess Demand = 2800 kVA – 2500 kVA = 300 kVA, </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Rate of Demand Charges = Rs. 250 / kVA</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 xml:space="preserve">Demand Charges for maximum demand =2800 x 250=Rs. 700000 </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 xml:space="preserve">Penalty Charges for excess demand = 300 x (2 x 250) =Rs. 150000 </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Total Charges = 700000+150000= Rs. 850000</w:t>
      </w:r>
    </w:p>
    <w:p w:rsidR="00D94698" w:rsidRPr="00B53423" w:rsidRDefault="00D94698" w:rsidP="000174C0">
      <w:pPr>
        <w:pStyle w:val="ListParagraph"/>
        <w:numPr>
          <w:ilvl w:val="0"/>
          <w:numId w:val="82"/>
        </w:numPr>
        <w:spacing w:before="100" w:after="100"/>
        <w:ind w:right="-58"/>
        <w:rPr>
          <w:rFonts w:cstheme="minorHAnsi"/>
          <w:b/>
        </w:rPr>
      </w:pPr>
      <w:r w:rsidRPr="00B53423">
        <w:rPr>
          <w:rFonts w:cstheme="minorHAnsi"/>
          <w:b/>
        </w:rPr>
        <w:t xml:space="preserve">For consumers billed on demand charge basis: </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Contracted load = 10 kW, Contracted demand in kVA = 10 / 0.9 kVA = 11.11 kVA</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Maximum demand recorded by the meter = 13.20 kVA,</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75% of Contracted demand = 0.75 x 11.11 kVA = 8.33 kVA</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Billable Demand = 13.20 kVA,</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Excess Demand = 13.20 kVA – 11.11 kVA = 2.0</w:t>
      </w:r>
      <w:r w:rsidR="00F42C8B" w:rsidRPr="00B53423">
        <w:rPr>
          <w:rFonts w:asciiTheme="minorHAnsi" w:hAnsiTheme="minorHAnsi" w:cstheme="minorHAnsi"/>
        </w:rPr>
        <w:t>9</w:t>
      </w:r>
      <w:r w:rsidRPr="00B53423">
        <w:rPr>
          <w:rFonts w:asciiTheme="minorHAnsi" w:hAnsiTheme="minorHAnsi" w:cstheme="minorHAnsi"/>
        </w:rPr>
        <w:t xml:space="preserve"> kVA</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Rate of Demand Charges = Rs. 250 / kVA</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 xml:space="preserve">Demand Charges for maximum demand =13.20 x 250=Rs. 3300 </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Penalty Charges for excess demand = 2.0</w:t>
      </w:r>
      <w:r w:rsidR="00F42C8B" w:rsidRPr="00B53423">
        <w:rPr>
          <w:rFonts w:asciiTheme="minorHAnsi" w:hAnsiTheme="minorHAnsi" w:cstheme="minorHAnsi"/>
        </w:rPr>
        <w:t>9</w:t>
      </w:r>
      <w:r w:rsidRPr="00B53423">
        <w:rPr>
          <w:rFonts w:asciiTheme="minorHAnsi" w:hAnsiTheme="minorHAnsi" w:cstheme="minorHAnsi"/>
        </w:rPr>
        <w:t xml:space="preserve"> x (2 x 250) =Rs. 104</w:t>
      </w:r>
      <w:r w:rsidR="00F42C8B" w:rsidRPr="00B53423">
        <w:rPr>
          <w:rFonts w:asciiTheme="minorHAnsi" w:hAnsiTheme="minorHAnsi" w:cstheme="minorHAnsi"/>
        </w:rPr>
        <w:t>5</w:t>
      </w:r>
      <w:r w:rsidRPr="00B53423">
        <w:rPr>
          <w:rFonts w:asciiTheme="minorHAnsi" w:hAnsiTheme="minorHAnsi" w:cstheme="minorHAnsi"/>
        </w:rPr>
        <w:t xml:space="preserve"> </w:t>
      </w:r>
    </w:p>
    <w:p w:rsidR="00D94698" w:rsidRPr="00B53423" w:rsidRDefault="00D94698" w:rsidP="0015232B">
      <w:pPr>
        <w:spacing w:before="100" w:after="100"/>
        <w:ind w:left="1170" w:right="-58"/>
        <w:rPr>
          <w:rFonts w:asciiTheme="minorHAnsi" w:hAnsiTheme="minorHAnsi" w:cstheme="minorHAnsi"/>
        </w:rPr>
      </w:pPr>
      <w:r w:rsidRPr="00B53423">
        <w:rPr>
          <w:rFonts w:asciiTheme="minorHAnsi" w:hAnsiTheme="minorHAnsi" w:cstheme="minorHAnsi"/>
        </w:rPr>
        <w:t>Total Charges = 3300+1040 = Rs. 434</w:t>
      </w:r>
      <w:r w:rsidR="00F42C8B" w:rsidRPr="00B53423">
        <w:rPr>
          <w:rFonts w:asciiTheme="minorHAnsi" w:hAnsiTheme="minorHAnsi" w:cstheme="minorHAnsi"/>
        </w:rPr>
        <w:t>5</w:t>
      </w:r>
    </w:p>
    <w:p w:rsidR="00D94698" w:rsidRPr="00B53423" w:rsidRDefault="00D94698" w:rsidP="0015232B">
      <w:pPr>
        <w:spacing w:before="100" w:after="100"/>
        <w:ind w:left="720" w:right="-58"/>
        <w:rPr>
          <w:rFonts w:asciiTheme="minorHAnsi" w:hAnsiTheme="minorHAnsi" w:cstheme="minorHAnsi"/>
        </w:rPr>
      </w:pPr>
    </w:p>
    <w:p w:rsidR="00D94698" w:rsidRDefault="00D94698" w:rsidP="0015232B">
      <w:pPr>
        <w:spacing w:before="100" w:after="100"/>
        <w:ind w:left="720" w:right="-58"/>
        <w:rPr>
          <w:rFonts w:asciiTheme="minorHAnsi" w:hAnsiTheme="minorHAnsi" w:cstheme="minorHAnsi"/>
        </w:rPr>
      </w:pPr>
      <w:proofErr w:type="gramStart"/>
      <w:r w:rsidRPr="00B53423">
        <w:rPr>
          <w:rFonts w:asciiTheme="minorHAnsi" w:hAnsiTheme="minorHAnsi" w:cstheme="minorHAnsi"/>
        </w:rPr>
        <w:t>Provided where no TVM / TOD / Demand recording meter is installed, the excess load / demand penalty shall be billed as per the UPERC Electricity Supply Code, 2005 and amendments thereof.</w:t>
      </w:r>
      <w:proofErr w:type="gramEnd"/>
    </w:p>
    <w:p w:rsidR="00B53423" w:rsidRPr="00B53423" w:rsidRDefault="00B53423" w:rsidP="0015232B">
      <w:pPr>
        <w:spacing w:before="100" w:after="100"/>
        <w:ind w:left="720" w:right="-58"/>
        <w:rPr>
          <w:rFonts w:asciiTheme="minorHAnsi" w:hAnsiTheme="minorHAnsi" w:cstheme="minorHAnsi"/>
        </w:rPr>
      </w:pPr>
    </w:p>
    <w:p w:rsidR="00D94698" w:rsidRPr="00B53423" w:rsidRDefault="00D94698" w:rsidP="0015232B">
      <w:pPr>
        <w:tabs>
          <w:tab w:val="left" w:pos="360"/>
          <w:tab w:val="left" w:pos="720"/>
        </w:tabs>
        <w:spacing w:before="100" w:after="100"/>
        <w:ind w:right="28"/>
        <w:rPr>
          <w:rFonts w:asciiTheme="minorHAnsi" w:hAnsiTheme="minorHAnsi" w:cstheme="minorHAnsi"/>
          <w:b/>
        </w:rPr>
      </w:pPr>
      <w:r w:rsidRPr="00B53423">
        <w:rPr>
          <w:rFonts w:asciiTheme="minorHAnsi" w:hAnsiTheme="minorHAnsi" w:cstheme="minorHAnsi"/>
          <w:b/>
        </w:rPr>
        <w:t>8.</w:t>
      </w:r>
      <w:r w:rsidRPr="00B53423">
        <w:rPr>
          <w:rFonts w:asciiTheme="minorHAnsi" w:hAnsiTheme="minorHAnsi" w:cstheme="minorHAnsi"/>
          <w:b/>
        </w:rPr>
        <w:tab/>
      </w:r>
      <w:r w:rsidRPr="00B53423">
        <w:rPr>
          <w:rFonts w:asciiTheme="minorHAnsi" w:hAnsiTheme="minorHAnsi" w:cstheme="minorHAnsi"/>
          <w:b/>
        </w:rPr>
        <w:tab/>
        <w:t>POWER FACTOR SURCHARGE:</w:t>
      </w:r>
    </w:p>
    <w:p w:rsidR="00D94698" w:rsidRPr="00B53423" w:rsidRDefault="00D94698" w:rsidP="0015232B">
      <w:pPr>
        <w:spacing w:before="60"/>
        <w:ind w:left="1440" w:right="29" w:hanging="720"/>
        <w:rPr>
          <w:rFonts w:asciiTheme="minorHAnsi" w:hAnsiTheme="minorHAnsi" w:cstheme="minorHAnsi"/>
        </w:rPr>
      </w:pPr>
      <w:r w:rsidRPr="00B53423">
        <w:rPr>
          <w:rFonts w:asciiTheme="minorHAnsi" w:hAnsiTheme="minorHAnsi" w:cstheme="minorHAnsi"/>
        </w:rPr>
        <w:t>(i)</w:t>
      </w:r>
      <w:r w:rsidRPr="00B53423">
        <w:rPr>
          <w:rFonts w:asciiTheme="minorHAnsi" w:hAnsiTheme="minorHAnsi" w:cstheme="minorHAnsi"/>
        </w:rPr>
        <w:tab/>
        <w:t>Power factor surcharge shall not be levied where consumer is being billed on kVAh consumption basis.</w:t>
      </w:r>
    </w:p>
    <w:p w:rsidR="00D94698" w:rsidRPr="00B53423" w:rsidRDefault="00D94698" w:rsidP="0015232B">
      <w:pPr>
        <w:spacing w:before="60"/>
        <w:ind w:left="1440" w:right="29" w:hanging="720"/>
        <w:rPr>
          <w:rFonts w:asciiTheme="minorHAnsi" w:hAnsiTheme="minorHAnsi" w:cstheme="minorHAnsi"/>
        </w:rPr>
      </w:pPr>
      <w:r w:rsidRPr="00B53423">
        <w:rPr>
          <w:rFonts w:asciiTheme="minorHAnsi" w:hAnsiTheme="minorHAnsi" w:cstheme="minorHAnsi"/>
        </w:rPr>
        <w:t>(ii)</w:t>
      </w:r>
      <w:r w:rsidRPr="00B53423">
        <w:rPr>
          <w:rFonts w:asciiTheme="minorHAnsi" w:hAnsiTheme="minorHAnsi" w:cstheme="minorHAnsi"/>
        </w:rPr>
        <w:tab/>
        <w:t>It shall be obligatory for all consumers to maintain an average power factor of 0.85</w:t>
      </w:r>
      <w:r w:rsidR="00F42C8B" w:rsidRPr="00B53423">
        <w:rPr>
          <w:rFonts w:asciiTheme="minorHAnsi" w:hAnsiTheme="minorHAnsi" w:cstheme="minorHAnsi"/>
        </w:rPr>
        <w:t xml:space="preserve"> or more</w:t>
      </w:r>
      <w:r w:rsidRPr="00B53423">
        <w:rPr>
          <w:rFonts w:asciiTheme="minorHAnsi" w:hAnsiTheme="minorHAnsi" w:cstheme="minorHAnsi"/>
        </w:rPr>
        <w:t xml:space="preserve"> during any billing period. No new connections of motive power loads / inductive loads above 3 kW, other than under LMV-1 and LMV-2 category, and / or of welding transformers above 1kVA shall be given, unless shunt capacitors having I.S.I specifications of appropriate ratings are installed, as described in </w:t>
      </w:r>
      <w:r w:rsidR="00BC60A3" w:rsidRPr="00B53423">
        <w:rPr>
          <w:rFonts w:asciiTheme="minorHAnsi" w:hAnsiTheme="minorHAnsi" w:cstheme="minorHAnsi"/>
          <w:b/>
        </w:rPr>
        <w:t xml:space="preserve">ANNEXURE </w:t>
      </w:r>
      <w:fldSimple w:instr=" REF _Ref399326723 \r \h  \* MERGEFORMAT ">
        <w:r w:rsidR="00847C1B" w:rsidRPr="00847C1B">
          <w:rPr>
            <w:rFonts w:asciiTheme="minorHAnsi" w:hAnsiTheme="minorHAnsi" w:cstheme="minorHAnsi"/>
            <w:b/>
          </w:rPr>
          <w:t>15.4</w:t>
        </w:r>
      </w:fldSimple>
      <w:r w:rsidRPr="00B53423">
        <w:rPr>
          <w:rFonts w:asciiTheme="minorHAnsi" w:hAnsiTheme="minorHAnsi" w:cstheme="minorHAnsi"/>
        </w:rPr>
        <w:t>.</w:t>
      </w:r>
    </w:p>
    <w:p w:rsidR="00D94698" w:rsidRPr="00B53423" w:rsidRDefault="00D94698" w:rsidP="0015232B">
      <w:pPr>
        <w:spacing w:before="60"/>
        <w:ind w:left="1440" w:right="29" w:hanging="720"/>
        <w:rPr>
          <w:rFonts w:asciiTheme="minorHAnsi" w:hAnsiTheme="minorHAnsi" w:cstheme="minorHAnsi"/>
        </w:rPr>
      </w:pPr>
      <w:r w:rsidRPr="00B53423">
        <w:rPr>
          <w:rFonts w:asciiTheme="minorHAnsi" w:hAnsiTheme="minorHAnsi" w:cstheme="minorHAnsi"/>
        </w:rPr>
        <w:t xml:space="preserve">(iii)     In respect of the consumers with or without static TVMs, excluding consumers under LMV-1 category up to connected load of 10 kW and LMV-2 category up to connected load of 5 kW, if on inspection it is found that capacitors of appropriate rating are missing or in-operational and Licensee can prove that the absence of capacitor is bringing down the power factor of the consumer below the obligatory norm of 0.85; then a surcharge of 15% of the amount of bill shall be levied on such consumers. Licensee may also initiate action under the relevant provisions of the Electricity Act, 2003, as amended from time to time.  </w:t>
      </w:r>
    </w:p>
    <w:p w:rsidR="00D94698" w:rsidRPr="00B53423" w:rsidRDefault="00D94698" w:rsidP="0015232B">
      <w:pPr>
        <w:tabs>
          <w:tab w:val="left" w:pos="1440"/>
        </w:tabs>
        <w:spacing w:before="60" w:line="288" w:lineRule="auto"/>
        <w:ind w:left="1440" w:right="29"/>
        <w:rPr>
          <w:rFonts w:asciiTheme="minorHAnsi" w:hAnsiTheme="minorHAnsi" w:cstheme="minorHAnsi"/>
        </w:rPr>
      </w:pPr>
      <w:r w:rsidRPr="00B53423">
        <w:rPr>
          <w:rFonts w:asciiTheme="minorHAnsi" w:hAnsiTheme="minorHAnsi" w:cstheme="minorHAnsi"/>
        </w:rPr>
        <w:t xml:space="preserve">Notwithstanding above the Licensee also has a right to disconnect the power supply, if the power factor falls below 0.75.    </w:t>
      </w:r>
    </w:p>
    <w:p w:rsidR="00D94698" w:rsidRPr="00B53423" w:rsidRDefault="00D94698" w:rsidP="0015232B">
      <w:pPr>
        <w:tabs>
          <w:tab w:val="left" w:pos="360"/>
          <w:tab w:val="left" w:pos="1440"/>
        </w:tabs>
        <w:spacing w:before="100" w:after="100"/>
        <w:ind w:left="1440" w:right="28" w:hanging="720"/>
        <w:rPr>
          <w:rFonts w:asciiTheme="minorHAnsi" w:hAnsiTheme="minorHAnsi" w:cstheme="minorHAnsi"/>
        </w:rPr>
      </w:pPr>
      <w:r w:rsidRPr="00B53423">
        <w:rPr>
          <w:rFonts w:asciiTheme="minorHAnsi" w:hAnsiTheme="minorHAnsi" w:cstheme="minorHAnsi"/>
        </w:rPr>
        <w:t xml:space="preserve"> </w:t>
      </w:r>
      <w:proofErr w:type="gramStart"/>
      <w:r w:rsidRPr="00B53423">
        <w:rPr>
          <w:rFonts w:asciiTheme="minorHAnsi" w:hAnsiTheme="minorHAnsi" w:cstheme="minorHAnsi"/>
        </w:rPr>
        <w:t>(iv)</w:t>
      </w:r>
      <w:r w:rsidRPr="00B53423">
        <w:rPr>
          <w:rFonts w:asciiTheme="minorHAnsi" w:hAnsiTheme="minorHAnsi" w:cstheme="minorHAnsi"/>
        </w:rPr>
        <w:tab/>
        <w:t>Power</w:t>
      </w:r>
      <w:proofErr w:type="gramEnd"/>
      <w:r w:rsidRPr="00B53423">
        <w:rPr>
          <w:rFonts w:asciiTheme="minorHAnsi" w:hAnsiTheme="minorHAnsi" w:cstheme="minorHAnsi"/>
        </w:rPr>
        <w:t xml:space="preserve"> factor surcharge shall however, not be levied during the period of disconnection on account of any reason whatsoever.</w:t>
      </w:r>
    </w:p>
    <w:p w:rsidR="00D94698" w:rsidRPr="00B53423" w:rsidRDefault="00D94698" w:rsidP="0015232B">
      <w:pPr>
        <w:tabs>
          <w:tab w:val="left" w:pos="360"/>
          <w:tab w:val="left" w:pos="1440"/>
        </w:tabs>
        <w:spacing w:before="100" w:after="100"/>
        <w:ind w:left="1440" w:right="28" w:hanging="720"/>
        <w:rPr>
          <w:rFonts w:asciiTheme="minorHAnsi" w:hAnsiTheme="minorHAnsi" w:cstheme="minorHAnsi"/>
        </w:rPr>
      </w:pPr>
      <w:r w:rsidRPr="00B53423">
        <w:rPr>
          <w:rFonts w:asciiTheme="minorHAnsi" w:hAnsiTheme="minorHAnsi" w:cstheme="minorHAnsi"/>
        </w:rPr>
        <w:t xml:space="preserve"> </w:t>
      </w:r>
    </w:p>
    <w:p w:rsidR="00D94698" w:rsidRPr="00B53423" w:rsidRDefault="00D94698" w:rsidP="0015232B">
      <w:pPr>
        <w:ind w:left="720" w:hanging="720"/>
        <w:rPr>
          <w:rFonts w:asciiTheme="minorHAnsi" w:hAnsiTheme="minorHAnsi" w:cstheme="minorHAnsi"/>
          <w:b/>
        </w:rPr>
      </w:pPr>
      <w:r w:rsidRPr="00B53423">
        <w:rPr>
          <w:rFonts w:asciiTheme="minorHAnsi" w:hAnsiTheme="minorHAnsi" w:cstheme="minorHAnsi"/>
          <w:b/>
        </w:rPr>
        <w:t>9.</w:t>
      </w:r>
      <w:r w:rsidRPr="00B53423">
        <w:rPr>
          <w:rFonts w:asciiTheme="minorHAnsi" w:hAnsiTheme="minorHAnsi" w:cstheme="minorHAnsi"/>
          <w:b/>
        </w:rPr>
        <w:tab/>
        <w:t>PROVISION RELATED TO SURCHARGE WAIVER SCHEME FOR RECOVERY OF BLOCKED ARREARS:</w:t>
      </w:r>
    </w:p>
    <w:p w:rsidR="00D94698" w:rsidRPr="00B53423" w:rsidRDefault="00D94698" w:rsidP="000174C0">
      <w:pPr>
        <w:numPr>
          <w:ilvl w:val="0"/>
          <w:numId w:val="84"/>
        </w:numPr>
        <w:tabs>
          <w:tab w:val="left" w:pos="1440"/>
        </w:tabs>
        <w:spacing w:before="100" w:line="288" w:lineRule="auto"/>
        <w:ind w:right="11"/>
        <w:rPr>
          <w:rFonts w:asciiTheme="minorHAnsi" w:hAnsiTheme="minorHAnsi" w:cstheme="minorHAnsi"/>
        </w:rPr>
      </w:pPr>
      <w:r w:rsidRPr="00B53423">
        <w:rPr>
          <w:rFonts w:asciiTheme="minorHAnsi" w:hAnsiTheme="minorHAnsi" w:cstheme="minorHAnsi"/>
        </w:rPr>
        <w:t xml:space="preserve">The Licensee may, on a decision by its Board of Directors, launch a Surcharge Waiver Scheme (One time Settlement Scheme) beginning January and July of every year, for a period of two months each, for recovery of its blocked arrears by waving off surcharge to the extent not exceeding 50% of overall surcharge for which no approval of the Commission shall be required. </w:t>
      </w:r>
    </w:p>
    <w:p w:rsidR="00D94698" w:rsidRPr="00B53423" w:rsidRDefault="00D94698" w:rsidP="0015232B">
      <w:pPr>
        <w:tabs>
          <w:tab w:val="left" w:pos="1440"/>
        </w:tabs>
        <w:spacing w:before="100" w:line="288" w:lineRule="auto"/>
        <w:ind w:left="1440" w:right="11"/>
        <w:rPr>
          <w:rFonts w:asciiTheme="minorHAnsi" w:hAnsiTheme="minorHAnsi" w:cstheme="minorHAnsi"/>
        </w:rPr>
      </w:pPr>
      <w:r w:rsidRPr="00B53423">
        <w:rPr>
          <w:rFonts w:asciiTheme="minorHAnsi" w:hAnsiTheme="minorHAnsi" w:cstheme="minorHAnsi"/>
        </w:rPr>
        <w:t>Provided that the impact of such surcharge waiver shall not be allowed as pass through in the next ARR / Tariff or true-ups. In this regard, the Licensees would have to submit the certificate duly verified by the statutory auditor, of the surcharge waived for any previous year along with the ARR / Tariff Petition of the ensuing year.</w:t>
      </w:r>
    </w:p>
    <w:p w:rsidR="00D94698" w:rsidRPr="00B53423" w:rsidRDefault="00D94698" w:rsidP="0015232B">
      <w:pPr>
        <w:tabs>
          <w:tab w:val="left" w:pos="1440"/>
        </w:tabs>
        <w:spacing w:before="100" w:line="288" w:lineRule="auto"/>
        <w:ind w:left="1440" w:right="11"/>
        <w:rPr>
          <w:rFonts w:asciiTheme="minorHAnsi" w:hAnsiTheme="minorHAnsi" w:cstheme="minorHAnsi"/>
        </w:rPr>
      </w:pPr>
      <w:r w:rsidRPr="00B53423">
        <w:rPr>
          <w:rFonts w:asciiTheme="minorHAnsi" w:hAnsiTheme="minorHAnsi" w:cstheme="minorHAnsi"/>
        </w:rPr>
        <w:t>Provided that the Surcharge Waiver Scheme (One time Settlement Scheme) shall not be applicable for the consumers, who have availed the benefit of the above scheme once in last three financial years.</w:t>
      </w:r>
    </w:p>
    <w:p w:rsidR="00D94698" w:rsidRPr="00B53423" w:rsidRDefault="00D94698" w:rsidP="000174C0">
      <w:pPr>
        <w:numPr>
          <w:ilvl w:val="0"/>
          <w:numId w:val="84"/>
        </w:numPr>
        <w:tabs>
          <w:tab w:val="left" w:pos="1440"/>
        </w:tabs>
        <w:spacing w:before="100" w:line="288" w:lineRule="auto"/>
        <w:ind w:right="11"/>
        <w:rPr>
          <w:rFonts w:asciiTheme="minorHAnsi" w:hAnsiTheme="minorHAnsi" w:cstheme="minorHAnsi"/>
        </w:rPr>
      </w:pPr>
      <w:r w:rsidRPr="00B53423">
        <w:rPr>
          <w:rFonts w:asciiTheme="minorHAnsi" w:hAnsiTheme="minorHAnsi" w:cstheme="minorHAnsi"/>
        </w:rPr>
        <w:t>Further, the Licensee should also ensure that all such cases of incorrect billing which are pending for more than 3 months, disputes due to delay in issuance of first bill after release of connection and delay in finalisation of permanent disconnection shall be disposed of during the period of the scheme in which it has been registered.</w:t>
      </w:r>
    </w:p>
    <w:p w:rsidR="00D94698" w:rsidRPr="00B53423" w:rsidRDefault="00D94698" w:rsidP="000174C0">
      <w:pPr>
        <w:numPr>
          <w:ilvl w:val="0"/>
          <w:numId w:val="84"/>
        </w:numPr>
        <w:tabs>
          <w:tab w:val="left" w:pos="1440"/>
        </w:tabs>
        <w:spacing w:before="100" w:line="288" w:lineRule="auto"/>
        <w:ind w:right="11"/>
        <w:rPr>
          <w:rFonts w:asciiTheme="minorHAnsi" w:hAnsiTheme="minorHAnsi" w:cstheme="minorHAnsi"/>
        </w:rPr>
      </w:pPr>
      <w:r w:rsidRPr="00B53423">
        <w:rPr>
          <w:rFonts w:asciiTheme="minorHAnsi" w:hAnsiTheme="minorHAnsi" w:cstheme="minorHAnsi"/>
        </w:rPr>
        <w:t xml:space="preserve">Further, the Licensee shall ensure that till the finalisation of the case in the above scheme, no coercive action should be taken against the registered consumers. </w:t>
      </w:r>
    </w:p>
    <w:p w:rsidR="00D94698" w:rsidRPr="00B53423" w:rsidRDefault="00D94698" w:rsidP="000174C0">
      <w:pPr>
        <w:numPr>
          <w:ilvl w:val="0"/>
          <w:numId w:val="84"/>
        </w:numPr>
        <w:tabs>
          <w:tab w:val="left" w:pos="1440"/>
        </w:tabs>
        <w:spacing w:before="100" w:line="288" w:lineRule="auto"/>
        <w:ind w:right="11"/>
        <w:rPr>
          <w:rFonts w:asciiTheme="minorHAnsi" w:hAnsiTheme="minorHAnsi" w:cstheme="minorHAnsi"/>
        </w:rPr>
      </w:pPr>
      <w:r w:rsidRPr="00B53423">
        <w:rPr>
          <w:rFonts w:asciiTheme="minorHAnsi" w:hAnsiTheme="minorHAnsi" w:cstheme="minorHAnsi"/>
        </w:rPr>
        <w:t xml:space="preserve">Further, the Licensee may launch a surcharge waiver scheme without any restrictions on quantum of surcharge waiver provided the State Government provides an advance subsidy to compensate the complete / full loss of the Licensee arising out of surcharge waiver.  </w:t>
      </w:r>
    </w:p>
    <w:p w:rsidR="00D94698" w:rsidRPr="00B53423" w:rsidRDefault="00D94698" w:rsidP="000174C0">
      <w:pPr>
        <w:numPr>
          <w:ilvl w:val="0"/>
          <w:numId w:val="84"/>
        </w:numPr>
        <w:tabs>
          <w:tab w:val="left" w:pos="1440"/>
        </w:tabs>
        <w:spacing w:before="100" w:line="288" w:lineRule="auto"/>
        <w:ind w:right="11"/>
        <w:rPr>
          <w:rFonts w:asciiTheme="minorHAnsi" w:hAnsiTheme="minorHAnsi" w:cstheme="minorHAnsi"/>
        </w:rPr>
      </w:pPr>
      <w:r w:rsidRPr="00B53423">
        <w:rPr>
          <w:rFonts w:asciiTheme="minorHAnsi" w:hAnsiTheme="minorHAnsi" w:cstheme="minorHAnsi"/>
        </w:rPr>
        <w:t>The Licensees would be required to submit the full details of each Surcharge Waiver Scheme (One time Settlement Scheme) within one month from the end of the scheme.</w:t>
      </w:r>
    </w:p>
    <w:p w:rsidR="00D94698" w:rsidRPr="00B53423" w:rsidRDefault="00D94698" w:rsidP="0015232B">
      <w:pPr>
        <w:ind w:left="720"/>
        <w:rPr>
          <w:rFonts w:asciiTheme="minorHAnsi" w:hAnsiTheme="minorHAnsi" w:cstheme="minorHAnsi"/>
        </w:rPr>
      </w:pPr>
    </w:p>
    <w:p w:rsidR="00D94698" w:rsidRPr="00B53423" w:rsidRDefault="00D94698" w:rsidP="0015232B">
      <w:pPr>
        <w:tabs>
          <w:tab w:val="left" w:pos="360"/>
        </w:tabs>
        <w:spacing w:before="100" w:after="100"/>
        <w:ind w:right="29"/>
        <w:rPr>
          <w:rFonts w:asciiTheme="minorHAnsi" w:hAnsiTheme="minorHAnsi" w:cstheme="minorHAnsi"/>
          <w:b/>
        </w:rPr>
      </w:pPr>
      <w:r w:rsidRPr="00B53423">
        <w:rPr>
          <w:rFonts w:asciiTheme="minorHAnsi" w:hAnsiTheme="minorHAnsi" w:cstheme="minorHAnsi"/>
          <w:b/>
        </w:rPr>
        <w:t>10.</w:t>
      </w:r>
      <w:r w:rsidRPr="00B53423">
        <w:rPr>
          <w:rFonts w:asciiTheme="minorHAnsi" w:hAnsiTheme="minorHAnsi" w:cstheme="minorHAnsi"/>
          <w:b/>
        </w:rPr>
        <w:tab/>
      </w:r>
      <w:r w:rsidRPr="00B53423">
        <w:rPr>
          <w:rFonts w:asciiTheme="minorHAnsi" w:hAnsiTheme="minorHAnsi" w:cstheme="minorHAnsi"/>
          <w:b/>
        </w:rPr>
        <w:tab/>
        <w:t xml:space="preserve">PROTECTIVE LOAD: </w:t>
      </w:r>
    </w:p>
    <w:p w:rsidR="00D94698" w:rsidRPr="00B53423" w:rsidRDefault="00D94698" w:rsidP="0015232B">
      <w:pPr>
        <w:ind w:left="720"/>
        <w:rPr>
          <w:rFonts w:asciiTheme="minorHAnsi" w:hAnsiTheme="minorHAnsi" w:cstheme="minorHAnsi"/>
        </w:rPr>
      </w:pPr>
      <w:r w:rsidRPr="00B53423">
        <w:rPr>
          <w:rFonts w:asciiTheme="minorHAnsi" w:hAnsiTheme="minorHAnsi" w:cstheme="minorHAnsi"/>
        </w:rPr>
        <w:t xml:space="preserve">Consumers getting supply on independent feeder at 11kV &amp; above voltage, emanating from sub-station, may opt for facility of protective load and avail supply during the period of scheduled rostering imposed by the Licensee, except under emergency rostering. An additional charge @ 100% of base demand charges fixed per month shall be levied on the contracted protective (as per Electricity Supply Code) load each month. </w:t>
      </w:r>
      <w:r w:rsidR="00F42C8B" w:rsidRPr="00B53423">
        <w:rPr>
          <w:rFonts w:asciiTheme="minorHAnsi" w:hAnsiTheme="minorHAnsi" w:cstheme="minorHAnsi"/>
        </w:rPr>
        <w:t xml:space="preserve">However, consumers of LMV-4 (A) - Public Institutions will pay the additional charge @ 25% of base demand charges only. </w:t>
      </w:r>
      <w:r w:rsidRPr="00B53423">
        <w:rPr>
          <w:rFonts w:asciiTheme="minorHAnsi" w:hAnsiTheme="minorHAnsi" w:cstheme="minorHAnsi"/>
        </w:rPr>
        <w:t>During the period of scheduled rostering, the load shall not exceed the sanctioned protective load. In case the consumer exceeds the sanctioned protective load during scheduled rostering, he shall be liable to pay twice the prescribed charges for such excess load.</w:t>
      </w:r>
    </w:p>
    <w:p w:rsidR="00D94698" w:rsidRPr="00B53423" w:rsidRDefault="00D94698" w:rsidP="0015232B">
      <w:pPr>
        <w:ind w:left="720"/>
        <w:rPr>
          <w:rFonts w:asciiTheme="minorHAnsi" w:hAnsiTheme="minorHAnsi" w:cstheme="minorHAnsi"/>
        </w:rPr>
      </w:pPr>
    </w:p>
    <w:p w:rsidR="00D94698" w:rsidRPr="00B53423" w:rsidRDefault="00D94698" w:rsidP="0015232B">
      <w:pPr>
        <w:rPr>
          <w:rFonts w:asciiTheme="minorHAnsi" w:hAnsiTheme="minorHAnsi" w:cstheme="minorHAnsi"/>
          <w:b/>
        </w:rPr>
      </w:pPr>
      <w:r w:rsidRPr="00B53423">
        <w:rPr>
          <w:rFonts w:asciiTheme="minorHAnsi" w:hAnsiTheme="minorHAnsi" w:cstheme="minorHAnsi"/>
          <w:b/>
        </w:rPr>
        <w:t xml:space="preserve">11. </w:t>
      </w:r>
      <w:r w:rsidRPr="00B53423">
        <w:rPr>
          <w:rFonts w:asciiTheme="minorHAnsi" w:hAnsiTheme="minorHAnsi" w:cstheme="minorHAnsi"/>
          <w:b/>
        </w:rPr>
        <w:tab/>
        <w:t>ROUNDING OFF:</w:t>
      </w:r>
    </w:p>
    <w:p w:rsidR="00D94698" w:rsidRPr="00B53423" w:rsidRDefault="00D94698" w:rsidP="0015232B">
      <w:pPr>
        <w:ind w:left="720"/>
        <w:rPr>
          <w:rFonts w:asciiTheme="minorHAnsi" w:hAnsiTheme="minorHAnsi" w:cstheme="minorHAnsi"/>
        </w:rPr>
      </w:pPr>
      <w:r w:rsidRPr="00B53423">
        <w:rPr>
          <w:rFonts w:asciiTheme="minorHAnsi" w:hAnsiTheme="minorHAnsi" w:cstheme="minorHAnsi"/>
        </w:rPr>
        <w:t>All bills will be rounded off to the nearest rupee.</w:t>
      </w:r>
    </w:p>
    <w:p w:rsidR="00D94698" w:rsidRPr="00B53423" w:rsidRDefault="00D94698" w:rsidP="0015232B">
      <w:pPr>
        <w:rPr>
          <w:rFonts w:asciiTheme="minorHAnsi" w:hAnsiTheme="minorHAnsi" w:cstheme="minorHAnsi"/>
        </w:rPr>
      </w:pPr>
    </w:p>
    <w:p w:rsidR="00D94698" w:rsidRPr="00B53423" w:rsidRDefault="00D94698" w:rsidP="0015232B">
      <w:pPr>
        <w:rPr>
          <w:rFonts w:asciiTheme="minorHAnsi" w:hAnsiTheme="minorHAnsi" w:cstheme="minorHAnsi"/>
          <w:b/>
        </w:rPr>
      </w:pPr>
      <w:r w:rsidRPr="00B53423">
        <w:rPr>
          <w:rFonts w:asciiTheme="minorHAnsi" w:hAnsiTheme="minorHAnsi" w:cstheme="minorHAnsi"/>
          <w:b/>
        </w:rPr>
        <w:t>12.</w:t>
      </w:r>
      <w:r w:rsidRPr="00B53423">
        <w:rPr>
          <w:rFonts w:asciiTheme="minorHAnsi" w:hAnsiTheme="minorHAnsi" w:cstheme="minorHAnsi"/>
        </w:rPr>
        <w:t xml:space="preserve"> </w:t>
      </w:r>
      <w:r w:rsidRPr="00B53423">
        <w:rPr>
          <w:rFonts w:asciiTheme="minorHAnsi" w:hAnsiTheme="minorHAnsi" w:cstheme="minorHAnsi"/>
        </w:rPr>
        <w:tab/>
      </w:r>
      <w:r w:rsidRPr="00B53423">
        <w:rPr>
          <w:rFonts w:asciiTheme="minorHAnsi" w:hAnsiTheme="minorHAnsi" w:cstheme="minorHAnsi"/>
          <w:b/>
        </w:rPr>
        <w:t>OPTION OF MIGRATION TO HV</w:t>
      </w:r>
      <w:r w:rsidR="007F5CE3" w:rsidRPr="00B53423">
        <w:rPr>
          <w:rFonts w:asciiTheme="minorHAnsi" w:hAnsiTheme="minorHAnsi" w:cstheme="minorHAnsi"/>
          <w:b/>
        </w:rPr>
        <w:t>-</w:t>
      </w:r>
      <w:r w:rsidRPr="00B53423">
        <w:rPr>
          <w:rFonts w:asciiTheme="minorHAnsi" w:hAnsiTheme="minorHAnsi" w:cstheme="minorHAnsi"/>
          <w:b/>
        </w:rPr>
        <w:t>2 CATEGORY:</w:t>
      </w:r>
    </w:p>
    <w:p w:rsidR="00D94698" w:rsidRPr="00B53423" w:rsidRDefault="00D94698" w:rsidP="0015232B">
      <w:pPr>
        <w:ind w:left="720"/>
        <w:rPr>
          <w:rFonts w:asciiTheme="minorHAnsi" w:hAnsiTheme="minorHAnsi" w:cstheme="minorHAnsi"/>
        </w:rPr>
      </w:pPr>
      <w:r w:rsidRPr="00B53423">
        <w:rPr>
          <w:rFonts w:asciiTheme="minorHAnsi" w:hAnsiTheme="minorHAnsi" w:cstheme="minorHAnsi"/>
        </w:rPr>
        <w:t xml:space="preserve">The consumer under LMV-2 and LMV-4 with contracted load above 50 kW and getting supply at 11 kV &amp; above voltage shall have an option to migrate to the HV-1 category and LMV-6 </w:t>
      </w:r>
      <w:r w:rsidR="00F42C8B" w:rsidRPr="00B53423">
        <w:rPr>
          <w:rFonts w:asciiTheme="minorHAnsi" w:hAnsiTheme="minorHAnsi" w:cstheme="minorHAnsi"/>
        </w:rPr>
        <w:t xml:space="preserve">consumers </w:t>
      </w:r>
      <w:r w:rsidRPr="00B53423">
        <w:rPr>
          <w:rFonts w:asciiTheme="minorHAnsi" w:hAnsiTheme="minorHAnsi" w:cstheme="minorHAnsi"/>
        </w:rPr>
        <w:t>with contracted load above 50 kW and getting supply at 11 kV &amp; above voltage shall have an option to migrate to the HV-2 category. Furthermore, the consumers shall have an option of migrating back to the original category on payment of charges prescribed in Cost Data Book for change in voltage level.</w:t>
      </w:r>
    </w:p>
    <w:p w:rsidR="00D94698" w:rsidRPr="00B53423" w:rsidRDefault="00D94698" w:rsidP="0015232B">
      <w:pPr>
        <w:spacing w:line="288" w:lineRule="auto"/>
        <w:jc w:val="left"/>
        <w:rPr>
          <w:rFonts w:asciiTheme="minorHAnsi" w:hAnsiTheme="minorHAnsi" w:cstheme="minorHAnsi"/>
          <w:b/>
        </w:rPr>
      </w:pPr>
    </w:p>
    <w:p w:rsidR="00D94698" w:rsidRPr="00B53423" w:rsidRDefault="00D94698" w:rsidP="0015232B">
      <w:pPr>
        <w:spacing w:line="288" w:lineRule="auto"/>
        <w:jc w:val="left"/>
        <w:rPr>
          <w:rFonts w:asciiTheme="minorHAnsi" w:hAnsiTheme="minorHAnsi" w:cstheme="minorHAnsi"/>
          <w:b/>
        </w:rPr>
      </w:pPr>
      <w:r w:rsidRPr="00B53423">
        <w:rPr>
          <w:rFonts w:asciiTheme="minorHAnsi" w:hAnsiTheme="minorHAnsi" w:cstheme="minorHAnsi"/>
          <w:b/>
        </w:rPr>
        <w:t>13.</w:t>
      </w:r>
      <w:r w:rsidRPr="00B53423">
        <w:rPr>
          <w:rFonts w:asciiTheme="minorHAnsi" w:hAnsiTheme="minorHAnsi" w:cstheme="minorHAnsi"/>
          <w:b/>
        </w:rPr>
        <w:tab/>
        <w:t>PRE-PAID METERS / AUTOMATIC METER READING SYSTEM:</w:t>
      </w:r>
    </w:p>
    <w:p w:rsidR="00D94698" w:rsidRPr="00B53423" w:rsidRDefault="00D94698" w:rsidP="000174C0">
      <w:pPr>
        <w:numPr>
          <w:ilvl w:val="0"/>
          <w:numId w:val="85"/>
        </w:numPr>
        <w:tabs>
          <w:tab w:val="left" w:pos="1440"/>
        </w:tabs>
        <w:spacing w:before="100" w:line="288" w:lineRule="auto"/>
        <w:ind w:right="11"/>
        <w:rPr>
          <w:rFonts w:asciiTheme="minorHAnsi" w:hAnsiTheme="minorHAnsi" w:cstheme="minorHAnsi"/>
        </w:rPr>
      </w:pPr>
      <w:r w:rsidRPr="00B53423">
        <w:rPr>
          <w:rFonts w:asciiTheme="minorHAnsi" w:hAnsiTheme="minorHAnsi" w:cstheme="minorHAnsi"/>
        </w:rPr>
        <w:t xml:space="preserve">In line with the directive given in the last Tariff Order, the Commission directs the Licensees to expedite the process of introduction of pre-paid meters on all government connections and public institutions wanting to opt for with loads below 45 kW and installation of automatic meter reading systems for loads above 45 kW. </w:t>
      </w:r>
    </w:p>
    <w:p w:rsidR="00D94698" w:rsidRPr="00B53423" w:rsidRDefault="00D94698" w:rsidP="000174C0">
      <w:pPr>
        <w:numPr>
          <w:ilvl w:val="0"/>
          <w:numId w:val="85"/>
        </w:numPr>
        <w:tabs>
          <w:tab w:val="left" w:pos="1440"/>
        </w:tabs>
        <w:spacing w:before="100" w:line="288" w:lineRule="auto"/>
        <w:ind w:right="11"/>
        <w:rPr>
          <w:rFonts w:asciiTheme="minorHAnsi" w:hAnsiTheme="minorHAnsi" w:cstheme="minorHAnsi"/>
        </w:rPr>
      </w:pPr>
      <w:r w:rsidRPr="00B53423">
        <w:rPr>
          <w:rFonts w:asciiTheme="minorHAnsi" w:hAnsiTheme="minorHAnsi" w:cstheme="minorHAnsi"/>
        </w:rPr>
        <w:t>Any consumer having prepaid meters shall also be entitled to a discount of 1.25% on Rate as defined in the Tariff Order.</w:t>
      </w:r>
    </w:p>
    <w:p w:rsidR="00D94698" w:rsidRPr="00B53423" w:rsidRDefault="00D94698" w:rsidP="000174C0">
      <w:pPr>
        <w:numPr>
          <w:ilvl w:val="0"/>
          <w:numId w:val="85"/>
        </w:numPr>
        <w:tabs>
          <w:tab w:val="left" w:pos="1440"/>
        </w:tabs>
        <w:spacing w:before="100" w:line="288" w:lineRule="auto"/>
        <w:ind w:right="11"/>
        <w:rPr>
          <w:rFonts w:asciiTheme="minorHAnsi" w:hAnsiTheme="minorHAnsi" w:cstheme="minorHAnsi"/>
        </w:rPr>
      </w:pPr>
      <w:r w:rsidRPr="00B53423">
        <w:rPr>
          <w:rFonts w:asciiTheme="minorHAnsi" w:hAnsiTheme="minorHAnsi" w:cstheme="minorHAnsi"/>
        </w:rPr>
        <w:t>The token charges for code generation for prepaid meters shall be Rs. 10/- per token.</w:t>
      </w:r>
    </w:p>
    <w:p w:rsidR="00D94698" w:rsidRPr="00B53423" w:rsidRDefault="00D94698" w:rsidP="0015232B">
      <w:pPr>
        <w:ind w:left="705" w:hanging="705"/>
        <w:rPr>
          <w:rFonts w:asciiTheme="minorHAnsi" w:hAnsiTheme="minorHAnsi" w:cstheme="minorHAnsi"/>
          <w:b/>
        </w:rPr>
      </w:pPr>
    </w:p>
    <w:p w:rsidR="00D94698" w:rsidRPr="00B53423" w:rsidRDefault="00D94698" w:rsidP="0015232B">
      <w:pPr>
        <w:ind w:left="705" w:hanging="705"/>
        <w:rPr>
          <w:rFonts w:asciiTheme="minorHAnsi" w:hAnsiTheme="minorHAnsi" w:cstheme="minorHAnsi"/>
          <w:b/>
        </w:rPr>
      </w:pPr>
      <w:r w:rsidRPr="00B53423">
        <w:rPr>
          <w:rFonts w:asciiTheme="minorHAnsi" w:hAnsiTheme="minorHAnsi" w:cstheme="minorHAnsi"/>
          <w:b/>
        </w:rPr>
        <w:t>14.</w:t>
      </w:r>
      <w:r w:rsidRPr="00B53423">
        <w:rPr>
          <w:rFonts w:asciiTheme="minorHAnsi" w:hAnsiTheme="minorHAnsi" w:cstheme="minorHAnsi"/>
        </w:rPr>
        <w:t xml:space="preserve"> </w:t>
      </w:r>
      <w:r w:rsidRPr="00B53423">
        <w:rPr>
          <w:rFonts w:asciiTheme="minorHAnsi" w:hAnsiTheme="minorHAnsi" w:cstheme="minorHAnsi"/>
        </w:rPr>
        <w:tab/>
      </w:r>
      <w:r w:rsidRPr="00B53423">
        <w:rPr>
          <w:rFonts w:asciiTheme="minorHAnsi" w:hAnsiTheme="minorHAnsi" w:cstheme="minorHAnsi"/>
          <w:b/>
        </w:rPr>
        <w:t>CONSUMERS NOT COVERED UNDER ANY RATE SCHEDULE OR EXPRESSLY EXCLUDED FROM ANY CATEGORY:</w:t>
      </w:r>
    </w:p>
    <w:p w:rsidR="00D94698" w:rsidRPr="00B53423" w:rsidRDefault="00D94698" w:rsidP="0015232B">
      <w:pPr>
        <w:ind w:left="720"/>
        <w:rPr>
          <w:rFonts w:asciiTheme="minorHAnsi" w:hAnsiTheme="minorHAnsi" w:cstheme="minorHAnsi"/>
        </w:rPr>
      </w:pPr>
      <w:r w:rsidRPr="00B53423">
        <w:rPr>
          <w:rFonts w:asciiTheme="minorHAnsi" w:hAnsiTheme="minorHAnsi" w:cstheme="minorHAnsi"/>
        </w:rPr>
        <w:t>For consumers of light, fan &amp; power (excluding motive power loads) not covered under any rate schedule or e</w:t>
      </w:r>
      <w:r w:rsidR="006949FC" w:rsidRPr="00B53423">
        <w:rPr>
          <w:rFonts w:asciiTheme="minorHAnsi" w:hAnsiTheme="minorHAnsi" w:cstheme="minorHAnsi"/>
        </w:rPr>
        <w:t>xpressly excluded from any LMV Rate S</w:t>
      </w:r>
      <w:r w:rsidRPr="00B53423">
        <w:rPr>
          <w:rFonts w:asciiTheme="minorHAnsi" w:hAnsiTheme="minorHAnsi" w:cstheme="minorHAnsi"/>
        </w:rPr>
        <w:t>chedule will be categorized under LMV-2.</w:t>
      </w:r>
    </w:p>
    <w:p w:rsidR="00D94698" w:rsidRPr="00B53423" w:rsidRDefault="00D94698" w:rsidP="0015232B">
      <w:pPr>
        <w:ind w:left="720"/>
        <w:rPr>
          <w:rFonts w:asciiTheme="minorHAnsi" w:hAnsiTheme="minorHAnsi" w:cstheme="minorHAnsi"/>
        </w:rPr>
      </w:pPr>
    </w:p>
    <w:p w:rsidR="00D94698" w:rsidRPr="00B53423" w:rsidRDefault="00D94698" w:rsidP="0015232B">
      <w:pPr>
        <w:spacing w:before="100" w:line="288" w:lineRule="auto"/>
        <w:ind w:left="720" w:right="-48" w:hanging="720"/>
        <w:rPr>
          <w:rFonts w:asciiTheme="minorHAnsi" w:hAnsiTheme="minorHAnsi" w:cstheme="minorHAnsi"/>
        </w:rPr>
      </w:pPr>
      <w:r w:rsidRPr="00B53423">
        <w:rPr>
          <w:rFonts w:asciiTheme="minorHAnsi" w:hAnsiTheme="minorHAnsi" w:cstheme="minorHAnsi"/>
          <w:b/>
        </w:rPr>
        <w:t>15.</w:t>
      </w:r>
      <w:r w:rsidRPr="00B53423">
        <w:rPr>
          <w:rFonts w:asciiTheme="minorHAnsi" w:hAnsiTheme="minorHAnsi" w:cstheme="minorHAnsi"/>
        </w:rPr>
        <w:t xml:space="preserve"> </w:t>
      </w:r>
      <w:r w:rsidRPr="00B53423">
        <w:rPr>
          <w:rFonts w:asciiTheme="minorHAnsi" w:hAnsiTheme="minorHAnsi" w:cstheme="minorHAnsi"/>
        </w:rPr>
        <w:tab/>
        <w:t>A consumer under metered category may undertake any extension work, in the same premises, on his existing connection without taking any temporary connection as long as his demand does not exceed his contracted demand and the consumer shall be billed in accordance with the tariff applicable to that category of consumer.</w:t>
      </w:r>
    </w:p>
    <w:p w:rsidR="00D94698" w:rsidRPr="00B53423" w:rsidRDefault="00D94698" w:rsidP="0015232B">
      <w:pPr>
        <w:ind w:left="705" w:hanging="705"/>
        <w:rPr>
          <w:rFonts w:asciiTheme="minorHAnsi" w:hAnsiTheme="minorHAnsi" w:cstheme="minorHAnsi"/>
          <w:b/>
        </w:rPr>
      </w:pPr>
    </w:p>
    <w:p w:rsidR="00D94698" w:rsidRPr="00B53423" w:rsidRDefault="00D94698" w:rsidP="0015232B">
      <w:pPr>
        <w:ind w:left="705" w:hanging="705"/>
        <w:rPr>
          <w:rFonts w:asciiTheme="minorHAnsi" w:hAnsiTheme="minorHAnsi" w:cstheme="minorHAnsi"/>
          <w:b/>
        </w:rPr>
      </w:pPr>
      <w:r w:rsidRPr="00B53423">
        <w:rPr>
          <w:rFonts w:asciiTheme="minorHAnsi" w:hAnsiTheme="minorHAnsi" w:cstheme="minorHAnsi"/>
          <w:b/>
        </w:rPr>
        <w:t>16.</w:t>
      </w:r>
      <w:r w:rsidRPr="00B53423">
        <w:rPr>
          <w:rFonts w:asciiTheme="minorHAnsi" w:hAnsiTheme="minorHAnsi" w:cstheme="minorHAnsi"/>
        </w:rPr>
        <w:t xml:space="preserve"> </w:t>
      </w:r>
      <w:r w:rsidRPr="00B53423">
        <w:rPr>
          <w:rFonts w:asciiTheme="minorHAnsi" w:hAnsiTheme="minorHAnsi" w:cstheme="minorHAnsi"/>
        </w:rPr>
        <w:tab/>
      </w:r>
      <w:r w:rsidRPr="00B53423">
        <w:rPr>
          <w:rFonts w:asciiTheme="minorHAnsi" w:hAnsiTheme="minorHAnsi" w:cstheme="minorHAnsi"/>
          <w:b/>
        </w:rPr>
        <w:t xml:space="preserve">SOLAR WATER HEATER REBATE: </w:t>
      </w:r>
    </w:p>
    <w:p w:rsidR="00D94698" w:rsidRPr="00B53423" w:rsidRDefault="00D94698" w:rsidP="0015232B">
      <w:pPr>
        <w:ind w:left="720"/>
        <w:rPr>
          <w:rFonts w:asciiTheme="minorHAnsi" w:hAnsiTheme="minorHAnsi" w:cstheme="minorHAnsi"/>
        </w:rPr>
      </w:pPr>
      <w:r w:rsidRPr="00B53423">
        <w:rPr>
          <w:rFonts w:asciiTheme="minorHAnsi" w:hAnsiTheme="minorHAnsi" w:cstheme="minorHAnsi"/>
        </w:rPr>
        <w:t xml:space="preserve">If consumer installs and uses solar water heating system of 100 litres or more, a rebate of Rs. 100 /- per month or actual bill for that month whichever is lower shall be given. The same shall be subject to the condition that consumer gives an affidavit to the licensee to the effect that he has installed such system and is in working condition, which the licensee shall be free to verify from time to time. If any such claim is found to be false, in addition to punitive legal action that may be taken against such consumer, the licensee will recover the total rebate allowed to the consumer with 100% penalty and debar him from availing such rebate for the next 12 months.  </w:t>
      </w:r>
    </w:p>
    <w:p w:rsidR="00D94698" w:rsidRPr="00B53423" w:rsidRDefault="00D94698" w:rsidP="0015232B">
      <w:pPr>
        <w:ind w:left="720" w:hanging="720"/>
        <w:rPr>
          <w:rFonts w:asciiTheme="minorHAnsi" w:hAnsiTheme="minorHAnsi" w:cstheme="minorHAnsi"/>
        </w:rPr>
      </w:pPr>
    </w:p>
    <w:p w:rsidR="00D94698" w:rsidRPr="00B53423" w:rsidRDefault="00D94698" w:rsidP="0015232B">
      <w:pPr>
        <w:ind w:left="705" w:hanging="705"/>
        <w:rPr>
          <w:rFonts w:asciiTheme="minorHAnsi" w:hAnsiTheme="minorHAnsi" w:cstheme="minorHAnsi"/>
          <w:b/>
        </w:rPr>
      </w:pPr>
      <w:r w:rsidRPr="00B53423">
        <w:rPr>
          <w:rFonts w:asciiTheme="minorHAnsi" w:hAnsiTheme="minorHAnsi" w:cstheme="minorHAnsi"/>
          <w:b/>
        </w:rPr>
        <w:t>17.</w:t>
      </w:r>
      <w:r w:rsidRPr="00B53423">
        <w:rPr>
          <w:rFonts w:asciiTheme="minorHAnsi" w:hAnsiTheme="minorHAnsi" w:cstheme="minorHAnsi"/>
        </w:rPr>
        <w:t xml:space="preserve"> </w:t>
      </w:r>
      <w:r w:rsidRPr="00B53423">
        <w:rPr>
          <w:rFonts w:asciiTheme="minorHAnsi" w:hAnsiTheme="minorHAnsi" w:cstheme="minorHAnsi"/>
        </w:rPr>
        <w:tab/>
      </w:r>
      <w:r w:rsidRPr="00B53423">
        <w:rPr>
          <w:rFonts w:asciiTheme="minorHAnsi" w:hAnsiTheme="minorHAnsi" w:cstheme="minorHAnsi"/>
          <w:b/>
        </w:rPr>
        <w:t>REBATE ON PAYMENT BEFORE DUE DATE:</w:t>
      </w:r>
    </w:p>
    <w:p w:rsidR="00D94698" w:rsidRPr="00B53423" w:rsidRDefault="00D94698" w:rsidP="0015232B">
      <w:pPr>
        <w:ind w:left="720"/>
        <w:rPr>
          <w:rFonts w:asciiTheme="minorHAnsi" w:hAnsiTheme="minorHAnsi" w:cstheme="minorHAnsi"/>
        </w:rPr>
      </w:pPr>
      <w:r w:rsidRPr="00B53423">
        <w:rPr>
          <w:rFonts w:asciiTheme="minorHAnsi" w:hAnsiTheme="minorHAnsi" w:cstheme="minorHAnsi"/>
        </w:rPr>
        <w:t>A rebate at 0.25% of Rate</w:t>
      </w:r>
      <w:r w:rsidR="00F42C8B" w:rsidRPr="00B53423">
        <w:rPr>
          <w:rFonts w:asciiTheme="minorHAnsi" w:hAnsiTheme="minorHAnsi" w:cstheme="minorHAnsi"/>
        </w:rPr>
        <w:t xml:space="preserve"> </w:t>
      </w:r>
      <w:r w:rsidRPr="00B53423">
        <w:rPr>
          <w:rFonts w:asciiTheme="minorHAnsi" w:hAnsiTheme="minorHAnsi" w:cstheme="minorHAnsi"/>
        </w:rPr>
        <w:t>shall be given in case the payment is made before the due date. The consumers having any arrears in the bill shall not be entitled for this rebate. The consumers who have paid the bills in advance as per clause 6.4 of the Electricity Supply Code</w:t>
      </w:r>
      <w:r w:rsidR="00F42C8B" w:rsidRPr="00B53423">
        <w:rPr>
          <w:rFonts w:asciiTheme="minorHAnsi" w:hAnsiTheme="minorHAnsi" w:cstheme="minorHAnsi"/>
        </w:rPr>
        <w:t xml:space="preserve"> shall also be eligible for the above rebate applicable on Rate</w:t>
      </w:r>
      <w:r w:rsidRPr="00B53423">
        <w:rPr>
          <w:rFonts w:asciiTheme="minorHAnsi" w:hAnsiTheme="minorHAnsi" w:cstheme="minorHAnsi"/>
        </w:rPr>
        <w:t>. Suitable changes in the billing software should be made by the Licensee to ensure such re</w:t>
      </w:r>
      <w:r w:rsidR="00A334BA" w:rsidRPr="00B53423">
        <w:rPr>
          <w:rFonts w:asciiTheme="minorHAnsi" w:hAnsiTheme="minorHAnsi" w:cstheme="minorHAnsi"/>
        </w:rPr>
        <w:t>bate to all eligible consumers.</w:t>
      </w:r>
    </w:p>
    <w:p w:rsidR="00A334BA" w:rsidRPr="00B53423" w:rsidRDefault="00A334BA" w:rsidP="0015232B">
      <w:pPr>
        <w:ind w:left="720"/>
        <w:rPr>
          <w:rFonts w:asciiTheme="minorHAnsi" w:hAnsiTheme="minorHAnsi" w:cstheme="minorHAnsi"/>
        </w:rPr>
      </w:pPr>
    </w:p>
    <w:p w:rsidR="00D94698" w:rsidRPr="00B53423" w:rsidRDefault="00D94698" w:rsidP="0015232B">
      <w:pPr>
        <w:ind w:left="720"/>
        <w:rPr>
          <w:rFonts w:asciiTheme="minorHAnsi" w:hAnsiTheme="minorHAnsi" w:cstheme="minorHAnsi"/>
          <w:u w:val="single"/>
        </w:rPr>
      </w:pPr>
    </w:p>
    <w:p w:rsidR="00D94698" w:rsidRPr="00B53423" w:rsidRDefault="00D94698" w:rsidP="0015232B">
      <w:pPr>
        <w:ind w:left="705" w:hanging="705"/>
        <w:rPr>
          <w:rFonts w:asciiTheme="minorHAnsi" w:hAnsiTheme="minorHAnsi" w:cstheme="minorHAnsi"/>
          <w:b/>
        </w:rPr>
      </w:pPr>
    </w:p>
    <w:p w:rsidR="00D94698" w:rsidRPr="00B53423" w:rsidRDefault="00987118" w:rsidP="0015232B">
      <w:pPr>
        <w:ind w:left="705" w:hanging="705"/>
        <w:rPr>
          <w:rFonts w:asciiTheme="minorHAnsi" w:hAnsiTheme="minorHAnsi" w:cstheme="minorHAnsi"/>
          <w:b/>
        </w:rPr>
      </w:pPr>
      <w:r>
        <w:rPr>
          <w:rFonts w:asciiTheme="minorHAnsi" w:hAnsiTheme="minorHAnsi" w:cstheme="minorHAnsi"/>
          <w:b/>
        </w:rPr>
        <w:t>18</w:t>
      </w:r>
      <w:r w:rsidR="00D94698" w:rsidRPr="00B53423">
        <w:rPr>
          <w:rFonts w:asciiTheme="minorHAnsi" w:hAnsiTheme="minorHAnsi" w:cstheme="minorHAnsi"/>
          <w:b/>
        </w:rPr>
        <w:t xml:space="preserve">. </w:t>
      </w:r>
      <w:r w:rsidR="00D94698" w:rsidRPr="00B53423">
        <w:rPr>
          <w:rFonts w:asciiTheme="minorHAnsi" w:hAnsiTheme="minorHAnsi" w:cstheme="minorHAnsi"/>
          <w:b/>
        </w:rPr>
        <w:tab/>
        <w:t>TARIFF APPLICABILITY FOR UNMETERED CONSUMER CATEGORIES:</w:t>
      </w:r>
    </w:p>
    <w:p w:rsidR="00D94698" w:rsidRPr="00B53423" w:rsidRDefault="00D94698" w:rsidP="0015232B">
      <w:pPr>
        <w:ind w:left="720"/>
        <w:rPr>
          <w:rFonts w:asciiTheme="minorHAnsi" w:hAnsiTheme="minorHAnsi" w:cstheme="minorHAnsi"/>
          <w:u w:val="single"/>
        </w:rPr>
      </w:pPr>
      <w:r w:rsidRPr="00B53423">
        <w:rPr>
          <w:rFonts w:asciiTheme="minorHAnsi" w:hAnsiTheme="minorHAnsi" w:cstheme="minorHAnsi"/>
        </w:rPr>
        <w:t>The specified tariff for all the unmetered categories shall be applicable only till 31</w:t>
      </w:r>
      <w:r w:rsidRPr="00B53423">
        <w:rPr>
          <w:rFonts w:asciiTheme="minorHAnsi" w:hAnsiTheme="minorHAnsi" w:cstheme="minorHAnsi"/>
          <w:vertAlign w:val="superscript"/>
        </w:rPr>
        <w:t>st</w:t>
      </w:r>
      <w:r w:rsidRPr="00B53423">
        <w:rPr>
          <w:rFonts w:asciiTheme="minorHAnsi" w:hAnsiTheme="minorHAnsi" w:cstheme="minorHAnsi"/>
        </w:rPr>
        <w:t xml:space="preserve"> March, 2015 unless extended by the Commission through an Order.</w:t>
      </w:r>
    </w:p>
    <w:p w:rsidR="00D94698" w:rsidRPr="00B53423" w:rsidRDefault="00D94698" w:rsidP="0015232B">
      <w:pPr>
        <w:ind w:left="720"/>
        <w:rPr>
          <w:rFonts w:asciiTheme="minorHAnsi" w:hAnsiTheme="minorHAnsi" w:cstheme="minorHAnsi"/>
          <w:u w:val="single"/>
        </w:rPr>
      </w:pPr>
    </w:p>
    <w:p w:rsidR="00D94698" w:rsidRPr="00B53423" w:rsidRDefault="00987118" w:rsidP="0015232B">
      <w:pPr>
        <w:ind w:left="705" w:hanging="705"/>
        <w:rPr>
          <w:rFonts w:asciiTheme="minorHAnsi" w:hAnsiTheme="minorHAnsi" w:cstheme="minorHAnsi"/>
          <w:b/>
        </w:rPr>
      </w:pPr>
      <w:r>
        <w:rPr>
          <w:rFonts w:asciiTheme="minorHAnsi" w:hAnsiTheme="minorHAnsi" w:cstheme="minorHAnsi"/>
          <w:b/>
        </w:rPr>
        <w:t>19</w:t>
      </w:r>
      <w:r w:rsidR="00D94698" w:rsidRPr="00B53423">
        <w:rPr>
          <w:rFonts w:asciiTheme="minorHAnsi" w:hAnsiTheme="minorHAnsi" w:cstheme="minorHAnsi"/>
          <w:b/>
        </w:rPr>
        <w:t xml:space="preserve">. </w:t>
      </w:r>
      <w:r w:rsidR="00D94698" w:rsidRPr="00B53423">
        <w:rPr>
          <w:rFonts w:asciiTheme="minorHAnsi" w:hAnsiTheme="minorHAnsi" w:cstheme="minorHAnsi"/>
          <w:b/>
        </w:rPr>
        <w:tab/>
        <w:t>REBATE TO CONSUMERS WHO SHIFT FROM UNMETERED TO METERED CONNECTION:</w:t>
      </w:r>
    </w:p>
    <w:p w:rsidR="00D271A0" w:rsidRPr="0082682E" w:rsidRDefault="00D271A0" w:rsidP="00D271A0">
      <w:pPr>
        <w:ind w:left="720"/>
        <w:rPr>
          <w:rFonts w:asciiTheme="minorHAnsi" w:hAnsiTheme="minorHAnsi" w:cstheme="minorHAnsi"/>
        </w:rPr>
      </w:pPr>
      <w:r>
        <w:rPr>
          <w:rFonts w:asciiTheme="minorHAnsi" w:hAnsiTheme="minorHAnsi" w:cstheme="minorHAnsi"/>
        </w:rPr>
        <w:t xml:space="preserve">Consumers who shift from </w:t>
      </w:r>
      <w:r w:rsidRPr="0082682E">
        <w:rPr>
          <w:rFonts w:asciiTheme="minorHAnsi" w:hAnsiTheme="minorHAnsi" w:cstheme="minorHAnsi"/>
        </w:rPr>
        <w:t>unmetered to metered connection by 31</w:t>
      </w:r>
      <w:r w:rsidRPr="0082682E">
        <w:rPr>
          <w:rFonts w:asciiTheme="minorHAnsi" w:hAnsiTheme="minorHAnsi" w:cstheme="minorHAnsi"/>
          <w:vertAlign w:val="superscript"/>
        </w:rPr>
        <w:t>st</w:t>
      </w:r>
      <w:r w:rsidRPr="0082682E">
        <w:rPr>
          <w:rFonts w:asciiTheme="minorHAnsi" w:hAnsiTheme="minorHAnsi" w:cstheme="minorHAnsi"/>
        </w:rPr>
        <w:t xml:space="preserve"> March, 2015</w:t>
      </w:r>
      <w:r>
        <w:rPr>
          <w:rFonts w:asciiTheme="minorHAnsi" w:hAnsiTheme="minorHAnsi" w:cstheme="minorHAnsi"/>
        </w:rPr>
        <w:t xml:space="preserve"> shall be given a rebate of 10% on Rate which shall be applicable till end of FY 2016-17</w:t>
      </w:r>
      <w:r w:rsidRPr="0082682E">
        <w:rPr>
          <w:rFonts w:asciiTheme="minorHAnsi" w:hAnsiTheme="minorHAnsi" w:cstheme="minorHAnsi"/>
        </w:rPr>
        <w:t>.</w:t>
      </w:r>
    </w:p>
    <w:p w:rsidR="00D94698" w:rsidRPr="00B53423" w:rsidRDefault="00D94698" w:rsidP="0015232B">
      <w:pPr>
        <w:spacing w:before="0" w:line="240" w:lineRule="auto"/>
        <w:jc w:val="left"/>
        <w:rPr>
          <w:rFonts w:asciiTheme="minorHAnsi" w:hAnsiTheme="minorHAnsi" w:cstheme="minorHAnsi"/>
        </w:rPr>
      </w:pPr>
      <w:r w:rsidRPr="00B53423">
        <w:rPr>
          <w:rFonts w:asciiTheme="minorHAnsi" w:hAnsiTheme="minorHAnsi" w:cstheme="minorHAnsi"/>
        </w:rPr>
        <w:br w:type="page"/>
      </w:r>
    </w:p>
    <w:p w:rsidR="00D94698" w:rsidRPr="00B53423" w:rsidRDefault="00D94698" w:rsidP="0015232B">
      <w:pPr>
        <w:spacing w:before="0" w:line="240" w:lineRule="auto"/>
        <w:jc w:val="center"/>
        <w:rPr>
          <w:b/>
          <w:caps/>
          <w:u w:val="single"/>
        </w:rPr>
      </w:pPr>
      <w:bookmarkStart w:id="1024" w:name="_Ref337200957"/>
      <w:bookmarkStart w:id="1025" w:name="_Toc337201454"/>
      <w:r w:rsidRPr="00B53423">
        <w:rPr>
          <w:b/>
          <w:caps/>
          <w:u w:val="single"/>
        </w:rPr>
        <w:t>Rate Schedule LMV – 1:</w:t>
      </w:r>
    </w:p>
    <w:p w:rsidR="00D94698" w:rsidRPr="00B53423" w:rsidRDefault="00D94698" w:rsidP="0015232B">
      <w:pPr>
        <w:jc w:val="center"/>
        <w:rPr>
          <w:b/>
          <w:caps/>
          <w:u w:val="single"/>
        </w:rPr>
      </w:pPr>
    </w:p>
    <w:p w:rsidR="00D94698" w:rsidRPr="00B53423" w:rsidRDefault="00D94698" w:rsidP="0015232B">
      <w:pPr>
        <w:ind w:left="2520" w:firstLine="360"/>
        <w:rPr>
          <w:b/>
        </w:rPr>
      </w:pPr>
      <w:r w:rsidRPr="00B53423">
        <w:rPr>
          <w:b/>
        </w:rPr>
        <w:t>DOMESTIC LIGHT, FAN &amp; POWER:</w:t>
      </w:r>
    </w:p>
    <w:p w:rsidR="00D94698" w:rsidRPr="00B53423" w:rsidRDefault="00D94698" w:rsidP="0015232B">
      <w:pPr>
        <w:rPr>
          <w:b/>
        </w:rPr>
      </w:pPr>
      <w:r w:rsidRPr="00B53423">
        <w:rPr>
          <w:b/>
        </w:rPr>
        <w:t>1.</w:t>
      </w:r>
      <w:r w:rsidRPr="00B53423">
        <w:rPr>
          <w:b/>
        </w:rPr>
        <w:tab/>
        <w:t>APPLICABILITY:</w:t>
      </w:r>
    </w:p>
    <w:p w:rsidR="00D94698" w:rsidRPr="00B53423" w:rsidRDefault="00D94698" w:rsidP="0015232B">
      <w:pPr>
        <w:tabs>
          <w:tab w:val="left" w:pos="360"/>
        </w:tabs>
        <w:spacing w:before="100"/>
        <w:ind w:firstLine="360"/>
      </w:pPr>
      <w:r w:rsidRPr="00B53423">
        <w:tab/>
        <w:t>This schedule shall apply to:</w:t>
      </w:r>
    </w:p>
    <w:p w:rsidR="00D94698" w:rsidRPr="00B53423" w:rsidRDefault="00D94698" w:rsidP="000174C0">
      <w:pPr>
        <w:numPr>
          <w:ilvl w:val="0"/>
          <w:numId w:val="96"/>
        </w:numPr>
        <w:spacing w:before="60" w:after="120" w:line="288" w:lineRule="auto"/>
        <w:ind w:left="1440" w:right="-58" w:hanging="720"/>
      </w:pPr>
      <w:r w:rsidRPr="00B53423">
        <w:t>Premises for residential / domestic purpose, Janata Service Connections, Kutir Jyoti Connections, Jhuggi / Hutments, Places of Worship (e.g. Temples, Mosques, Gurudwaras, Churches) and Electric Crematoria.</w:t>
      </w:r>
    </w:p>
    <w:p w:rsidR="00D94698" w:rsidRPr="00B53423" w:rsidRDefault="00D94698" w:rsidP="000174C0">
      <w:pPr>
        <w:numPr>
          <w:ilvl w:val="0"/>
          <w:numId w:val="96"/>
        </w:numPr>
        <w:spacing w:before="100" w:after="120" w:line="288" w:lineRule="auto"/>
        <w:ind w:left="1440" w:right="-58" w:hanging="720"/>
      </w:pPr>
      <w:r w:rsidRPr="00B53423">
        <w:t>Mixed Loads</w:t>
      </w:r>
    </w:p>
    <w:p w:rsidR="00D94698" w:rsidRPr="00B53423" w:rsidRDefault="00D94698" w:rsidP="0015232B">
      <w:pPr>
        <w:spacing w:before="100" w:after="120"/>
        <w:ind w:left="1440" w:right="-58"/>
        <w:rPr>
          <w:b/>
        </w:rPr>
      </w:pPr>
      <w:r w:rsidRPr="00B53423">
        <w:rPr>
          <w:b/>
        </w:rPr>
        <w:t>i.</w:t>
      </w:r>
      <w:r w:rsidRPr="00B53423">
        <w:rPr>
          <w:b/>
        </w:rPr>
        <w:tab/>
        <w:t xml:space="preserve">50 kW and above </w:t>
      </w:r>
    </w:p>
    <w:p w:rsidR="00D94698" w:rsidRPr="00B53423" w:rsidRDefault="00D94698" w:rsidP="0015232B">
      <w:pPr>
        <w:spacing w:before="100" w:after="120"/>
        <w:ind w:left="2160" w:right="-58" w:hanging="720"/>
      </w:pPr>
      <w:r w:rsidRPr="00B53423">
        <w:t>a.</w:t>
      </w:r>
      <w:r w:rsidRPr="00B53423">
        <w:tab/>
        <w:t xml:space="preserve">Registered Societies, Residential Colonies / Townships, Residential Multi-Storied Buildings with mixed loads (getting supply at single point) with the condition that 70% of the total contracted load shall be exclusively for the purposes of domestic light, fan and power. The above mixed load, within 70%, shall also include the load required for lifts, water pumps and common lighting, </w:t>
      </w:r>
    </w:p>
    <w:p w:rsidR="00D94698" w:rsidRPr="00B53423" w:rsidRDefault="00D94698" w:rsidP="0015232B">
      <w:pPr>
        <w:spacing w:before="100" w:after="120"/>
        <w:ind w:left="2160" w:right="-58" w:hanging="720"/>
      </w:pPr>
      <w:proofErr w:type="gramStart"/>
      <w:r w:rsidRPr="00B53423">
        <w:t>b</w:t>
      </w:r>
      <w:proofErr w:type="gramEnd"/>
      <w:r w:rsidRPr="00B53423">
        <w:t>.</w:t>
      </w:r>
      <w:r w:rsidRPr="00B53423">
        <w:tab/>
        <w:t xml:space="preserve">Military Engineer Service (MES) for Defence Establishments (Mixed load without any load restriction).   </w:t>
      </w:r>
    </w:p>
    <w:p w:rsidR="00D94698" w:rsidRPr="00B53423" w:rsidRDefault="00D94698" w:rsidP="000174C0">
      <w:pPr>
        <w:numPr>
          <w:ilvl w:val="0"/>
          <w:numId w:val="98"/>
        </w:numPr>
        <w:tabs>
          <w:tab w:val="num" w:pos="2160"/>
        </w:tabs>
        <w:spacing w:before="100" w:after="120" w:line="288" w:lineRule="auto"/>
        <w:ind w:left="2160" w:right="-58"/>
      </w:pPr>
      <w:r w:rsidRPr="00B53423">
        <w:rPr>
          <w:b/>
        </w:rPr>
        <w:t>Less than 50 kW</w:t>
      </w:r>
    </w:p>
    <w:p w:rsidR="00D94698" w:rsidRPr="00B53423" w:rsidRDefault="00D94698" w:rsidP="0015232B">
      <w:pPr>
        <w:spacing w:before="100" w:after="120"/>
        <w:ind w:left="2160" w:right="-58"/>
      </w:pPr>
      <w:r w:rsidRPr="00B53423">
        <w:t xml:space="preserve">Except for the case as specified in Regulation 3.3 (e) of Electricity Supply Code, 2005 as amended from time to time, if any portion of the load is utilized for conduct of business for non-domestic purposes then the entire energy consumed shall be charged under the rate schedule of higher charge </w:t>
      </w:r>
    </w:p>
    <w:p w:rsidR="00D94698" w:rsidRPr="00B53423" w:rsidRDefault="00D94698" w:rsidP="0015232B">
      <w:pPr>
        <w:rPr>
          <w:b/>
        </w:rPr>
      </w:pPr>
    </w:p>
    <w:p w:rsidR="00D94698" w:rsidRPr="00B53423" w:rsidRDefault="00D94698" w:rsidP="0015232B">
      <w:pPr>
        <w:rPr>
          <w:b/>
        </w:rPr>
      </w:pPr>
      <w:r w:rsidRPr="00B53423">
        <w:rPr>
          <w:b/>
        </w:rPr>
        <w:t>2.</w:t>
      </w:r>
      <w:r w:rsidRPr="00B53423">
        <w:rPr>
          <w:b/>
        </w:rPr>
        <w:tab/>
        <w:t xml:space="preserve">CHARACTER AND POINT OF SUPPLY: </w:t>
      </w:r>
    </w:p>
    <w:p w:rsidR="00D94698" w:rsidRPr="00B53423" w:rsidRDefault="00D94698" w:rsidP="0015232B">
      <w:pPr>
        <w:spacing w:line="240" w:lineRule="auto"/>
        <w:ind w:left="360" w:right="-58"/>
        <w:rPr>
          <w:rFonts w:cs="Arial"/>
        </w:rPr>
      </w:pPr>
      <w:proofErr w:type="gramStart"/>
      <w:r w:rsidRPr="00B53423">
        <w:t>As per the applicable provisions of Electricity Supply Code.</w:t>
      </w:r>
      <w:proofErr w:type="gramEnd"/>
    </w:p>
    <w:p w:rsidR="00D94698" w:rsidRPr="00B53423" w:rsidRDefault="00D94698" w:rsidP="0015232B">
      <w:pPr>
        <w:rPr>
          <w:b/>
        </w:rPr>
      </w:pPr>
    </w:p>
    <w:p w:rsidR="00D94698" w:rsidRPr="00B53423" w:rsidRDefault="00D94698" w:rsidP="0015232B">
      <w:pPr>
        <w:rPr>
          <w:b/>
        </w:rPr>
      </w:pPr>
      <w:r w:rsidRPr="00B53423">
        <w:rPr>
          <w:b/>
        </w:rPr>
        <w:t>3.</w:t>
      </w:r>
      <w:r w:rsidRPr="00B53423">
        <w:rPr>
          <w:b/>
        </w:rPr>
        <w:tab/>
        <w:t>RATE:</w:t>
      </w:r>
    </w:p>
    <w:p w:rsidR="00D94698" w:rsidRPr="00B53423" w:rsidRDefault="00D94698" w:rsidP="0015232B">
      <w:pPr>
        <w:spacing w:line="240" w:lineRule="auto"/>
        <w:ind w:left="360" w:right="-58"/>
      </w:pPr>
      <w:r w:rsidRPr="00B53423">
        <w:t>Rate, gives the fixed and energy charges at which the consumer shall be billed for his consumption during the billing period applicable to the category:</w:t>
      </w:r>
    </w:p>
    <w:p w:rsidR="00D94698" w:rsidRPr="00B53423" w:rsidRDefault="00D94698" w:rsidP="0015232B">
      <w:pPr>
        <w:spacing w:after="120"/>
        <w:ind w:left="360"/>
        <w:rPr>
          <w:rFonts w:cs="Arial"/>
          <w:b/>
          <w:bCs/>
        </w:rPr>
      </w:pPr>
    </w:p>
    <w:p w:rsidR="00D94698" w:rsidRPr="00B53423" w:rsidRDefault="00D94698" w:rsidP="0015232B">
      <w:pPr>
        <w:spacing w:after="120"/>
        <w:ind w:left="360"/>
      </w:pPr>
      <w:r w:rsidRPr="00B53423">
        <w:rPr>
          <w:rFonts w:cs="Arial"/>
          <w:b/>
          <w:bCs/>
        </w:rPr>
        <w:t>(a) Consumers getting supply as per ‘Rural Schedule’ (other than Tehsil Head Quarters, Nagar Palikas and Nagar Panchayat Areas):</w:t>
      </w:r>
    </w:p>
    <w:tbl>
      <w:tblPr>
        <w:tblW w:w="7786" w:type="dxa"/>
        <w:tblInd w:w="480" w:type="dxa"/>
        <w:tblLayout w:type="fixed"/>
        <w:tblCellMar>
          <w:left w:w="30" w:type="dxa"/>
          <w:right w:w="30" w:type="dxa"/>
        </w:tblCellMar>
        <w:tblLook w:val="0000"/>
      </w:tblPr>
      <w:tblGrid>
        <w:gridCol w:w="1664"/>
        <w:gridCol w:w="1851"/>
        <w:gridCol w:w="1841"/>
        <w:gridCol w:w="2430"/>
      </w:tblGrid>
      <w:tr w:rsidR="00D94698" w:rsidRPr="00B53423" w:rsidTr="00E93F0F">
        <w:trPr>
          <w:cantSplit/>
          <w:trHeight w:val="282"/>
          <w:tblHeader/>
        </w:trPr>
        <w:tc>
          <w:tcPr>
            <w:tcW w:w="1664" w:type="dxa"/>
            <w:tcBorders>
              <w:top w:val="single" w:sz="6" w:space="0" w:color="auto"/>
              <w:left w:val="single" w:sz="6" w:space="0" w:color="auto"/>
              <w:bottom w:val="single" w:sz="4" w:space="0" w:color="auto"/>
            </w:tcBorders>
            <w:shd w:val="pct12" w:color="auto" w:fill="auto"/>
          </w:tcPr>
          <w:p w:rsidR="00D94698" w:rsidRPr="00B53423" w:rsidRDefault="00D94698" w:rsidP="0015232B">
            <w:pPr>
              <w:jc w:val="center"/>
              <w:rPr>
                <w:rFonts w:cs="Arial"/>
                <w:b/>
                <w:color w:val="000000"/>
              </w:rPr>
            </w:pPr>
            <w:r w:rsidRPr="00B53423">
              <w:rPr>
                <w:rFonts w:cs="Arial"/>
                <w:b/>
                <w:color w:val="000000"/>
              </w:rPr>
              <w:t>Description</w:t>
            </w:r>
          </w:p>
        </w:tc>
        <w:tc>
          <w:tcPr>
            <w:tcW w:w="1851" w:type="dxa"/>
            <w:tcBorders>
              <w:top w:val="single" w:sz="4" w:space="0" w:color="auto"/>
              <w:left w:val="single" w:sz="4" w:space="0" w:color="auto"/>
              <w:bottom w:val="single" w:sz="4" w:space="0" w:color="auto"/>
            </w:tcBorders>
            <w:shd w:val="pct12" w:color="auto" w:fill="auto"/>
          </w:tcPr>
          <w:p w:rsidR="00D94698" w:rsidRPr="00B53423" w:rsidRDefault="00D94698" w:rsidP="0015232B">
            <w:pPr>
              <w:jc w:val="center"/>
              <w:rPr>
                <w:rFonts w:cs="Arial"/>
                <w:b/>
                <w:color w:val="000000"/>
              </w:rPr>
            </w:pPr>
            <w:r w:rsidRPr="00B53423">
              <w:rPr>
                <w:rFonts w:cs="Arial"/>
                <w:b/>
                <w:color w:val="000000"/>
              </w:rPr>
              <w:t>Description</w:t>
            </w:r>
          </w:p>
        </w:tc>
        <w:tc>
          <w:tcPr>
            <w:tcW w:w="1841" w:type="dxa"/>
            <w:tcBorders>
              <w:top w:val="single" w:sz="4" w:space="0" w:color="auto"/>
              <w:left w:val="single" w:sz="4" w:space="0" w:color="auto"/>
              <w:bottom w:val="single" w:sz="4" w:space="0" w:color="auto"/>
              <w:right w:val="single" w:sz="4" w:space="0" w:color="auto"/>
            </w:tcBorders>
            <w:shd w:val="pct12" w:color="auto" w:fill="auto"/>
          </w:tcPr>
          <w:p w:rsidR="00D94698" w:rsidRPr="00B53423" w:rsidRDefault="00D94698" w:rsidP="0015232B">
            <w:pPr>
              <w:jc w:val="center"/>
              <w:rPr>
                <w:rFonts w:cs="Arial"/>
                <w:b/>
                <w:color w:val="000000"/>
              </w:rPr>
            </w:pPr>
            <w:r w:rsidRPr="00B53423">
              <w:rPr>
                <w:rFonts w:cs="Arial"/>
                <w:b/>
                <w:color w:val="000000"/>
              </w:rPr>
              <w:t>Fixed charge</w:t>
            </w:r>
          </w:p>
        </w:tc>
        <w:tc>
          <w:tcPr>
            <w:tcW w:w="2430" w:type="dxa"/>
            <w:tcBorders>
              <w:top w:val="single" w:sz="4" w:space="0" w:color="auto"/>
              <w:left w:val="single" w:sz="4" w:space="0" w:color="auto"/>
              <w:bottom w:val="single" w:sz="4" w:space="0" w:color="auto"/>
              <w:right w:val="single" w:sz="4" w:space="0" w:color="auto"/>
            </w:tcBorders>
            <w:shd w:val="pct12" w:color="auto" w:fill="auto"/>
          </w:tcPr>
          <w:p w:rsidR="00D94698" w:rsidRPr="00B53423" w:rsidRDefault="00D94698" w:rsidP="0015232B">
            <w:pPr>
              <w:jc w:val="center"/>
              <w:rPr>
                <w:rFonts w:cs="Arial"/>
                <w:b/>
                <w:color w:val="000000"/>
              </w:rPr>
            </w:pPr>
            <w:r w:rsidRPr="00B53423">
              <w:rPr>
                <w:rFonts w:cs="Arial"/>
                <w:b/>
                <w:color w:val="000000"/>
              </w:rPr>
              <w:t>Energy charge)</w:t>
            </w:r>
          </w:p>
        </w:tc>
      </w:tr>
      <w:tr w:rsidR="00D94698" w:rsidRPr="00B53423" w:rsidTr="00E93F0F">
        <w:trPr>
          <w:cantSplit/>
          <w:trHeight w:val="257"/>
        </w:trPr>
        <w:tc>
          <w:tcPr>
            <w:tcW w:w="1664" w:type="dxa"/>
            <w:vMerge w:val="restart"/>
            <w:tcBorders>
              <w:top w:val="single" w:sz="4" w:space="0" w:color="auto"/>
              <w:left w:val="single" w:sz="6" w:space="0" w:color="auto"/>
            </w:tcBorders>
            <w:vAlign w:val="center"/>
          </w:tcPr>
          <w:p w:rsidR="00D94698" w:rsidRPr="00B53423" w:rsidRDefault="00D94698" w:rsidP="0015232B">
            <w:pPr>
              <w:jc w:val="left"/>
              <w:rPr>
                <w:rFonts w:cs="Arial"/>
                <w:bCs/>
                <w:color w:val="000000"/>
              </w:rPr>
            </w:pPr>
            <w:r w:rsidRPr="00B53423">
              <w:rPr>
                <w:rFonts w:cs="Arial"/>
                <w:bCs/>
                <w:color w:val="000000"/>
              </w:rPr>
              <w:t xml:space="preserve">i) Un-metered  </w:t>
            </w:r>
          </w:p>
        </w:tc>
        <w:tc>
          <w:tcPr>
            <w:tcW w:w="1851" w:type="dxa"/>
            <w:tcBorders>
              <w:top w:val="single" w:sz="4" w:space="0" w:color="auto"/>
              <w:left w:val="single" w:sz="4" w:space="0" w:color="auto"/>
              <w:bottom w:val="single" w:sz="4" w:space="0" w:color="auto"/>
            </w:tcBorders>
          </w:tcPr>
          <w:p w:rsidR="00D94698" w:rsidRPr="00B53423" w:rsidRDefault="00D94698" w:rsidP="0015232B">
            <w:pPr>
              <w:jc w:val="center"/>
              <w:rPr>
                <w:rFonts w:cs="Arial"/>
                <w:color w:val="000000"/>
              </w:rPr>
            </w:pPr>
            <w:r w:rsidRPr="00B53423">
              <w:rPr>
                <w:rFonts w:cs="Arial"/>
                <w:color w:val="000000"/>
              </w:rPr>
              <w:t>Load up to 2 kW</w:t>
            </w:r>
          </w:p>
        </w:tc>
        <w:tc>
          <w:tcPr>
            <w:tcW w:w="1841" w:type="dxa"/>
            <w:tcBorders>
              <w:top w:val="single" w:sz="4" w:space="0" w:color="auto"/>
              <w:left w:val="single" w:sz="4" w:space="0" w:color="auto"/>
              <w:bottom w:val="single" w:sz="4" w:space="0" w:color="auto"/>
              <w:right w:val="single" w:sz="4" w:space="0" w:color="auto"/>
            </w:tcBorders>
          </w:tcPr>
          <w:p w:rsidR="00D94698" w:rsidRPr="00B53423" w:rsidRDefault="00D94698" w:rsidP="0015232B">
            <w:pPr>
              <w:jc w:val="center"/>
              <w:rPr>
                <w:rFonts w:cs="Arial"/>
                <w:color w:val="000000"/>
              </w:rPr>
            </w:pPr>
            <w:r w:rsidRPr="00B53423">
              <w:rPr>
                <w:rFonts w:cs="Arial"/>
                <w:color w:val="000000"/>
              </w:rPr>
              <w:t>Rs. 180 / kW / month</w:t>
            </w:r>
          </w:p>
        </w:tc>
        <w:tc>
          <w:tcPr>
            <w:tcW w:w="2430" w:type="dxa"/>
            <w:tcBorders>
              <w:top w:val="single" w:sz="4" w:space="0" w:color="auto"/>
              <w:left w:val="single" w:sz="4" w:space="0" w:color="auto"/>
              <w:bottom w:val="single" w:sz="4" w:space="0" w:color="auto"/>
              <w:right w:val="single" w:sz="4" w:space="0" w:color="auto"/>
            </w:tcBorders>
          </w:tcPr>
          <w:p w:rsidR="00D94698" w:rsidRPr="00B53423" w:rsidRDefault="00D94698" w:rsidP="0015232B">
            <w:pPr>
              <w:jc w:val="center"/>
              <w:rPr>
                <w:rFonts w:cs="Arial"/>
                <w:color w:val="000000"/>
              </w:rPr>
            </w:pPr>
            <w:r w:rsidRPr="00B53423">
              <w:rPr>
                <w:rFonts w:cs="Arial"/>
                <w:color w:val="000000"/>
              </w:rPr>
              <w:t>Nil</w:t>
            </w:r>
          </w:p>
        </w:tc>
      </w:tr>
      <w:tr w:rsidR="00D94698" w:rsidRPr="00B53423" w:rsidTr="00E93F0F">
        <w:trPr>
          <w:cantSplit/>
          <w:trHeight w:val="257"/>
        </w:trPr>
        <w:tc>
          <w:tcPr>
            <w:tcW w:w="1664" w:type="dxa"/>
            <w:vMerge/>
            <w:tcBorders>
              <w:left w:val="single" w:sz="6" w:space="0" w:color="auto"/>
              <w:bottom w:val="single" w:sz="6" w:space="0" w:color="auto"/>
            </w:tcBorders>
          </w:tcPr>
          <w:p w:rsidR="00D94698" w:rsidRPr="00B53423" w:rsidRDefault="00D94698" w:rsidP="0015232B">
            <w:pPr>
              <w:rPr>
                <w:rFonts w:cs="Arial"/>
                <w:bCs/>
                <w:color w:val="000000"/>
              </w:rPr>
            </w:pPr>
          </w:p>
        </w:tc>
        <w:tc>
          <w:tcPr>
            <w:tcW w:w="1851" w:type="dxa"/>
            <w:tcBorders>
              <w:top w:val="single" w:sz="4" w:space="0" w:color="auto"/>
              <w:left w:val="single" w:sz="4" w:space="0" w:color="auto"/>
              <w:bottom w:val="single" w:sz="4" w:space="0" w:color="auto"/>
            </w:tcBorders>
          </w:tcPr>
          <w:p w:rsidR="00D94698" w:rsidRPr="00B53423" w:rsidRDefault="00D94698" w:rsidP="0015232B">
            <w:pPr>
              <w:jc w:val="center"/>
              <w:rPr>
                <w:rFonts w:cs="Arial"/>
                <w:color w:val="000000"/>
              </w:rPr>
            </w:pPr>
            <w:r w:rsidRPr="00B53423">
              <w:rPr>
                <w:rFonts w:cs="Arial"/>
                <w:color w:val="000000"/>
              </w:rPr>
              <w:t>Load above 2 kW</w:t>
            </w:r>
          </w:p>
        </w:tc>
        <w:tc>
          <w:tcPr>
            <w:tcW w:w="1841" w:type="dxa"/>
            <w:tcBorders>
              <w:top w:val="single" w:sz="4" w:space="0" w:color="auto"/>
              <w:left w:val="single" w:sz="4" w:space="0" w:color="auto"/>
              <w:bottom w:val="single" w:sz="4" w:space="0" w:color="auto"/>
              <w:right w:val="single" w:sz="4" w:space="0" w:color="auto"/>
            </w:tcBorders>
          </w:tcPr>
          <w:p w:rsidR="00D94698" w:rsidRPr="00B53423" w:rsidRDefault="00D94698" w:rsidP="0015232B">
            <w:pPr>
              <w:jc w:val="center"/>
              <w:rPr>
                <w:rFonts w:cs="Arial"/>
                <w:color w:val="000000"/>
              </w:rPr>
            </w:pPr>
            <w:r w:rsidRPr="00B53423">
              <w:rPr>
                <w:rFonts w:cs="Arial"/>
                <w:color w:val="000000"/>
              </w:rPr>
              <w:t>Rs. 200 / kW / month</w:t>
            </w:r>
          </w:p>
        </w:tc>
        <w:tc>
          <w:tcPr>
            <w:tcW w:w="2430" w:type="dxa"/>
            <w:tcBorders>
              <w:top w:val="single" w:sz="4" w:space="0" w:color="auto"/>
              <w:left w:val="single" w:sz="4" w:space="0" w:color="auto"/>
              <w:bottom w:val="single" w:sz="4" w:space="0" w:color="auto"/>
              <w:right w:val="single" w:sz="4" w:space="0" w:color="auto"/>
            </w:tcBorders>
          </w:tcPr>
          <w:p w:rsidR="00D94698" w:rsidRPr="00B53423" w:rsidRDefault="00D94698" w:rsidP="0015232B">
            <w:pPr>
              <w:jc w:val="center"/>
              <w:rPr>
                <w:rFonts w:cs="Arial"/>
                <w:color w:val="000000"/>
              </w:rPr>
            </w:pPr>
            <w:r w:rsidRPr="00B53423">
              <w:rPr>
                <w:rFonts w:cs="Arial"/>
                <w:color w:val="000000"/>
              </w:rPr>
              <w:t>Nil</w:t>
            </w:r>
          </w:p>
        </w:tc>
      </w:tr>
      <w:tr w:rsidR="00D94698" w:rsidRPr="00B53423" w:rsidTr="00E93F0F">
        <w:trPr>
          <w:cantSplit/>
          <w:trHeight w:val="275"/>
        </w:trPr>
        <w:tc>
          <w:tcPr>
            <w:tcW w:w="1664" w:type="dxa"/>
            <w:tcBorders>
              <w:top w:val="single" w:sz="6" w:space="0" w:color="auto"/>
              <w:left w:val="single" w:sz="6" w:space="0" w:color="auto"/>
              <w:bottom w:val="single" w:sz="6" w:space="0" w:color="auto"/>
            </w:tcBorders>
          </w:tcPr>
          <w:p w:rsidR="00D94698" w:rsidRPr="00B53423" w:rsidRDefault="00D94698" w:rsidP="0015232B">
            <w:pPr>
              <w:rPr>
                <w:rFonts w:cs="Arial"/>
                <w:bCs/>
                <w:color w:val="000000"/>
              </w:rPr>
            </w:pPr>
            <w:r w:rsidRPr="00B53423">
              <w:rPr>
                <w:rFonts w:cs="Arial"/>
                <w:bCs/>
              </w:rPr>
              <w:t xml:space="preserve"> ii) Metered </w:t>
            </w:r>
          </w:p>
        </w:tc>
        <w:tc>
          <w:tcPr>
            <w:tcW w:w="1851" w:type="dxa"/>
            <w:tcBorders>
              <w:top w:val="single" w:sz="4" w:space="0" w:color="auto"/>
              <w:left w:val="single" w:sz="4" w:space="0" w:color="auto"/>
              <w:bottom w:val="single" w:sz="4" w:space="0" w:color="auto"/>
            </w:tcBorders>
          </w:tcPr>
          <w:p w:rsidR="00D94698" w:rsidRPr="00B53423" w:rsidRDefault="00D94698" w:rsidP="0015232B">
            <w:pPr>
              <w:jc w:val="center"/>
              <w:rPr>
                <w:color w:val="000000"/>
              </w:rPr>
            </w:pPr>
            <w:r w:rsidRPr="00B53423">
              <w:rPr>
                <w:color w:val="000000"/>
              </w:rPr>
              <w:t>All Load</w:t>
            </w:r>
          </w:p>
        </w:tc>
        <w:tc>
          <w:tcPr>
            <w:tcW w:w="1841" w:type="dxa"/>
            <w:tcBorders>
              <w:top w:val="single" w:sz="4" w:space="0" w:color="auto"/>
              <w:left w:val="single" w:sz="4" w:space="0" w:color="auto"/>
              <w:bottom w:val="single" w:sz="4" w:space="0" w:color="auto"/>
              <w:right w:val="single" w:sz="4" w:space="0" w:color="auto"/>
            </w:tcBorders>
          </w:tcPr>
          <w:p w:rsidR="00D94698" w:rsidRPr="00B53423" w:rsidRDefault="00D94698" w:rsidP="0015232B">
            <w:pPr>
              <w:jc w:val="center"/>
              <w:rPr>
                <w:rFonts w:cs="Arial"/>
                <w:color w:val="000000"/>
              </w:rPr>
            </w:pPr>
            <w:r w:rsidRPr="00B53423">
              <w:rPr>
                <w:color w:val="000000"/>
              </w:rPr>
              <w:t xml:space="preserve">Rs. </w:t>
            </w:r>
            <w:r w:rsidRPr="00B53423">
              <w:t xml:space="preserve">50 </w:t>
            </w:r>
            <w:r w:rsidRPr="00B53423">
              <w:rPr>
                <w:color w:val="000000"/>
              </w:rPr>
              <w:t>/ kW / month</w:t>
            </w:r>
          </w:p>
        </w:tc>
        <w:tc>
          <w:tcPr>
            <w:tcW w:w="2430" w:type="dxa"/>
            <w:tcBorders>
              <w:top w:val="single" w:sz="4" w:space="0" w:color="auto"/>
              <w:left w:val="single" w:sz="4" w:space="0" w:color="auto"/>
              <w:bottom w:val="single" w:sz="4" w:space="0" w:color="auto"/>
              <w:right w:val="single" w:sz="4" w:space="0" w:color="auto"/>
            </w:tcBorders>
          </w:tcPr>
          <w:p w:rsidR="00D94698" w:rsidRPr="00B53423" w:rsidRDefault="00D94698" w:rsidP="0015232B">
            <w:pPr>
              <w:jc w:val="center"/>
              <w:rPr>
                <w:rFonts w:cs="Arial"/>
                <w:color w:val="000000"/>
              </w:rPr>
            </w:pPr>
            <w:r w:rsidRPr="00B53423">
              <w:rPr>
                <w:rFonts w:cs="Arial"/>
                <w:color w:val="000000"/>
              </w:rPr>
              <w:t>Rs. 2.20 / kWh</w:t>
            </w:r>
          </w:p>
        </w:tc>
      </w:tr>
    </w:tbl>
    <w:p w:rsidR="00D94698" w:rsidRPr="00B53423" w:rsidRDefault="00D94698" w:rsidP="0015232B">
      <w:pPr>
        <w:rPr>
          <w:rFonts w:cs="Arial"/>
          <w:b/>
          <w:bCs/>
        </w:rPr>
      </w:pPr>
    </w:p>
    <w:p w:rsidR="00D94698" w:rsidRPr="00B53423" w:rsidRDefault="00D94698" w:rsidP="0015232B">
      <w:pPr>
        <w:ind w:firstLine="426"/>
        <w:rPr>
          <w:rFonts w:cs="Arial"/>
          <w:b/>
          <w:bCs/>
        </w:rPr>
      </w:pPr>
      <w:r w:rsidRPr="00B53423">
        <w:rPr>
          <w:rFonts w:cs="Arial"/>
          <w:b/>
          <w:bCs/>
        </w:rPr>
        <w:t>(b) Supply at Single Point for bulk loads:</w:t>
      </w:r>
    </w:p>
    <w:tbl>
      <w:tblPr>
        <w:tblW w:w="0" w:type="auto"/>
        <w:tblInd w:w="480" w:type="dxa"/>
        <w:tblLayout w:type="fixed"/>
        <w:tblCellMar>
          <w:left w:w="30" w:type="dxa"/>
          <w:right w:w="30" w:type="dxa"/>
        </w:tblCellMar>
        <w:tblLook w:val="0000"/>
      </w:tblPr>
      <w:tblGrid>
        <w:gridCol w:w="4370"/>
        <w:gridCol w:w="1955"/>
        <w:gridCol w:w="1955"/>
      </w:tblGrid>
      <w:tr w:rsidR="00D94698" w:rsidRPr="00B53423" w:rsidTr="00E93F0F">
        <w:trPr>
          <w:cantSplit/>
          <w:trHeight w:val="199"/>
        </w:trPr>
        <w:tc>
          <w:tcPr>
            <w:tcW w:w="4370" w:type="dxa"/>
            <w:tcBorders>
              <w:top w:val="single" w:sz="4" w:space="0" w:color="auto"/>
              <w:left w:val="single" w:sz="6" w:space="0" w:color="auto"/>
              <w:bottom w:val="single" w:sz="6" w:space="0" w:color="auto"/>
              <w:right w:val="single" w:sz="4" w:space="0" w:color="auto"/>
            </w:tcBorders>
            <w:shd w:val="pct12" w:color="auto" w:fill="auto"/>
          </w:tcPr>
          <w:p w:rsidR="00D94698" w:rsidRPr="00B53423" w:rsidRDefault="00D94698" w:rsidP="0015232B">
            <w:pPr>
              <w:jc w:val="center"/>
              <w:rPr>
                <w:rFonts w:cs="Arial"/>
                <w:b/>
                <w:bCs/>
              </w:rPr>
            </w:pPr>
            <w:r w:rsidRPr="00B53423">
              <w:rPr>
                <w:rFonts w:cs="Arial"/>
                <w:b/>
                <w:bCs/>
              </w:rPr>
              <w:t>Description</w:t>
            </w:r>
          </w:p>
        </w:tc>
        <w:tc>
          <w:tcPr>
            <w:tcW w:w="1955" w:type="dxa"/>
            <w:tcBorders>
              <w:top w:val="single" w:sz="4" w:space="0" w:color="auto"/>
              <w:left w:val="single" w:sz="4" w:space="0" w:color="auto"/>
              <w:bottom w:val="single" w:sz="6" w:space="0" w:color="auto"/>
              <w:right w:val="single" w:sz="4" w:space="0" w:color="auto"/>
            </w:tcBorders>
            <w:shd w:val="pct12" w:color="auto" w:fill="auto"/>
          </w:tcPr>
          <w:p w:rsidR="00D94698" w:rsidRPr="00B53423" w:rsidRDefault="00D94698" w:rsidP="0015232B">
            <w:pPr>
              <w:jc w:val="center"/>
              <w:rPr>
                <w:rFonts w:cs="Arial"/>
                <w:b/>
                <w:bCs/>
              </w:rPr>
            </w:pPr>
            <w:r w:rsidRPr="00B53423">
              <w:rPr>
                <w:rFonts w:cs="Arial"/>
                <w:b/>
                <w:bCs/>
              </w:rPr>
              <w:t>Fixed Charge</w:t>
            </w:r>
          </w:p>
        </w:tc>
        <w:tc>
          <w:tcPr>
            <w:tcW w:w="1955" w:type="dxa"/>
            <w:tcBorders>
              <w:top w:val="single" w:sz="4" w:space="0" w:color="auto"/>
              <w:left w:val="single" w:sz="4" w:space="0" w:color="auto"/>
              <w:bottom w:val="single" w:sz="6" w:space="0" w:color="auto"/>
              <w:right w:val="single" w:sz="4" w:space="0" w:color="auto"/>
            </w:tcBorders>
            <w:shd w:val="pct12" w:color="auto" w:fill="auto"/>
          </w:tcPr>
          <w:p w:rsidR="00D94698" w:rsidRPr="00B53423" w:rsidRDefault="00D94698" w:rsidP="0015232B">
            <w:pPr>
              <w:jc w:val="center"/>
              <w:rPr>
                <w:rFonts w:cs="Arial"/>
                <w:b/>
                <w:bCs/>
              </w:rPr>
            </w:pPr>
            <w:r w:rsidRPr="00B53423">
              <w:rPr>
                <w:rFonts w:cs="Arial"/>
                <w:b/>
                <w:bCs/>
              </w:rPr>
              <w:t xml:space="preserve">Energy Charge </w:t>
            </w:r>
          </w:p>
        </w:tc>
      </w:tr>
      <w:tr w:rsidR="00D94698" w:rsidRPr="00B53423" w:rsidTr="00E93F0F">
        <w:trPr>
          <w:cantSplit/>
          <w:trHeight w:val="1398"/>
        </w:trPr>
        <w:tc>
          <w:tcPr>
            <w:tcW w:w="4370" w:type="dxa"/>
            <w:tcBorders>
              <w:top w:val="single" w:sz="6" w:space="0" w:color="auto"/>
              <w:left w:val="single" w:sz="6" w:space="0" w:color="auto"/>
              <w:bottom w:val="single" w:sz="6" w:space="0" w:color="auto"/>
              <w:right w:val="single" w:sz="4" w:space="0" w:color="auto"/>
            </w:tcBorders>
          </w:tcPr>
          <w:p w:rsidR="00D94698" w:rsidRPr="00B53423" w:rsidRDefault="00D94698" w:rsidP="0015232B">
            <w:pPr>
              <w:tabs>
                <w:tab w:val="left" w:pos="60"/>
              </w:tabs>
              <w:ind w:left="60" w:right="150"/>
              <w:rPr>
                <w:rFonts w:cs="Arial"/>
                <w:color w:val="000000"/>
              </w:rPr>
            </w:pPr>
            <w:r w:rsidRPr="00B53423">
              <w:t xml:space="preserve">For Townships, Registered Societies, Residential Colonies, multi-storied residential complexes (including lifts, water pumps and common lighting within the premises) with loads 50 kW and above with the restriction that at least 70% of the total contracted load is meant exclusively for the domestic light, fan and power purposes and for Military Engineer Service (MES) for Defence Establishments (Mixed load without any load restriction).   </w:t>
            </w:r>
          </w:p>
        </w:tc>
        <w:tc>
          <w:tcPr>
            <w:tcW w:w="1955" w:type="dxa"/>
            <w:tcBorders>
              <w:top w:val="single" w:sz="6" w:space="0" w:color="auto"/>
              <w:left w:val="single" w:sz="6" w:space="0" w:color="auto"/>
              <w:bottom w:val="single" w:sz="6" w:space="0" w:color="auto"/>
              <w:right w:val="single" w:sz="4" w:space="0" w:color="auto"/>
            </w:tcBorders>
            <w:vAlign w:val="center"/>
          </w:tcPr>
          <w:p w:rsidR="00D94698" w:rsidRPr="00B53423" w:rsidRDefault="00D94698" w:rsidP="0015232B">
            <w:pPr>
              <w:jc w:val="center"/>
              <w:rPr>
                <w:rFonts w:cs="Arial"/>
              </w:rPr>
            </w:pPr>
            <w:r w:rsidRPr="00B53423">
              <w:rPr>
                <w:rFonts w:cs="Arial"/>
                <w:color w:val="000000"/>
              </w:rPr>
              <w:t>Rs. 70.00 / kW / Month</w:t>
            </w:r>
          </w:p>
        </w:tc>
        <w:tc>
          <w:tcPr>
            <w:tcW w:w="1955" w:type="dxa"/>
            <w:tcBorders>
              <w:top w:val="single" w:sz="6" w:space="0" w:color="auto"/>
              <w:left w:val="single" w:sz="6" w:space="0" w:color="auto"/>
              <w:bottom w:val="single" w:sz="6" w:space="0" w:color="auto"/>
              <w:right w:val="single" w:sz="4" w:space="0" w:color="auto"/>
            </w:tcBorders>
            <w:vAlign w:val="center"/>
          </w:tcPr>
          <w:p w:rsidR="00D94698" w:rsidRPr="00B53423" w:rsidRDefault="00D94698" w:rsidP="0015232B">
            <w:pPr>
              <w:ind w:left="-29"/>
              <w:jc w:val="center"/>
              <w:rPr>
                <w:rFonts w:cs="Arial"/>
                <w:color w:val="000000"/>
              </w:rPr>
            </w:pPr>
            <w:r w:rsidRPr="00B53423">
              <w:rPr>
                <w:rFonts w:cs="Arial"/>
                <w:color w:val="000000"/>
              </w:rPr>
              <w:t xml:space="preserve">Rs. </w:t>
            </w:r>
            <w:r w:rsidRPr="00B53423">
              <w:t>5.25</w:t>
            </w:r>
            <w:r w:rsidRPr="00B53423">
              <w:rPr>
                <w:rFonts w:cs="Arial"/>
                <w:color w:val="000000"/>
              </w:rPr>
              <w:t xml:space="preserve"> / kWh</w:t>
            </w:r>
          </w:p>
        </w:tc>
      </w:tr>
    </w:tbl>
    <w:p w:rsidR="00D94698" w:rsidRPr="00B53423" w:rsidRDefault="00D94698" w:rsidP="0015232B"/>
    <w:p w:rsidR="00D94698" w:rsidRPr="00B53423" w:rsidRDefault="00D94698" w:rsidP="0015232B">
      <w:pPr>
        <w:ind w:left="450"/>
      </w:pPr>
      <w:r w:rsidRPr="00B53423">
        <w:t>The body seeking the supply at Single point for bulk loads under this category shall be considered as a deemed franchisee of the Licensee. Such body shall charge not more than 10% additional charge on the above specified Rate from its end consumers apart from other applicable charges such as Regulatory Surcharge, Penalty, Rebate and Electricity Duty on actual basis.</w:t>
      </w:r>
    </w:p>
    <w:p w:rsidR="00D94698" w:rsidRPr="00B53423" w:rsidRDefault="00D94698" w:rsidP="0015232B">
      <w:pPr>
        <w:ind w:left="450"/>
      </w:pPr>
    </w:p>
    <w:p w:rsidR="00D94698" w:rsidRPr="00B53423" w:rsidRDefault="00D94698" w:rsidP="0015232B">
      <w:pPr>
        <w:ind w:firstLine="450"/>
        <w:rPr>
          <w:rFonts w:cs="Arial"/>
          <w:b/>
          <w:bCs/>
        </w:rPr>
      </w:pPr>
    </w:p>
    <w:p w:rsidR="00D94698" w:rsidRPr="00B53423" w:rsidRDefault="00D94698" w:rsidP="0015232B">
      <w:pPr>
        <w:ind w:firstLine="450"/>
        <w:rPr>
          <w:rFonts w:cs="Arial"/>
          <w:b/>
          <w:bCs/>
        </w:rPr>
      </w:pPr>
      <w:r w:rsidRPr="00B53423">
        <w:rPr>
          <w:rFonts w:cs="Arial"/>
          <w:b/>
          <w:bCs/>
        </w:rPr>
        <w:t>(c) OTHER METERED DOMESTIC CONSUMERS:</w:t>
      </w:r>
    </w:p>
    <w:p w:rsidR="00D94698" w:rsidRPr="00B53423" w:rsidRDefault="00D94698" w:rsidP="0015232B">
      <w:pPr>
        <w:ind w:firstLine="450"/>
        <w:rPr>
          <w:rFonts w:cs="Arial"/>
          <w:b/>
          <w:bCs/>
        </w:rPr>
      </w:pPr>
    </w:p>
    <w:p w:rsidR="00D94698" w:rsidRPr="00B53423" w:rsidRDefault="00D94698" w:rsidP="000174C0">
      <w:pPr>
        <w:numPr>
          <w:ilvl w:val="0"/>
          <w:numId w:val="88"/>
        </w:numPr>
        <w:tabs>
          <w:tab w:val="left" w:pos="1440"/>
        </w:tabs>
        <w:spacing w:before="0" w:line="288" w:lineRule="auto"/>
      </w:pPr>
      <w:r w:rsidRPr="00B53423">
        <w:rPr>
          <w:b/>
        </w:rPr>
        <w:t xml:space="preserve">Lifeline consumers: </w:t>
      </w:r>
      <w:r w:rsidRPr="00B53423">
        <w:t xml:space="preserve">Consumers with contracted load of 1 kW, energy consumption up to 150 kWh / month. </w:t>
      </w:r>
    </w:p>
    <w:p w:rsidR="00D94698" w:rsidRPr="00B53423" w:rsidRDefault="00D94698" w:rsidP="0015232B">
      <w:pPr>
        <w:tabs>
          <w:tab w:val="left" w:pos="1440"/>
        </w:tabs>
        <w:spacing w:line="288" w:lineRule="auto"/>
        <w:ind w:left="1080"/>
        <w:rPr>
          <w:b/>
        </w:rPr>
      </w:pPr>
    </w:p>
    <w:tbl>
      <w:tblPr>
        <w:tblW w:w="0" w:type="auto"/>
        <w:tblInd w:w="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3312"/>
        <w:gridCol w:w="2700"/>
        <w:gridCol w:w="2070"/>
      </w:tblGrid>
      <w:tr w:rsidR="00D94698" w:rsidRPr="00B53423" w:rsidTr="00E93F0F">
        <w:trPr>
          <w:cantSplit/>
          <w:trHeight w:val="235"/>
          <w:tblHeader/>
        </w:trPr>
        <w:tc>
          <w:tcPr>
            <w:tcW w:w="3312" w:type="dxa"/>
            <w:shd w:val="pct12" w:color="auto" w:fill="auto"/>
          </w:tcPr>
          <w:p w:rsidR="00D94698" w:rsidRPr="00B53423" w:rsidRDefault="00D94698" w:rsidP="0015232B">
            <w:pPr>
              <w:jc w:val="center"/>
              <w:rPr>
                <w:b/>
              </w:rPr>
            </w:pPr>
            <w:r w:rsidRPr="00B53423">
              <w:rPr>
                <w:b/>
              </w:rPr>
              <w:t>Description</w:t>
            </w:r>
          </w:p>
        </w:tc>
        <w:tc>
          <w:tcPr>
            <w:tcW w:w="2700" w:type="dxa"/>
            <w:shd w:val="pct12" w:color="auto" w:fill="auto"/>
          </w:tcPr>
          <w:p w:rsidR="00D94698" w:rsidRPr="00B53423" w:rsidRDefault="00D94698" w:rsidP="0015232B">
            <w:pPr>
              <w:jc w:val="center"/>
              <w:rPr>
                <w:b/>
              </w:rPr>
            </w:pPr>
            <w:r w:rsidRPr="00B53423">
              <w:rPr>
                <w:b/>
              </w:rPr>
              <w:t>Fixed Charge</w:t>
            </w:r>
          </w:p>
        </w:tc>
        <w:tc>
          <w:tcPr>
            <w:tcW w:w="2070" w:type="dxa"/>
            <w:shd w:val="pct12" w:color="auto" w:fill="auto"/>
          </w:tcPr>
          <w:p w:rsidR="00D94698" w:rsidRPr="00B53423" w:rsidRDefault="00D94698" w:rsidP="0015232B">
            <w:pPr>
              <w:jc w:val="center"/>
              <w:rPr>
                <w:b/>
              </w:rPr>
            </w:pPr>
            <w:r w:rsidRPr="00B53423">
              <w:rPr>
                <w:b/>
              </w:rPr>
              <w:t>Energy Charge</w:t>
            </w:r>
          </w:p>
        </w:tc>
      </w:tr>
      <w:tr w:rsidR="00D94698" w:rsidRPr="00B53423" w:rsidTr="00E93F0F">
        <w:trPr>
          <w:cantSplit/>
          <w:trHeight w:val="287"/>
        </w:trPr>
        <w:tc>
          <w:tcPr>
            <w:tcW w:w="3312" w:type="dxa"/>
          </w:tcPr>
          <w:p w:rsidR="00D94698" w:rsidRPr="00B53423" w:rsidRDefault="00D94698" w:rsidP="0015232B">
            <w:pPr>
              <w:jc w:val="left"/>
            </w:pPr>
            <w:r w:rsidRPr="00B53423">
              <w:t>Loads of 1 kW only and for consumption up to 50 kWh / month (0 to 50 kWh / month)</w:t>
            </w:r>
          </w:p>
        </w:tc>
        <w:tc>
          <w:tcPr>
            <w:tcW w:w="2700" w:type="dxa"/>
            <w:vAlign w:val="center"/>
          </w:tcPr>
          <w:p w:rsidR="00D94698" w:rsidRPr="00B53423" w:rsidRDefault="00D94698" w:rsidP="0015232B">
            <w:pPr>
              <w:jc w:val="center"/>
            </w:pPr>
            <w:r w:rsidRPr="00B53423">
              <w:t>Rs. 50.00 / kW / month</w:t>
            </w:r>
          </w:p>
        </w:tc>
        <w:tc>
          <w:tcPr>
            <w:tcW w:w="2070" w:type="dxa"/>
            <w:vAlign w:val="center"/>
          </w:tcPr>
          <w:p w:rsidR="00D94698" w:rsidRPr="00B53423" w:rsidRDefault="00D94698" w:rsidP="0015232B">
            <w:pPr>
              <w:ind w:left="-29"/>
              <w:jc w:val="center"/>
            </w:pPr>
            <w:r w:rsidRPr="00B53423">
              <w:t>Rs. 2.00 / kWh</w:t>
            </w:r>
          </w:p>
        </w:tc>
      </w:tr>
      <w:tr w:rsidR="00D94698" w:rsidRPr="00B53423" w:rsidTr="00E93F0F">
        <w:trPr>
          <w:cantSplit/>
          <w:trHeight w:val="287"/>
        </w:trPr>
        <w:tc>
          <w:tcPr>
            <w:tcW w:w="3312" w:type="dxa"/>
          </w:tcPr>
          <w:p w:rsidR="00D94698" w:rsidRPr="00B53423" w:rsidRDefault="00D94698" w:rsidP="0015232B">
            <w:pPr>
              <w:jc w:val="left"/>
            </w:pPr>
            <w:r w:rsidRPr="00B53423">
              <w:t>Loads of 1 kW only and for consumption above 50 kWh / month up to 150 kWh / month (51 to 150 kWh / month)</w:t>
            </w:r>
          </w:p>
        </w:tc>
        <w:tc>
          <w:tcPr>
            <w:tcW w:w="2700" w:type="dxa"/>
            <w:vAlign w:val="center"/>
          </w:tcPr>
          <w:p w:rsidR="00D94698" w:rsidRPr="00B53423" w:rsidRDefault="00D94698" w:rsidP="0015232B">
            <w:pPr>
              <w:jc w:val="center"/>
            </w:pPr>
            <w:r w:rsidRPr="00B53423">
              <w:t>Rs. 50.00 / kW / month</w:t>
            </w:r>
          </w:p>
        </w:tc>
        <w:tc>
          <w:tcPr>
            <w:tcW w:w="2070" w:type="dxa"/>
            <w:vAlign w:val="center"/>
          </w:tcPr>
          <w:p w:rsidR="00D94698" w:rsidRPr="00B53423" w:rsidRDefault="00D94698" w:rsidP="0015232B">
            <w:pPr>
              <w:ind w:left="-29"/>
              <w:jc w:val="center"/>
            </w:pPr>
            <w:r w:rsidRPr="00B53423">
              <w:t>Rs. 2.85 / kWh</w:t>
            </w:r>
          </w:p>
        </w:tc>
      </w:tr>
    </w:tbl>
    <w:p w:rsidR="00D94698" w:rsidRPr="00B53423" w:rsidRDefault="00D94698" w:rsidP="0015232B">
      <w:pPr>
        <w:ind w:firstLine="720"/>
        <w:rPr>
          <w:b/>
        </w:rPr>
      </w:pPr>
    </w:p>
    <w:p w:rsidR="00D94698" w:rsidRPr="00B53423" w:rsidRDefault="00D94698" w:rsidP="000174C0">
      <w:pPr>
        <w:numPr>
          <w:ilvl w:val="0"/>
          <w:numId w:val="88"/>
        </w:numPr>
        <w:tabs>
          <w:tab w:val="left" w:pos="1440"/>
        </w:tabs>
        <w:spacing w:before="0" w:line="288" w:lineRule="auto"/>
      </w:pPr>
      <w:r w:rsidRPr="00B53423">
        <w:rPr>
          <w:b/>
        </w:rPr>
        <w:t xml:space="preserve">Others: </w:t>
      </w:r>
      <w:r w:rsidRPr="00B53423">
        <w:t>Other than life line consumers (i.e. consumers who do not qualify under the criteria laid down for lifeline consumers.)</w:t>
      </w:r>
    </w:p>
    <w:p w:rsidR="00D94698" w:rsidRPr="00B53423" w:rsidRDefault="00D94698" w:rsidP="0015232B">
      <w:pPr>
        <w:tabs>
          <w:tab w:val="left" w:pos="1440"/>
        </w:tabs>
        <w:spacing w:line="288" w:lineRule="auto"/>
      </w:pPr>
    </w:p>
    <w:tbl>
      <w:tblPr>
        <w:tblW w:w="8370"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8"/>
        <w:gridCol w:w="2802"/>
        <w:gridCol w:w="1980"/>
        <w:gridCol w:w="2160"/>
      </w:tblGrid>
      <w:tr w:rsidR="00D94698" w:rsidRPr="00B53423" w:rsidTr="00E93F0F">
        <w:tc>
          <w:tcPr>
            <w:tcW w:w="1428" w:type="dxa"/>
            <w:shd w:val="pct12" w:color="auto" w:fill="auto"/>
          </w:tcPr>
          <w:p w:rsidR="00D94698" w:rsidRPr="00B53423" w:rsidRDefault="00D94698" w:rsidP="0015232B">
            <w:pPr>
              <w:spacing w:after="120"/>
              <w:jc w:val="center"/>
              <w:rPr>
                <w:rFonts w:cs="Arial"/>
                <w:b/>
                <w:bCs/>
              </w:rPr>
            </w:pPr>
            <w:r w:rsidRPr="00B53423">
              <w:rPr>
                <w:rFonts w:cs="Arial"/>
                <w:b/>
                <w:bCs/>
              </w:rPr>
              <w:t>Description</w:t>
            </w:r>
          </w:p>
        </w:tc>
        <w:tc>
          <w:tcPr>
            <w:tcW w:w="2802" w:type="dxa"/>
            <w:shd w:val="pct12" w:color="auto" w:fill="auto"/>
          </w:tcPr>
          <w:p w:rsidR="00D94698" w:rsidRPr="00B53423" w:rsidRDefault="00D94698" w:rsidP="0015232B">
            <w:pPr>
              <w:spacing w:after="120"/>
              <w:jc w:val="center"/>
              <w:rPr>
                <w:rFonts w:cs="Arial"/>
                <w:b/>
                <w:bCs/>
              </w:rPr>
            </w:pPr>
            <w:r w:rsidRPr="00B53423">
              <w:rPr>
                <w:rFonts w:cs="Arial"/>
                <w:b/>
                <w:bCs/>
              </w:rPr>
              <w:t>Consumption Range</w:t>
            </w:r>
          </w:p>
        </w:tc>
        <w:tc>
          <w:tcPr>
            <w:tcW w:w="1980" w:type="dxa"/>
            <w:shd w:val="pct12" w:color="auto" w:fill="auto"/>
          </w:tcPr>
          <w:p w:rsidR="00D94698" w:rsidRPr="00B53423" w:rsidRDefault="00D94698" w:rsidP="0015232B">
            <w:pPr>
              <w:spacing w:after="120"/>
              <w:jc w:val="center"/>
              <w:rPr>
                <w:rFonts w:cs="Arial"/>
                <w:b/>
                <w:bCs/>
              </w:rPr>
            </w:pPr>
            <w:r w:rsidRPr="00B53423">
              <w:rPr>
                <w:rFonts w:cs="Arial"/>
                <w:b/>
                <w:bCs/>
              </w:rPr>
              <w:t>Fixed Charge</w:t>
            </w:r>
          </w:p>
        </w:tc>
        <w:tc>
          <w:tcPr>
            <w:tcW w:w="2160" w:type="dxa"/>
            <w:shd w:val="pct12" w:color="auto" w:fill="auto"/>
          </w:tcPr>
          <w:p w:rsidR="00D94698" w:rsidRPr="00B53423" w:rsidRDefault="00D94698" w:rsidP="0015232B">
            <w:pPr>
              <w:spacing w:after="120"/>
              <w:jc w:val="center"/>
              <w:rPr>
                <w:rFonts w:cs="Arial"/>
                <w:b/>
                <w:bCs/>
              </w:rPr>
            </w:pPr>
            <w:r w:rsidRPr="00B53423">
              <w:rPr>
                <w:rFonts w:cs="Arial"/>
                <w:b/>
                <w:bCs/>
              </w:rPr>
              <w:t>Energy Charge</w:t>
            </w:r>
          </w:p>
        </w:tc>
      </w:tr>
      <w:tr w:rsidR="00A334BA" w:rsidRPr="00B53423" w:rsidTr="00E93F0F">
        <w:tc>
          <w:tcPr>
            <w:tcW w:w="1428" w:type="dxa"/>
            <w:vMerge w:val="restart"/>
            <w:vAlign w:val="center"/>
          </w:tcPr>
          <w:p w:rsidR="00A334BA" w:rsidRPr="00B53423" w:rsidRDefault="00A334BA" w:rsidP="0015232B">
            <w:pPr>
              <w:spacing w:after="120"/>
              <w:jc w:val="center"/>
              <w:rPr>
                <w:rFonts w:cs="Arial"/>
                <w:bCs/>
              </w:rPr>
            </w:pPr>
            <w:r w:rsidRPr="00B53423">
              <w:rPr>
                <w:rFonts w:cs="Arial"/>
                <w:bCs/>
              </w:rPr>
              <w:t>All loads</w:t>
            </w:r>
          </w:p>
        </w:tc>
        <w:tc>
          <w:tcPr>
            <w:tcW w:w="2802" w:type="dxa"/>
          </w:tcPr>
          <w:p w:rsidR="00A334BA" w:rsidRPr="00B53423" w:rsidRDefault="00A334BA" w:rsidP="0015232B">
            <w:pPr>
              <w:spacing w:after="120"/>
              <w:jc w:val="left"/>
              <w:rPr>
                <w:rFonts w:cs="Arial"/>
                <w:bCs/>
              </w:rPr>
            </w:pPr>
            <w:r w:rsidRPr="00B53423">
              <w:rPr>
                <w:rFonts w:cs="Arial"/>
                <w:bCs/>
              </w:rPr>
              <w:t>Upto 150 kWh / month</w:t>
            </w:r>
          </w:p>
        </w:tc>
        <w:tc>
          <w:tcPr>
            <w:tcW w:w="1980" w:type="dxa"/>
            <w:vMerge w:val="restart"/>
            <w:vAlign w:val="center"/>
          </w:tcPr>
          <w:p w:rsidR="00A334BA" w:rsidRPr="00B53423" w:rsidRDefault="00A334BA" w:rsidP="0015232B">
            <w:pPr>
              <w:spacing w:after="120"/>
              <w:jc w:val="center"/>
              <w:rPr>
                <w:rFonts w:cs="Arial"/>
                <w:bCs/>
              </w:rPr>
            </w:pPr>
            <w:r w:rsidRPr="00B53423">
              <w:rPr>
                <w:bCs/>
              </w:rPr>
              <w:t>Rs. 7</w:t>
            </w:r>
            <w:r w:rsidRPr="00B53423">
              <w:t xml:space="preserve">5.00 </w:t>
            </w:r>
            <w:r w:rsidRPr="00B53423">
              <w:rPr>
                <w:bCs/>
              </w:rPr>
              <w:t>/ kW / month</w:t>
            </w:r>
          </w:p>
        </w:tc>
        <w:tc>
          <w:tcPr>
            <w:tcW w:w="2160" w:type="dxa"/>
          </w:tcPr>
          <w:p w:rsidR="00A334BA" w:rsidRPr="00B53423" w:rsidRDefault="00A334BA" w:rsidP="0015232B">
            <w:pPr>
              <w:spacing w:after="120"/>
              <w:rPr>
                <w:rFonts w:cs="Arial"/>
                <w:bCs/>
              </w:rPr>
            </w:pPr>
            <w:r w:rsidRPr="00B53423">
              <w:rPr>
                <w:rFonts w:cs="Arial"/>
                <w:bCs/>
              </w:rPr>
              <w:t>Rs. 4.00 / kWh</w:t>
            </w:r>
          </w:p>
        </w:tc>
      </w:tr>
      <w:tr w:rsidR="00A334BA" w:rsidRPr="00B53423" w:rsidTr="00E93F0F">
        <w:tc>
          <w:tcPr>
            <w:tcW w:w="1428" w:type="dxa"/>
            <w:vMerge/>
            <w:vAlign w:val="center"/>
          </w:tcPr>
          <w:p w:rsidR="00A334BA" w:rsidRPr="00B53423" w:rsidRDefault="00A334BA" w:rsidP="0015232B">
            <w:pPr>
              <w:spacing w:after="120"/>
              <w:jc w:val="center"/>
              <w:rPr>
                <w:rFonts w:cs="Arial"/>
                <w:bCs/>
              </w:rPr>
            </w:pPr>
          </w:p>
        </w:tc>
        <w:tc>
          <w:tcPr>
            <w:tcW w:w="2802" w:type="dxa"/>
          </w:tcPr>
          <w:p w:rsidR="00A334BA" w:rsidRPr="00B53423" w:rsidRDefault="00A334BA" w:rsidP="0015232B">
            <w:pPr>
              <w:spacing w:after="120"/>
              <w:jc w:val="left"/>
              <w:rPr>
                <w:rFonts w:cs="Arial"/>
                <w:bCs/>
              </w:rPr>
            </w:pPr>
            <w:r w:rsidRPr="00B53423">
              <w:rPr>
                <w:rFonts w:cs="Arial"/>
                <w:bCs/>
              </w:rPr>
              <w:t>151 - 300 kWh / month</w:t>
            </w:r>
          </w:p>
        </w:tc>
        <w:tc>
          <w:tcPr>
            <w:tcW w:w="1980" w:type="dxa"/>
            <w:vMerge/>
            <w:vAlign w:val="center"/>
          </w:tcPr>
          <w:p w:rsidR="00A334BA" w:rsidRPr="00B53423" w:rsidRDefault="00A334BA" w:rsidP="0015232B">
            <w:pPr>
              <w:spacing w:after="120"/>
              <w:jc w:val="center"/>
              <w:rPr>
                <w:bCs/>
              </w:rPr>
            </w:pPr>
          </w:p>
        </w:tc>
        <w:tc>
          <w:tcPr>
            <w:tcW w:w="2160" w:type="dxa"/>
          </w:tcPr>
          <w:p w:rsidR="00A334BA" w:rsidRPr="00B53423" w:rsidRDefault="00A334BA" w:rsidP="0015232B">
            <w:pPr>
              <w:spacing w:after="120"/>
              <w:rPr>
                <w:rFonts w:cs="Arial"/>
                <w:bCs/>
              </w:rPr>
            </w:pPr>
            <w:r w:rsidRPr="00B53423">
              <w:rPr>
                <w:rFonts w:cs="Arial"/>
                <w:bCs/>
              </w:rPr>
              <w:t>Rs. 4.</w:t>
            </w:r>
            <w:r w:rsidRPr="00B53423">
              <w:t>50</w:t>
            </w:r>
            <w:r w:rsidRPr="00B53423" w:rsidDel="00665258">
              <w:rPr>
                <w:rFonts w:cs="Arial"/>
                <w:bCs/>
              </w:rPr>
              <w:t xml:space="preserve"> </w:t>
            </w:r>
            <w:r w:rsidRPr="00B53423">
              <w:rPr>
                <w:rFonts w:cs="Arial"/>
                <w:bCs/>
              </w:rPr>
              <w:t>/ kWh</w:t>
            </w:r>
          </w:p>
        </w:tc>
      </w:tr>
      <w:tr w:rsidR="00A334BA" w:rsidRPr="00B53423" w:rsidTr="00E93F0F">
        <w:trPr>
          <w:trHeight w:val="134"/>
        </w:trPr>
        <w:tc>
          <w:tcPr>
            <w:tcW w:w="1428" w:type="dxa"/>
            <w:vMerge/>
            <w:vAlign w:val="center"/>
          </w:tcPr>
          <w:p w:rsidR="00A334BA" w:rsidRPr="00B53423" w:rsidRDefault="00A334BA" w:rsidP="0015232B">
            <w:pPr>
              <w:spacing w:after="120"/>
              <w:jc w:val="center"/>
              <w:rPr>
                <w:rFonts w:cs="Arial"/>
                <w:bCs/>
              </w:rPr>
            </w:pPr>
          </w:p>
        </w:tc>
        <w:tc>
          <w:tcPr>
            <w:tcW w:w="2802" w:type="dxa"/>
            <w:vAlign w:val="center"/>
          </w:tcPr>
          <w:p w:rsidR="00A334BA" w:rsidRPr="00B53423" w:rsidRDefault="00A334BA" w:rsidP="0015232B">
            <w:pPr>
              <w:jc w:val="left"/>
              <w:rPr>
                <w:rFonts w:cs="Arial"/>
                <w:bCs/>
              </w:rPr>
            </w:pPr>
            <w:r w:rsidRPr="00B53423">
              <w:rPr>
                <w:rFonts w:cs="Arial"/>
                <w:bCs/>
              </w:rPr>
              <w:t>301 – 500 kWh / month</w:t>
            </w:r>
          </w:p>
        </w:tc>
        <w:tc>
          <w:tcPr>
            <w:tcW w:w="1980" w:type="dxa"/>
            <w:vMerge/>
          </w:tcPr>
          <w:p w:rsidR="00A334BA" w:rsidRPr="00B53423" w:rsidRDefault="00A334BA" w:rsidP="0015232B">
            <w:pPr>
              <w:spacing w:after="120"/>
              <w:rPr>
                <w:bCs/>
              </w:rPr>
            </w:pPr>
          </w:p>
        </w:tc>
        <w:tc>
          <w:tcPr>
            <w:tcW w:w="2160" w:type="dxa"/>
          </w:tcPr>
          <w:p w:rsidR="00A334BA" w:rsidRPr="00B53423" w:rsidRDefault="00A334BA" w:rsidP="0015232B">
            <w:pPr>
              <w:spacing w:after="120"/>
              <w:rPr>
                <w:rFonts w:cs="Arial"/>
                <w:bCs/>
              </w:rPr>
            </w:pPr>
            <w:r w:rsidRPr="00B53423">
              <w:rPr>
                <w:rFonts w:cs="Arial"/>
                <w:bCs/>
              </w:rPr>
              <w:t xml:space="preserve">Rs. </w:t>
            </w:r>
            <w:r w:rsidRPr="00B53423">
              <w:t>5.00</w:t>
            </w:r>
            <w:r w:rsidRPr="00B53423" w:rsidDel="00665258">
              <w:rPr>
                <w:rFonts w:cs="Arial"/>
                <w:bCs/>
              </w:rPr>
              <w:t xml:space="preserve"> </w:t>
            </w:r>
            <w:r w:rsidRPr="00B53423">
              <w:rPr>
                <w:rFonts w:cs="Arial"/>
                <w:bCs/>
              </w:rPr>
              <w:t>/ kWh</w:t>
            </w:r>
          </w:p>
        </w:tc>
      </w:tr>
      <w:tr w:rsidR="00A334BA" w:rsidRPr="00B53423" w:rsidTr="00E93F0F">
        <w:trPr>
          <w:trHeight w:val="134"/>
        </w:trPr>
        <w:tc>
          <w:tcPr>
            <w:tcW w:w="1428" w:type="dxa"/>
            <w:vMerge/>
            <w:vAlign w:val="center"/>
          </w:tcPr>
          <w:p w:rsidR="00A334BA" w:rsidRPr="00B53423" w:rsidRDefault="00A334BA" w:rsidP="0015232B">
            <w:pPr>
              <w:spacing w:after="120"/>
              <w:jc w:val="center"/>
              <w:rPr>
                <w:rFonts w:cs="Arial"/>
                <w:bCs/>
              </w:rPr>
            </w:pPr>
          </w:p>
        </w:tc>
        <w:tc>
          <w:tcPr>
            <w:tcW w:w="2802" w:type="dxa"/>
            <w:vAlign w:val="center"/>
          </w:tcPr>
          <w:p w:rsidR="00A334BA" w:rsidRPr="00B53423" w:rsidRDefault="00A334BA" w:rsidP="0015232B">
            <w:pPr>
              <w:jc w:val="left"/>
              <w:rPr>
                <w:rFonts w:cs="Arial"/>
                <w:bCs/>
              </w:rPr>
            </w:pPr>
            <w:r w:rsidRPr="00B53423">
              <w:rPr>
                <w:rFonts w:cs="Arial"/>
                <w:bCs/>
              </w:rPr>
              <w:t>Above 500 kWh / month</w:t>
            </w:r>
          </w:p>
          <w:p w:rsidR="00A334BA" w:rsidRPr="00B53423" w:rsidRDefault="00A334BA" w:rsidP="0015232B">
            <w:pPr>
              <w:jc w:val="left"/>
              <w:rPr>
                <w:rFonts w:cs="Arial"/>
                <w:bCs/>
              </w:rPr>
            </w:pPr>
            <w:r w:rsidRPr="00B53423">
              <w:rPr>
                <w:rFonts w:cs="Arial"/>
                <w:bCs/>
              </w:rPr>
              <w:t>(From 501</w:t>
            </w:r>
            <w:r w:rsidRPr="00B53423">
              <w:rPr>
                <w:rFonts w:cs="Arial"/>
                <w:bCs/>
                <w:vertAlign w:val="superscript"/>
              </w:rPr>
              <w:t>st</w:t>
            </w:r>
            <w:r w:rsidRPr="00B53423">
              <w:rPr>
                <w:rFonts w:cs="Arial"/>
                <w:bCs/>
              </w:rPr>
              <w:t xml:space="preserve"> unit onwards)</w:t>
            </w:r>
          </w:p>
        </w:tc>
        <w:tc>
          <w:tcPr>
            <w:tcW w:w="1980" w:type="dxa"/>
            <w:vMerge/>
          </w:tcPr>
          <w:p w:rsidR="00A334BA" w:rsidRPr="00B53423" w:rsidRDefault="00A334BA" w:rsidP="0015232B">
            <w:pPr>
              <w:spacing w:after="120"/>
              <w:rPr>
                <w:bCs/>
              </w:rPr>
            </w:pPr>
          </w:p>
        </w:tc>
        <w:tc>
          <w:tcPr>
            <w:tcW w:w="2160" w:type="dxa"/>
          </w:tcPr>
          <w:p w:rsidR="00A334BA" w:rsidRPr="00B53423" w:rsidRDefault="00A334BA" w:rsidP="0015232B">
            <w:pPr>
              <w:spacing w:after="120"/>
              <w:rPr>
                <w:rFonts w:cs="Arial"/>
                <w:bCs/>
              </w:rPr>
            </w:pPr>
            <w:r w:rsidRPr="00B53423">
              <w:rPr>
                <w:rFonts w:cs="Arial"/>
                <w:bCs/>
              </w:rPr>
              <w:t xml:space="preserve">Rs. </w:t>
            </w:r>
            <w:r w:rsidRPr="00B53423">
              <w:t>5.50</w:t>
            </w:r>
            <w:r w:rsidRPr="00B53423">
              <w:rPr>
                <w:rFonts w:cs="Arial"/>
                <w:bCs/>
              </w:rPr>
              <w:t xml:space="preserve"> / kWh</w:t>
            </w:r>
          </w:p>
        </w:tc>
      </w:tr>
    </w:tbl>
    <w:p w:rsidR="00D94698" w:rsidRPr="00B53423" w:rsidRDefault="00D94698" w:rsidP="0015232B">
      <w:pPr>
        <w:ind w:firstLine="450"/>
        <w:rPr>
          <w:rFonts w:cs="Arial"/>
          <w:b/>
          <w:bCs/>
        </w:rPr>
      </w:pPr>
    </w:p>
    <w:p w:rsidR="00D94698" w:rsidRPr="00B53423" w:rsidRDefault="00D94698" w:rsidP="0015232B">
      <w:pPr>
        <w:ind w:firstLine="450"/>
        <w:rPr>
          <w:rFonts w:cs="Arial"/>
          <w:b/>
          <w:bCs/>
        </w:rPr>
      </w:pPr>
      <w:r w:rsidRPr="00B53423">
        <w:rPr>
          <w:rFonts w:cs="Arial"/>
          <w:b/>
          <w:bCs/>
        </w:rPr>
        <w:t xml:space="preserve">Note: </w:t>
      </w:r>
    </w:p>
    <w:p w:rsidR="00D94698" w:rsidRPr="00B53423" w:rsidRDefault="00D94698" w:rsidP="0015232B">
      <w:pPr>
        <w:ind w:left="1080" w:hanging="360"/>
        <w:rPr>
          <w:rFonts w:cs="Arial"/>
          <w:bCs/>
        </w:rPr>
      </w:pPr>
      <w:r w:rsidRPr="00B53423">
        <w:rPr>
          <w:rFonts w:cs="Arial"/>
          <w:bCs/>
        </w:rPr>
        <w:t>1.</w:t>
      </w:r>
      <w:r w:rsidRPr="00B53423">
        <w:rPr>
          <w:rFonts w:cs="Arial"/>
          <w:bCs/>
        </w:rPr>
        <w:tab/>
        <w:t xml:space="preserve">For all consumers under this category the maximum demand during the month recorded by the meter has to be essentially indicated in their monthly bills. However, this condition would be mandatory only in case meter reading is done by the Licensee. Accordingly, if the bill is being prepared on the basis of reading being submitted by the consumer then the consumer would not be liable to furnish maximum demand during the month and his bill would not be held back for lack of data on maximum demand. </w:t>
      </w:r>
    </w:p>
    <w:p w:rsidR="00D94698" w:rsidRPr="00B53423" w:rsidRDefault="00D94698" w:rsidP="0015232B">
      <w:pPr>
        <w:ind w:left="1080" w:hanging="360"/>
        <w:rPr>
          <w:rFonts w:cs="Arial"/>
          <w:bCs/>
        </w:rPr>
        <w:sectPr w:rsidR="00D94698" w:rsidRPr="00B53423" w:rsidSect="00E93F0F">
          <w:headerReference w:type="default" r:id="rId30"/>
          <w:footerReference w:type="default" r:id="rId31"/>
          <w:pgSz w:w="11909" w:h="16834" w:code="9"/>
          <w:pgMar w:top="992" w:right="1440" w:bottom="1440" w:left="1729" w:header="1008" w:footer="1008" w:gutter="0"/>
          <w:cols w:space="720"/>
        </w:sectPr>
      </w:pPr>
    </w:p>
    <w:p w:rsidR="00D94698" w:rsidRPr="00B53423" w:rsidRDefault="00D94698" w:rsidP="0015232B">
      <w:pPr>
        <w:jc w:val="center"/>
        <w:rPr>
          <w:b/>
          <w:u w:val="single"/>
        </w:rPr>
      </w:pPr>
      <w:r w:rsidRPr="00B53423">
        <w:rPr>
          <w:b/>
          <w:u w:val="single"/>
        </w:rPr>
        <w:t>RATE SCHEDULE LMV– 2:</w:t>
      </w:r>
    </w:p>
    <w:p w:rsidR="00D94698" w:rsidRPr="00B53423" w:rsidRDefault="00D94698" w:rsidP="0015232B">
      <w:pPr>
        <w:jc w:val="center"/>
      </w:pPr>
    </w:p>
    <w:p w:rsidR="00D94698" w:rsidRPr="00B53423" w:rsidRDefault="00D94698" w:rsidP="0015232B">
      <w:pPr>
        <w:jc w:val="center"/>
        <w:rPr>
          <w:b/>
        </w:rPr>
      </w:pPr>
      <w:r w:rsidRPr="00B53423">
        <w:rPr>
          <w:b/>
        </w:rPr>
        <w:t>NON DOMESTIC LIGHT, FAN AND POWER:</w:t>
      </w:r>
    </w:p>
    <w:p w:rsidR="00D94698" w:rsidRPr="00B53423" w:rsidRDefault="00D94698" w:rsidP="0015232B">
      <w:pPr>
        <w:jc w:val="center"/>
        <w:rPr>
          <w:b/>
        </w:rPr>
      </w:pPr>
    </w:p>
    <w:p w:rsidR="00D94698" w:rsidRPr="00B53423" w:rsidRDefault="00D94698" w:rsidP="0015232B">
      <w:pPr>
        <w:rPr>
          <w:b/>
        </w:rPr>
      </w:pPr>
      <w:r w:rsidRPr="00B53423">
        <w:rPr>
          <w:b/>
        </w:rPr>
        <w:t>1.</w:t>
      </w:r>
      <w:r w:rsidRPr="00B53423">
        <w:rPr>
          <w:b/>
        </w:rPr>
        <w:tab/>
        <w:t>APPLICABILITY:</w:t>
      </w:r>
    </w:p>
    <w:p w:rsidR="00D94698" w:rsidRPr="00B53423" w:rsidRDefault="00D94698" w:rsidP="0015232B">
      <w:pPr>
        <w:ind w:left="720"/>
      </w:pPr>
      <w:r w:rsidRPr="00B53423">
        <w:t xml:space="preserve">This schedule shall apply to all consumers using electric energy for Light, Fan and Power loads for Non-Domestic purposes, like all type of Shops including </w:t>
      </w:r>
      <w:r w:rsidRPr="00B53423">
        <w:rPr>
          <w:rFonts w:cs="Arial"/>
        </w:rPr>
        <w:t>Patri Shopkeepers</w:t>
      </w:r>
      <w:r w:rsidRPr="00B53423">
        <w:t xml:space="preserve">, Hotels, Restaurants, Private Guest Houses, Private Transit Hostels, Private Students Hostels, Marriage Houses, Show-Rooms, Commercial / Trading Establishments, Cinema and Theatres, Banks, Cable T.V. Operators, Telephone Booths / PCO (STD / ISD), Fax Communication Centres, Photo Copiers, Cyber Café, Private Diagnostic Centres including X-Ray Plants, MRI Centres, CAT Scan Centres, Pathologies and Private Advertising / Sign Posts / Sign Boards, Commercial Institutions / Societies, Automobile Service Centres, Coaching Institutes, Private Museums, Power Looms with less than 5 kW load and for all companies registered under the Companies Act, 1956 with loads less than 75 kW. </w:t>
      </w:r>
    </w:p>
    <w:p w:rsidR="00D94698" w:rsidRPr="00B53423" w:rsidRDefault="00D94698" w:rsidP="0015232B">
      <w:pPr>
        <w:ind w:left="720"/>
      </w:pPr>
    </w:p>
    <w:p w:rsidR="00D94698" w:rsidRPr="00B53423" w:rsidRDefault="00D94698" w:rsidP="0015232B">
      <w:pPr>
        <w:ind w:left="720" w:hanging="720"/>
        <w:rPr>
          <w:b/>
        </w:rPr>
      </w:pPr>
      <w:r w:rsidRPr="00B53423">
        <w:rPr>
          <w:b/>
        </w:rPr>
        <w:t>2</w:t>
      </w:r>
      <w:r w:rsidRPr="00B53423">
        <w:t>.</w:t>
      </w:r>
      <w:r w:rsidRPr="00B53423">
        <w:tab/>
      </w:r>
      <w:r w:rsidRPr="00B53423">
        <w:rPr>
          <w:b/>
        </w:rPr>
        <w:t>Character and Point of Supply:</w:t>
      </w:r>
    </w:p>
    <w:p w:rsidR="00D94698" w:rsidRPr="00B53423" w:rsidRDefault="00D94698" w:rsidP="0015232B">
      <w:pPr>
        <w:spacing w:line="240" w:lineRule="auto"/>
        <w:ind w:left="360" w:right="-58" w:firstLine="360"/>
        <w:rPr>
          <w:rFonts w:cs="Arial"/>
        </w:rPr>
      </w:pPr>
      <w:proofErr w:type="gramStart"/>
      <w:r w:rsidRPr="00B53423">
        <w:t>As per the applicable provisions of Electricity Supply Code.</w:t>
      </w:r>
      <w:proofErr w:type="gramEnd"/>
    </w:p>
    <w:p w:rsidR="00D94698" w:rsidRPr="00B53423" w:rsidRDefault="00D94698" w:rsidP="0015232B"/>
    <w:p w:rsidR="00D94698" w:rsidRPr="00B53423" w:rsidRDefault="00D94698" w:rsidP="0015232B">
      <w:pPr>
        <w:rPr>
          <w:b/>
        </w:rPr>
      </w:pPr>
      <w:r w:rsidRPr="00B53423">
        <w:rPr>
          <w:b/>
        </w:rPr>
        <w:t xml:space="preserve">3. </w:t>
      </w:r>
      <w:r w:rsidRPr="00B53423">
        <w:rPr>
          <w:b/>
        </w:rPr>
        <w:tab/>
        <w:t>RATE:</w:t>
      </w:r>
    </w:p>
    <w:p w:rsidR="00D94698" w:rsidRPr="00B53423" w:rsidRDefault="00D94698" w:rsidP="0015232B">
      <w:pPr>
        <w:spacing w:before="100" w:beforeAutospacing="1" w:after="240"/>
        <w:ind w:left="720"/>
      </w:pPr>
      <w:r w:rsidRPr="00B53423">
        <w:t xml:space="preserve">Rate, gives the fixed and energy charges at which the consumer shall be billed for his consumption during the billing period applicable to the category: </w:t>
      </w:r>
    </w:p>
    <w:p w:rsidR="00D94698" w:rsidRPr="00B53423" w:rsidRDefault="00D94698" w:rsidP="0015232B">
      <w:pPr>
        <w:spacing w:before="100" w:beforeAutospacing="1" w:after="240"/>
        <w:ind w:left="851" w:hanging="567"/>
        <w:rPr>
          <w:rFonts w:cs="Arial"/>
          <w:b/>
          <w:bCs/>
        </w:rPr>
      </w:pPr>
      <w:r w:rsidRPr="00B53423">
        <w:rPr>
          <w:rFonts w:cs="Arial"/>
          <w:b/>
          <w:bCs/>
        </w:rPr>
        <w:t xml:space="preserve">  (a) Consumers getting supply as per ‘Rural Schedule’ (other than Tehsil </w:t>
      </w:r>
      <w:proofErr w:type="gramStart"/>
      <w:r w:rsidRPr="00B53423">
        <w:rPr>
          <w:rFonts w:cs="Arial"/>
          <w:b/>
          <w:bCs/>
        </w:rPr>
        <w:t>Head  Quarters</w:t>
      </w:r>
      <w:proofErr w:type="gramEnd"/>
      <w:r w:rsidRPr="00B53423">
        <w:rPr>
          <w:rFonts w:cs="Arial"/>
          <w:b/>
          <w:bCs/>
        </w:rPr>
        <w:t>, Nagar Palikas and Nagar Panchayat Areas):</w:t>
      </w:r>
    </w:p>
    <w:tbl>
      <w:tblPr>
        <w:tblW w:w="7786" w:type="dxa"/>
        <w:jc w:val="center"/>
        <w:tblInd w:w="480" w:type="dxa"/>
        <w:tblLayout w:type="fixed"/>
        <w:tblCellMar>
          <w:left w:w="30" w:type="dxa"/>
          <w:right w:w="30" w:type="dxa"/>
        </w:tblCellMar>
        <w:tblLook w:val="0000"/>
      </w:tblPr>
      <w:tblGrid>
        <w:gridCol w:w="1664"/>
        <w:gridCol w:w="1851"/>
        <w:gridCol w:w="1841"/>
        <w:gridCol w:w="2430"/>
      </w:tblGrid>
      <w:tr w:rsidR="00D94698" w:rsidRPr="00B53423" w:rsidTr="00E93F0F">
        <w:trPr>
          <w:cantSplit/>
          <w:trHeight w:val="282"/>
          <w:tblHeader/>
          <w:jc w:val="center"/>
        </w:trPr>
        <w:tc>
          <w:tcPr>
            <w:tcW w:w="1664" w:type="dxa"/>
            <w:tcBorders>
              <w:top w:val="single" w:sz="6" w:space="0" w:color="auto"/>
              <w:left w:val="single" w:sz="6" w:space="0" w:color="auto"/>
              <w:bottom w:val="single" w:sz="4" w:space="0" w:color="auto"/>
            </w:tcBorders>
            <w:shd w:val="pct12" w:color="auto" w:fill="auto"/>
          </w:tcPr>
          <w:p w:rsidR="00D94698" w:rsidRPr="00B53423" w:rsidRDefault="00D94698" w:rsidP="0015232B">
            <w:pPr>
              <w:jc w:val="center"/>
              <w:rPr>
                <w:rFonts w:cs="Arial"/>
                <w:b/>
                <w:color w:val="000000"/>
              </w:rPr>
            </w:pPr>
            <w:r w:rsidRPr="00B53423">
              <w:rPr>
                <w:rFonts w:cs="Arial"/>
                <w:b/>
                <w:color w:val="000000"/>
              </w:rPr>
              <w:t>Description</w:t>
            </w:r>
          </w:p>
        </w:tc>
        <w:tc>
          <w:tcPr>
            <w:tcW w:w="1851" w:type="dxa"/>
            <w:tcBorders>
              <w:top w:val="single" w:sz="4" w:space="0" w:color="auto"/>
              <w:left w:val="single" w:sz="4" w:space="0" w:color="auto"/>
              <w:bottom w:val="single" w:sz="4" w:space="0" w:color="auto"/>
            </w:tcBorders>
            <w:shd w:val="pct12" w:color="auto" w:fill="auto"/>
          </w:tcPr>
          <w:p w:rsidR="00D94698" w:rsidRPr="00B53423" w:rsidRDefault="00D94698" w:rsidP="0015232B">
            <w:pPr>
              <w:jc w:val="center"/>
              <w:rPr>
                <w:rFonts w:cs="Arial"/>
                <w:b/>
                <w:color w:val="000000"/>
              </w:rPr>
            </w:pPr>
            <w:r w:rsidRPr="00B53423">
              <w:rPr>
                <w:rFonts w:cs="Arial"/>
                <w:b/>
                <w:color w:val="000000"/>
              </w:rPr>
              <w:t>Description</w:t>
            </w:r>
          </w:p>
        </w:tc>
        <w:tc>
          <w:tcPr>
            <w:tcW w:w="1841" w:type="dxa"/>
            <w:tcBorders>
              <w:top w:val="single" w:sz="4" w:space="0" w:color="auto"/>
              <w:left w:val="single" w:sz="4" w:space="0" w:color="auto"/>
              <w:bottom w:val="single" w:sz="4" w:space="0" w:color="auto"/>
              <w:right w:val="single" w:sz="4" w:space="0" w:color="auto"/>
            </w:tcBorders>
            <w:shd w:val="pct12" w:color="auto" w:fill="auto"/>
          </w:tcPr>
          <w:p w:rsidR="00D94698" w:rsidRPr="00B53423" w:rsidRDefault="00D94698" w:rsidP="0015232B">
            <w:pPr>
              <w:jc w:val="center"/>
              <w:rPr>
                <w:rFonts w:cs="Arial"/>
                <w:b/>
                <w:color w:val="000000"/>
              </w:rPr>
            </w:pPr>
            <w:r w:rsidRPr="00B53423">
              <w:rPr>
                <w:rFonts w:cs="Arial"/>
                <w:b/>
                <w:color w:val="000000"/>
              </w:rPr>
              <w:t>Fixed charge</w:t>
            </w:r>
          </w:p>
        </w:tc>
        <w:tc>
          <w:tcPr>
            <w:tcW w:w="2430" w:type="dxa"/>
            <w:tcBorders>
              <w:top w:val="single" w:sz="4" w:space="0" w:color="auto"/>
              <w:left w:val="single" w:sz="4" w:space="0" w:color="auto"/>
              <w:bottom w:val="single" w:sz="4" w:space="0" w:color="auto"/>
              <w:right w:val="single" w:sz="4" w:space="0" w:color="auto"/>
            </w:tcBorders>
            <w:shd w:val="pct12" w:color="auto" w:fill="auto"/>
          </w:tcPr>
          <w:p w:rsidR="00D94698" w:rsidRPr="00B53423" w:rsidRDefault="00D94698" w:rsidP="0015232B">
            <w:pPr>
              <w:jc w:val="center"/>
              <w:rPr>
                <w:rFonts w:cs="Arial"/>
                <w:b/>
                <w:color w:val="000000"/>
              </w:rPr>
            </w:pPr>
            <w:r w:rsidRPr="00B53423">
              <w:rPr>
                <w:rFonts w:cs="Arial"/>
                <w:b/>
                <w:color w:val="000000"/>
              </w:rPr>
              <w:t>Energy charge)</w:t>
            </w:r>
          </w:p>
        </w:tc>
      </w:tr>
      <w:tr w:rsidR="00D94698" w:rsidRPr="00B53423" w:rsidTr="00E93F0F">
        <w:trPr>
          <w:cantSplit/>
          <w:trHeight w:val="257"/>
          <w:jc w:val="center"/>
        </w:trPr>
        <w:tc>
          <w:tcPr>
            <w:tcW w:w="1664" w:type="dxa"/>
            <w:vMerge w:val="restart"/>
            <w:tcBorders>
              <w:top w:val="single" w:sz="4" w:space="0" w:color="auto"/>
              <w:left w:val="single" w:sz="6" w:space="0" w:color="auto"/>
            </w:tcBorders>
            <w:vAlign w:val="center"/>
          </w:tcPr>
          <w:p w:rsidR="00D94698" w:rsidRPr="00B53423" w:rsidRDefault="00D94698" w:rsidP="0015232B">
            <w:pPr>
              <w:jc w:val="left"/>
              <w:rPr>
                <w:rFonts w:cs="Arial"/>
                <w:bCs/>
                <w:color w:val="000000"/>
              </w:rPr>
            </w:pPr>
            <w:r w:rsidRPr="00B53423">
              <w:rPr>
                <w:rFonts w:cs="Arial"/>
                <w:bCs/>
                <w:color w:val="000000"/>
              </w:rPr>
              <w:t xml:space="preserve">i) Un-metered  </w:t>
            </w:r>
          </w:p>
        </w:tc>
        <w:tc>
          <w:tcPr>
            <w:tcW w:w="1851" w:type="dxa"/>
            <w:tcBorders>
              <w:top w:val="single" w:sz="4" w:space="0" w:color="auto"/>
              <w:left w:val="single" w:sz="4" w:space="0" w:color="auto"/>
              <w:bottom w:val="single" w:sz="4" w:space="0" w:color="auto"/>
            </w:tcBorders>
          </w:tcPr>
          <w:p w:rsidR="00D94698" w:rsidRPr="00B53423" w:rsidRDefault="00D94698" w:rsidP="0015232B">
            <w:pPr>
              <w:jc w:val="center"/>
              <w:rPr>
                <w:rFonts w:cs="Arial"/>
                <w:color w:val="000000"/>
              </w:rPr>
            </w:pPr>
            <w:r w:rsidRPr="00B53423">
              <w:rPr>
                <w:rFonts w:cs="Arial"/>
                <w:color w:val="000000"/>
              </w:rPr>
              <w:t>Load up to 2 kW</w:t>
            </w:r>
          </w:p>
        </w:tc>
        <w:tc>
          <w:tcPr>
            <w:tcW w:w="1841" w:type="dxa"/>
            <w:tcBorders>
              <w:top w:val="single" w:sz="4" w:space="0" w:color="auto"/>
              <w:left w:val="single" w:sz="4" w:space="0" w:color="auto"/>
              <w:bottom w:val="single" w:sz="4" w:space="0" w:color="auto"/>
              <w:right w:val="single" w:sz="4" w:space="0" w:color="auto"/>
            </w:tcBorders>
          </w:tcPr>
          <w:p w:rsidR="00D94698" w:rsidRPr="00B53423" w:rsidRDefault="00D94698" w:rsidP="0015232B">
            <w:pPr>
              <w:jc w:val="center"/>
              <w:rPr>
                <w:rFonts w:cs="Arial"/>
                <w:color w:val="000000"/>
              </w:rPr>
            </w:pPr>
            <w:r w:rsidRPr="00B53423">
              <w:rPr>
                <w:rFonts w:cs="Arial"/>
                <w:color w:val="000000"/>
              </w:rPr>
              <w:t>Rs. 3</w:t>
            </w:r>
            <w:r w:rsidRPr="00B53423">
              <w:t>50</w:t>
            </w:r>
            <w:r w:rsidRPr="00B53423">
              <w:rPr>
                <w:rFonts w:cs="Arial"/>
                <w:color w:val="000000"/>
              </w:rPr>
              <w:t xml:space="preserve"> / kW / month</w:t>
            </w:r>
          </w:p>
        </w:tc>
        <w:tc>
          <w:tcPr>
            <w:tcW w:w="2430" w:type="dxa"/>
            <w:tcBorders>
              <w:top w:val="single" w:sz="4" w:space="0" w:color="auto"/>
              <w:left w:val="single" w:sz="4" w:space="0" w:color="auto"/>
              <w:bottom w:val="single" w:sz="4" w:space="0" w:color="auto"/>
              <w:right w:val="single" w:sz="4" w:space="0" w:color="auto"/>
            </w:tcBorders>
          </w:tcPr>
          <w:p w:rsidR="00D94698" w:rsidRPr="00B53423" w:rsidRDefault="00D94698" w:rsidP="0015232B">
            <w:pPr>
              <w:jc w:val="center"/>
              <w:rPr>
                <w:rFonts w:cs="Arial"/>
                <w:color w:val="000000"/>
              </w:rPr>
            </w:pPr>
            <w:r w:rsidRPr="00B53423">
              <w:rPr>
                <w:rFonts w:cs="Arial"/>
                <w:color w:val="000000"/>
              </w:rPr>
              <w:t>Nil</w:t>
            </w:r>
          </w:p>
        </w:tc>
      </w:tr>
      <w:tr w:rsidR="00D94698" w:rsidRPr="00B53423" w:rsidTr="00E93F0F">
        <w:trPr>
          <w:cantSplit/>
          <w:trHeight w:val="257"/>
          <w:jc w:val="center"/>
        </w:trPr>
        <w:tc>
          <w:tcPr>
            <w:tcW w:w="1664" w:type="dxa"/>
            <w:vMerge/>
            <w:tcBorders>
              <w:left w:val="single" w:sz="6" w:space="0" w:color="auto"/>
              <w:bottom w:val="single" w:sz="6" w:space="0" w:color="auto"/>
            </w:tcBorders>
          </w:tcPr>
          <w:p w:rsidR="00D94698" w:rsidRPr="00B53423" w:rsidRDefault="00D94698" w:rsidP="0015232B">
            <w:pPr>
              <w:rPr>
                <w:rFonts w:cs="Arial"/>
                <w:bCs/>
                <w:color w:val="000000"/>
              </w:rPr>
            </w:pPr>
          </w:p>
        </w:tc>
        <w:tc>
          <w:tcPr>
            <w:tcW w:w="1851" w:type="dxa"/>
            <w:tcBorders>
              <w:top w:val="single" w:sz="4" w:space="0" w:color="auto"/>
              <w:left w:val="single" w:sz="4" w:space="0" w:color="auto"/>
              <w:bottom w:val="single" w:sz="4" w:space="0" w:color="auto"/>
            </w:tcBorders>
          </w:tcPr>
          <w:p w:rsidR="00D94698" w:rsidRPr="00B53423" w:rsidRDefault="00D94698" w:rsidP="0015232B">
            <w:pPr>
              <w:jc w:val="center"/>
              <w:rPr>
                <w:rFonts w:cs="Arial"/>
                <w:color w:val="000000"/>
              </w:rPr>
            </w:pPr>
            <w:r w:rsidRPr="00B53423">
              <w:rPr>
                <w:rFonts w:cs="Arial"/>
                <w:color w:val="000000"/>
              </w:rPr>
              <w:t>Load above 2 kW</w:t>
            </w:r>
          </w:p>
        </w:tc>
        <w:tc>
          <w:tcPr>
            <w:tcW w:w="1841" w:type="dxa"/>
            <w:tcBorders>
              <w:top w:val="single" w:sz="4" w:space="0" w:color="auto"/>
              <w:left w:val="single" w:sz="4" w:space="0" w:color="auto"/>
              <w:bottom w:val="single" w:sz="4" w:space="0" w:color="auto"/>
              <w:right w:val="single" w:sz="4" w:space="0" w:color="auto"/>
            </w:tcBorders>
          </w:tcPr>
          <w:p w:rsidR="00D94698" w:rsidRPr="00B53423" w:rsidRDefault="00D94698" w:rsidP="0015232B">
            <w:pPr>
              <w:jc w:val="center"/>
              <w:rPr>
                <w:rFonts w:cs="Arial"/>
                <w:color w:val="000000"/>
              </w:rPr>
            </w:pPr>
            <w:r w:rsidRPr="00B53423">
              <w:rPr>
                <w:rFonts w:cs="Arial"/>
                <w:color w:val="000000"/>
              </w:rPr>
              <w:t>Rs. 400 / kW / month</w:t>
            </w:r>
          </w:p>
        </w:tc>
        <w:tc>
          <w:tcPr>
            <w:tcW w:w="2430" w:type="dxa"/>
            <w:tcBorders>
              <w:top w:val="single" w:sz="4" w:space="0" w:color="auto"/>
              <w:left w:val="single" w:sz="4" w:space="0" w:color="auto"/>
              <w:bottom w:val="single" w:sz="4" w:space="0" w:color="auto"/>
              <w:right w:val="single" w:sz="4" w:space="0" w:color="auto"/>
            </w:tcBorders>
          </w:tcPr>
          <w:p w:rsidR="00D94698" w:rsidRPr="00B53423" w:rsidRDefault="00D94698" w:rsidP="0015232B">
            <w:pPr>
              <w:jc w:val="center"/>
              <w:rPr>
                <w:rFonts w:cs="Arial"/>
                <w:color w:val="000000"/>
              </w:rPr>
            </w:pPr>
            <w:r w:rsidRPr="00B53423">
              <w:rPr>
                <w:rFonts w:cs="Arial"/>
                <w:color w:val="000000"/>
              </w:rPr>
              <w:t>Nil</w:t>
            </w:r>
          </w:p>
        </w:tc>
      </w:tr>
      <w:tr w:rsidR="00D94698" w:rsidRPr="00B53423" w:rsidTr="00E93F0F">
        <w:trPr>
          <w:cantSplit/>
          <w:trHeight w:val="275"/>
          <w:jc w:val="center"/>
        </w:trPr>
        <w:tc>
          <w:tcPr>
            <w:tcW w:w="1664" w:type="dxa"/>
            <w:tcBorders>
              <w:top w:val="single" w:sz="6" w:space="0" w:color="auto"/>
              <w:left w:val="single" w:sz="6" w:space="0" w:color="auto"/>
              <w:bottom w:val="single" w:sz="6" w:space="0" w:color="auto"/>
            </w:tcBorders>
          </w:tcPr>
          <w:p w:rsidR="00D94698" w:rsidRPr="00B53423" w:rsidRDefault="00D94698" w:rsidP="0015232B">
            <w:pPr>
              <w:rPr>
                <w:rFonts w:cs="Arial"/>
                <w:bCs/>
                <w:color w:val="000000"/>
              </w:rPr>
            </w:pPr>
            <w:r w:rsidRPr="00B53423">
              <w:rPr>
                <w:rFonts w:cs="Arial"/>
                <w:bCs/>
              </w:rPr>
              <w:t xml:space="preserve"> ii) Metered </w:t>
            </w:r>
          </w:p>
        </w:tc>
        <w:tc>
          <w:tcPr>
            <w:tcW w:w="1851" w:type="dxa"/>
            <w:tcBorders>
              <w:top w:val="single" w:sz="4" w:space="0" w:color="auto"/>
              <w:left w:val="single" w:sz="4" w:space="0" w:color="auto"/>
              <w:bottom w:val="single" w:sz="4" w:space="0" w:color="auto"/>
            </w:tcBorders>
          </w:tcPr>
          <w:p w:rsidR="00D94698" w:rsidRPr="00B53423" w:rsidRDefault="00D94698" w:rsidP="0015232B">
            <w:pPr>
              <w:jc w:val="center"/>
              <w:rPr>
                <w:color w:val="000000"/>
              </w:rPr>
            </w:pPr>
            <w:r w:rsidRPr="00B53423">
              <w:rPr>
                <w:color w:val="000000"/>
              </w:rPr>
              <w:t>All Load</w:t>
            </w:r>
          </w:p>
        </w:tc>
        <w:tc>
          <w:tcPr>
            <w:tcW w:w="1841" w:type="dxa"/>
            <w:tcBorders>
              <w:top w:val="single" w:sz="4" w:space="0" w:color="auto"/>
              <w:left w:val="single" w:sz="4" w:space="0" w:color="auto"/>
              <w:bottom w:val="single" w:sz="4" w:space="0" w:color="auto"/>
              <w:right w:val="single" w:sz="4" w:space="0" w:color="auto"/>
            </w:tcBorders>
          </w:tcPr>
          <w:p w:rsidR="00D94698" w:rsidRPr="00B53423" w:rsidRDefault="00D94698" w:rsidP="0015232B">
            <w:pPr>
              <w:jc w:val="center"/>
              <w:rPr>
                <w:rFonts w:cs="Arial"/>
                <w:color w:val="000000"/>
              </w:rPr>
            </w:pPr>
            <w:r w:rsidRPr="00B53423">
              <w:rPr>
                <w:color w:val="000000"/>
              </w:rPr>
              <w:t>Rs. 6</w:t>
            </w:r>
            <w:r w:rsidRPr="00B53423">
              <w:t xml:space="preserve">5 </w:t>
            </w:r>
            <w:r w:rsidRPr="00B53423">
              <w:rPr>
                <w:color w:val="000000"/>
              </w:rPr>
              <w:t>/ kW / month</w:t>
            </w:r>
          </w:p>
        </w:tc>
        <w:tc>
          <w:tcPr>
            <w:tcW w:w="2430" w:type="dxa"/>
            <w:tcBorders>
              <w:top w:val="single" w:sz="4" w:space="0" w:color="auto"/>
              <w:left w:val="single" w:sz="4" w:space="0" w:color="auto"/>
              <w:bottom w:val="single" w:sz="4" w:space="0" w:color="auto"/>
              <w:right w:val="single" w:sz="4" w:space="0" w:color="auto"/>
            </w:tcBorders>
          </w:tcPr>
          <w:p w:rsidR="00D94698" w:rsidRPr="00B53423" w:rsidRDefault="00D94698" w:rsidP="0015232B">
            <w:pPr>
              <w:jc w:val="center"/>
              <w:rPr>
                <w:rFonts w:cs="Arial"/>
                <w:color w:val="000000"/>
              </w:rPr>
            </w:pPr>
            <w:r w:rsidRPr="00B53423">
              <w:rPr>
                <w:rFonts w:cs="Arial"/>
                <w:color w:val="000000"/>
              </w:rPr>
              <w:t>Rs. 2.</w:t>
            </w:r>
            <w:r w:rsidRPr="00B53423">
              <w:t>75</w:t>
            </w:r>
            <w:r w:rsidRPr="00B53423">
              <w:rPr>
                <w:rFonts w:cs="Arial"/>
                <w:color w:val="000000"/>
              </w:rPr>
              <w:t xml:space="preserve"> / kWh</w:t>
            </w:r>
          </w:p>
        </w:tc>
      </w:tr>
    </w:tbl>
    <w:p w:rsidR="00D94698" w:rsidRPr="00B53423" w:rsidRDefault="00D94698" w:rsidP="0015232B">
      <w:pPr>
        <w:spacing w:after="200"/>
        <w:jc w:val="left"/>
        <w:rPr>
          <w:b/>
        </w:rPr>
      </w:pPr>
    </w:p>
    <w:p w:rsidR="00D94698" w:rsidRPr="00B53423" w:rsidRDefault="00D94698" w:rsidP="000174C0">
      <w:pPr>
        <w:numPr>
          <w:ilvl w:val="0"/>
          <w:numId w:val="99"/>
        </w:numPr>
        <w:spacing w:before="0" w:line="288" w:lineRule="auto"/>
        <w:rPr>
          <w:rFonts w:cs="Arial"/>
          <w:b/>
        </w:rPr>
      </w:pPr>
      <w:r w:rsidRPr="00B53423">
        <w:rPr>
          <w:b/>
        </w:rPr>
        <w:t>Private Advertising / Sign Posts / Sign Boards / Glow Signs / Flex:</w:t>
      </w:r>
    </w:p>
    <w:p w:rsidR="00D94698" w:rsidRPr="00B53423" w:rsidRDefault="00D94698" w:rsidP="0015232B">
      <w:pPr>
        <w:ind w:left="900"/>
      </w:pPr>
      <w:r w:rsidRPr="00B53423">
        <w:t>For all commercial (road side / roof tops of buildings) advertisement hoardings such as Private Advertising / Sign Posts / Sign Boards / Glow Signs / Flex, the rate of charge shall be as below:</w:t>
      </w:r>
    </w:p>
    <w:tbl>
      <w:tblPr>
        <w:tblpPr w:leftFromText="180" w:rightFromText="180" w:vertAnchor="text" w:horzAnchor="margin" w:tblpXSpec="center" w:tblpY="174"/>
        <w:tblW w:w="793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845"/>
        <w:gridCol w:w="2043"/>
        <w:gridCol w:w="1818"/>
        <w:gridCol w:w="2232"/>
      </w:tblGrid>
      <w:tr w:rsidR="00D94698" w:rsidRPr="00B53423" w:rsidTr="00E93F0F">
        <w:trPr>
          <w:cantSplit/>
          <w:trHeight w:val="246"/>
        </w:trPr>
        <w:tc>
          <w:tcPr>
            <w:tcW w:w="1845" w:type="dxa"/>
            <w:shd w:val="pct12" w:color="auto" w:fill="auto"/>
          </w:tcPr>
          <w:p w:rsidR="00D94698" w:rsidRPr="00B53423" w:rsidRDefault="00D94698" w:rsidP="0015232B">
            <w:pPr>
              <w:ind w:left="360" w:right="-45"/>
              <w:jc w:val="center"/>
              <w:rPr>
                <w:rFonts w:cs="Arial"/>
                <w:b/>
              </w:rPr>
            </w:pPr>
            <w:r w:rsidRPr="00B53423">
              <w:br w:type="page"/>
            </w:r>
            <w:r w:rsidRPr="00B53423">
              <w:rPr>
                <w:rFonts w:cs="Arial"/>
                <w:b/>
              </w:rPr>
              <w:t>Description</w:t>
            </w:r>
          </w:p>
        </w:tc>
        <w:tc>
          <w:tcPr>
            <w:tcW w:w="2043" w:type="dxa"/>
            <w:tcBorders>
              <w:top w:val="single" w:sz="4" w:space="0" w:color="auto"/>
              <w:right w:val="single" w:sz="4" w:space="0" w:color="auto"/>
            </w:tcBorders>
            <w:shd w:val="pct12" w:color="auto" w:fill="auto"/>
          </w:tcPr>
          <w:p w:rsidR="00D94698" w:rsidRPr="00B53423" w:rsidRDefault="00D94698" w:rsidP="0015232B">
            <w:pPr>
              <w:ind w:right="-122"/>
              <w:jc w:val="center"/>
              <w:rPr>
                <w:rFonts w:cs="Arial"/>
                <w:b/>
              </w:rPr>
            </w:pPr>
            <w:r w:rsidRPr="00B53423">
              <w:rPr>
                <w:rFonts w:cs="Arial"/>
                <w:b/>
              </w:rPr>
              <w:t>Fixed Charge</w:t>
            </w:r>
          </w:p>
        </w:tc>
        <w:tc>
          <w:tcPr>
            <w:tcW w:w="1818" w:type="dxa"/>
            <w:tcBorders>
              <w:top w:val="single" w:sz="4" w:space="0" w:color="auto"/>
              <w:right w:val="single" w:sz="4" w:space="0" w:color="auto"/>
            </w:tcBorders>
            <w:shd w:val="pct12" w:color="auto" w:fill="auto"/>
          </w:tcPr>
          <w:p w:rsidR="00D94698" w:rsidRPr="00B53423" w:rsidRDefault="00D94698" w:rsidP="0015232B">
            <w:pPr>
              <w:ind w:right="-122"/>
              <w:jc w:val="center"/>
              <w:rPr>
                <w:rFonts w:cs="Arial"/>
                <w:b/>
              </w:rPr>
            </w:pPr>
            <w:r w:rsidRPr="00B53423">
              <w:rPr>
                <w:rFonts w:cs="Arial"/>
                <w:b/>
              </w:rPr>
              <w:t>Energy Charge</w:t>
            </w:r>
          </w:p>
        </w:tc>
        <w:tc>
          <w:tcPr>
            <w:tcW w:w="2232" w:type="dxa"/>
            <w:tcBorders>
              <w:top w:val="single" w:sz="4" w:space="0" w:color="auto"/>
              <w:left w:val="single" w:sz="4" w:space="0" w:color="auto"/>
            </w:tcBorders>
            <w:shd w:val="pct12" w:color="auto" w:fill="auto"/>
          </w:tcPr>
          <w:p w:rsidR="00D94698" w:rsidRPr="00B53423" w:rsidRDefault="00D94698" w:rsidP="0015232B">
            <w:pPr>
              <w:ind w:right="-122"/>
              <w:jc w:val="center"/>
              <w:rPr>
                <w:rFonts w:cs="Arial"/>
                <w:b/>
              </w:rPr>
            </w:pPr>
            <w:r w:rsidRPr="00B53423">
              <w:rPr>
                <w:rFonts w:cs="Arial"/>
                <w:b/>
              </w:rPr>
              <w:t>Minimum Charge</w:t>
            </w:r>
          </w:p>
        </w:tc>
      </w:tr>
      <w:tr w:rsidR="00D94698" w:rsidRPr="00B53423" w:rsidTr="00E93F0F">
        <w:tc>
          <w:tcPr>
            <w:tcW w:w="1845" w:type="dxa"/>
          </w:tcPr>
          <w:p w:rsidR="00D94698" w:rsidRPr="00B53423" w:rsidRDefault="00D94698" w:rsidP="0015232B">
            <w:pPr>
              <w:ind w:left="342" w:right="-4"/>
              <w:rPr>
                <w:rFonts w:cs="Arial"/>
              </w:rPr>
            </w:pPr>
            <w:r w:rsidRPr="00B53423">
              <w:rPr>
                <w:rFonts w:cs="Arial"/>
              </w:rPr>
              <w:t>Metered</w:t>
            </w:r>
          </w:p>
        </w:tc>
        <w:tc>
          <w:tcPr>
            <w:tcW w:w="2043" w:type="dxa"/>
          </w:tcPr>
          <w:p w:rsidR="00D94698" w:rsidRPr="00B53423" w:rsidRDefault="00D94698" w:rsidP="0015232B">
            <w:pPr>
              <w:ind w:right="-108"/>
              <w:jc w:val="center"/>
              <w:rPr>
                <w:rFonts w:cs="Arial"/>
              </w:rPr>
            </w:pPr>
            <w:r w:rsidRPr="00B53423">
              <w:rPr>
                <w:rFonts w:cs="Arial"/>
              </w:rPr>
              <w:t>-</w:t>
            </w:r>
          </w:p>
        </w:tc>
        <w:tc>
          <w:tcPr>
            <w:tcW w:w="1818" w:type="dxa"/>
          </w:tcPr>
          <w:p w:rsidR="00D94698" w:rsidRPr="00B53423" w:rsidRDefault="00D94698" w:rsidP="0015232B">
            <w:pPr>
              <w:ind w:right="-18"/>
              <w:jc w:val="center"/>
              <w:rPr>
                <w:rFonts w:cs="Arial"/>
              </w:rPr>
            </w:pPr>
            <w:r w:rsidRPr="00B53423">
              <w:rPr>
                <w:rFonts w:cs="Arial"/>
              </w:rPr>
              <w:t>Rs. 14.00 / kWh</w:t>
            </w:r>
          </w:p>
        </w:tc>
        <w:tc>
          <w:tcPr>
            <w:tcW w:w="2232" w:type="dxa"/>
          </w:tcPr>
          <w:p w:rsidR="00D94698" w:rsidRPr="00B53423" w:rsidRDefault="00D94698" w:rsidP="0015232B">
            <w:pPr>
              <w:ind w:right="-18"/>
              <w:jc w:val="center"/>
              <w:rPr>
                <w:rFonts w:cs="Arial"/>
              </w:rPr>
            </w:pPr>
            <w:r w:rsidRPr="00B53423">
              <w:rPr>
                <w:rFonts w:cs="Arial"/>
              </w:rPr>
              <w:t>Rs. 1200 / kW / Month</w:t>
            </w:r>
          </w:p>
        </w:tc>
      </w:tr>
    </w:tbl>
    <w:p w:rsidR="00D94698" w:rsidRPr="00B53423" w:rsidRDefault="00D94698" w:rsidP="0015232B">
      <w:pPr>
        <w:rPr>
          <w:rFonts w:cs="Arial"/>
          <w:b/>
        </w:rPr>
      </w:pPr>
    </w:p>
    <w:p w:rsidR="00D94698" w:rsidRPr="00B53423" w:rsidRDefault="00D94698" w:rsidP="0015232B">
      <w:pPr>
        <w:rPr>
          <w:rFonts w:cs="Arial"/>
          <w:b/>
        </w:rPr>
      </w:pPr>
      <w:r w:rsidRPr="00B53423">
        <w:rPr>
          <w:rFonts w:cs="Arial"/>
          <w:b/>
        </w:rPr>
        <w:t xml:space="preserve">Note: </w:t>
      </w:r>
    </w:p>
    <w:p w:rsidR="00D94698" w:rsidRPr="00B53423" w:rsidRDefault="00D94698" w:rsidP="0015232B">
      <w:pPr>
        <w:rPr>
          <w:rFonts w:cs="Arial"/>
        </w:rPr>
      </w:pPr>
      <w:r w:rsidRPr="00B53423">
        <w:rPr>
          <w:rFonts w:cs="Arial"/>
        </w:rPr>
        <w:t>For application of these rates Licensee shall ensure that such consumption is separately metered.</w:t>
      </w:r>
    </w:p>
    <w:p w:rsidR="00D94698" w:rsidRPr="00B53423" w:rsidRDefault="00D94698" w:rsidP="0015232B">
      <w:pPr>
        <w:rPr>
          <w:rFonts w:cs="Arial"/>
        </w:rPr>
      </w:pPr>
      <w:r w:rsidRPr="00B53423">
        <w:rPr>
          <w:rFonts w:cs="Arial"/>
        </w:rPr>
        <w:t xml:space="preserve"> </w:t>
      </w:r>
    </w:p>
    <w:p w:rsidR="00D94698" w:rsidRPr="00B53423" w:rsidRDefault="00D94698" w:rsidP="000174C0">
      <w:pPr>
        <w:numPr>
          <w:ilvl w:val="0"/>
          <w:numId w:val="99"/>
        </w:numPr>
        <w:spacing w:before="0" w:line="288" w:lineRule="auto"/>
        <w:rPr>
          <w:rFonts w:cs="Arial"/>
        </w:rPr>
      </w:pPr>
      <w:r w:rsidRPr="00B53423">
        <w:rPr>
          <w:rFonts w:cs="Arial"/>
          <w:b/>
        </w:rPr>
        <w:t xml:space="preserve">In all other cases, </w:t>
      </w:r>
      <w:r w:rsidRPr="00B53423">
        <w:rPr>
          <w:rFonts w:cs="Arial"/>
        </w:rPr>
        <w:t>including urban consumers and consumers getting supply through rural feeders but exempted from scheduled rostering / restrictions or through co-generating radial feeders in villages / towns.</w:t>
      </w:r>
    </w:p>
    <w:p w:rsidR="00D94698" w:rsidRPr="00B53423" w:rsidRDefault="00D94698" w:rsidP="0015232B">
      <w:pPr>
        <w:ind w:left="540"/>
        <w:rPr>
          <w:rFonts w:cs="Arial"/>
        </w:rPr>
      </w:pPr>
    </w:p>
    <w:tbl>
      <w:tblPr>
        <w:tblW w:w="6633" w:type="dxa"/>
        <w:jc w:val="center"/>
        <w:tblInd w:w="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60"/>
        <w:gridCol w:w="1769"/>
        <w:gridCol w:w="1804"/>
      </w:tblGrid>
      <w:tr w:rsidR="00D94698" w:rsidRPr="00B53423" w:rsidTr="00E93F0F">
        <w:trPr>
          <w:jc w:val="center"/>
        </w:trPr>
        <w:tc>
          <w:tcPr>
            <w:tcW w:w="3060" w:type="dxa"/>
            <w:shd w:val="pct12" w:color="auto" w:fill="auto"/>
          </w:tcPr>
          <w:p w:rsidR="00D94698" w:rsidRPr="00B53423" w:rsidRDefault="00D94698" w:rsidP="0015232B">
            <w:pPr>
              <w:ind w:left="360" w:right="-45"/>
              <w:jc w:val="center"/>
              <w:rPr>
                <w:b/>
              </w:rPr>
            </w:pPr>
            <w:r w:rsidRPr="00B53423">
              <w:rPr>
                <w:b/>
              </w:rPr>
              <w:t xml:space="preserve">Consumption Range </w:t>
            </w:r>
          </w:p>
        </w:tc>
        <w:tc>
          <w:tcPr>
            <w:tcW w:w="1769" w:type="dxa"/>
            <w:shd w:val="pct12" w:color="auto" w:fill="auto"/>
          </w:tcPr>
          <w:p w:rsidR="00D94698" w:rsidRPr="00B53423" w:rsidRDefault="00D94698" w:rsidP="0015232B">
            <w:pPr>
              <w:spacing w:after="120"/>
              <w:jc w:val="center"/>
              <w:rPr>
                <w:rFonts w:cs="Arial"/>
                <w:b/>
                <w:bCs/>
              </w:rPr>
            </w:pPr>
            <w:r w:rsidRPr="00B53423">
              <w:rPr>
                <w:rFonts w:cs="Arial"/>
                <w:b/>
                <w:bCs/>
              </w:rPr>
              <w:t>Fixed Charge</w:t>
            </w:r>
          </w:p>
        </w:tc>
        <w:tc>
          <w:tcPr>
            <w:tcW w:w="1804" w:type="dxa"/>
            <w:shd w:val="pct12" w:color="auto" w:fill="auto"/>
          </w:tcPr>
          <w:p w:rsidR="00D94698" w:rsidRPr="00B53423" w:rsidRDefault="00D94698" w:rsidP="0015232B">
            <w:pPr>
              <w:spacing w:after="120"/>
              <w:jc w:val="center"/>
              <w:rPr>
                <w:rFonts w:cs="Arial"/>
                <w:b/>
                <w:bCs/>
              </w:rPr>
            </w:pPr>
            <w:r w:rsidRPr="00B53423">
              <w:rPr>
                <w:rFonts w:cs="Arial"/>
                <w:b/>
                <w:bCs/>
              </w:rPr>
              <w:t>Energy Charge</w:t>
            </w:r>
          </w:p>
        </w:tc>
      </w:tr>
      <w:tr w:rsidR="00D94698" w:rsidRPr="00B53423" w:rsidTr="00E93F0F">
        <w:trPr>
          <w:trHeight w:val="213"/>
          <w:jc w:val="center"/>
        </w:trPr>
        <w:tc>
          <w:tcPr>
            <w:tcW w:w="3060" w:type="dxa"/>
          </w:tcPr>
          <w:p w:rsidR="00D94698" w:rsidRPr="00B53423" w:rsidRDefault="00D94698" w:rsidP="0015232B">
            <w:pPr>
              <w:spacing w:after="120"/>
              <w:jc w:val="left"/>
              <w:rPr>
                <w:rFonts w:cs="Arial"/>
                <w:bCs/>
              </w:rPr>
            </w:pPr>
            <w:r w:rsidRPr="00B53423">
              <w:rPr>
                <w:rFonts w:cs="Arial"/>
                <w:bCs/>
              </w:rPr>
              <w:t>Upto 150 kWh / month</w:t>
            </w:r>
          </w:p>
        </w:tc>
        <w:tc>
          <w:tcPr>
            <w:tcW w:w="1769" w:type="dxa"/>
            <w:vMerge w:val="restart"/>
            <w:vAlign w:val="center"/>
          </w:tcPr>
          <w:p w:rsidR="00D94698" w:rsidRPr="00B53423" w:rsidRDefault="00D94698" w:rsidP="0015232B">
            <w:pPr>
              <w:spacing w:after="120"/>
              <w:jc w:val="center"/>
              <w:rPr>
                <w:rFonts w:cs="Arial"/>
                <w:bCs/>
              </w:rPr>
            </w:pPr>
            <w:r w:rsidRPr="00B53423">
              <w:rPr>
                <w:bCs/>
              </w:rPr>
              <w:t>Rs. 200.00 / kW / month</w:t>
            </w:r>
          </w:p>
        </w:tc>
        <w:tc>
          <w:tcPr>
            <w:tcW w:w="1804" w:type="dxa"/>
            <w:vAlign w:val="center"/>
          </w:tcPr>
          <w:p w:rsidR="00D94698" w:rsidRPr="00B53423" w:rsidRDefault="00D94698" w:rsidP="0015232B">
            <w:pPr>
              <w:spacing w:after="120"/>
              <w:jc w:val="center"/>
              <w:rPr>
                <w:rFonts w:cs="Arial"/>
                <w:bCs/>
              </w:rPr>
            </w:pPr>
            <w:r w:rsidRPr="00B53423">
              <w:rPr>
                <w:rFonts w:cs="Arial"/>
                <w:bCs/>
              </w:rPr>
              <w:t>Rs. 6.00/ kWh</w:t>
            </w:r>
          </w:p>
        </w:tc>
      </w:tr>
      <w:tr w:rsidR="00D94698" w:rsidRPr="00B53423" w:rsidTr="00E93F0F">
        <w:trPr>
          <w:trHeight w:val="77"/>
          <w:jc w:val="center"/>
        </w:trPr>
        <w:tc>
          <w:tcPr>
            <w:tcW w:w="3060" w:type="dxa"/>
          </w:tcPr>
          <w:p w:rsidR="00D94698" w:rsidRPr="00B53423" w:rsidRDefault="00D94698" w:rsidP="0015232B">
            <w:pPr>
              <w:spacing w:after="120"/>
              <w:jc w:val="left"/>
              <w:rPr>
                <w:rFonts w:cs="Arial"/>
                <w:bCs/>
              </w:rPr>
            </w:pPr>
            <w:r w:rsidRPr="00B53423">
              <w:rPr>
                <w:rFonts w:cs="Arial"/>
                <w:bCs/>
              </w:rPr>
              <w:t>151 – 300 kWh / month</w:t>
            </w:r>
          </w:p>
        </w:tc>
        <w:tc>
          <w:tcPr>
            <w:tcW w:w="1769" w:type="dxa"/>
            <w:vMerge/>
            <w:vAlign w:val="center"/>
          </w:tcPr>
          <w:p w:rsidR="00D94698" w:rsidRPr="00B53423" w:rsidRDefault="00D94698" w:rsidP="0015232B">
            <w:pPr>
              <w:spacing w:after="120"/>
              <w:jc w:val="center"/>
              <w:rPr>
                <w:bCs/>
              </w:rPr>
            </w:pPr>
          </w:p>
        </w:tc>
        <w:tc>
          <w:tcPr>
            <w:tcW w:w="1804" w:type="dxa"/>
            <w:vAlign w:val="center"/>
          </w:tcPr>
          <w:p w:rsidR="00D94698" w:rsidRPr="00B53423" w:rsidRDefault="00D94698" w:rsidP="0015232B">
            <w:pPr>
              <w:spacing w:after="120"/>
              <w:jc w:val="center"/>
              <w:rPr>
                <w:rFonts w:cs="Arial"/>
                <w:bCs/>
              </w:rPr>
            </w:pPr>
            <w:r w:rsidRPr="00B53423">
              <w:rPr>
                <w:rFonts w:cs="Arial"/>
                <w:bCs/>
              </w:rPr>
              <w:t>Rs. 6.</w:t>
            </w:r>
            <w:r w:rsidRPr="00B53423">
              <w:t>50</w:t>
            </w:r>
            <w:r w:rsidRPr="00B53423">
              <w:rPr>
                <w:rFonts w:cs="Arial"/>
                <w:bCs/>
              </w:rPr>
              <w:t>/ kWh</w:t>
            </w:r>
          </w:p>
        </w:tc>
      </w:tr>
      <w:tr w:rsidR="00D94698" w:rsidRPr="00B53423" w:rsidTr="00E93F0F">
        <w:trPr>
          <w:jc w:val="center"/>
        </w:trPr>
        <w:tc>
          <w:tcPr>
            <w:tcW w:w="3060" w:type="dxa"/>
          </w:tcPr>
          <w:p w:rsidR="00D94698" w:rsidRPr="00B53423" w:rsidRDefault="00D94698" w:rsidP="0015232B">
            <w:pPr>
              <w:spacing w:after="120"/>
              <w:jc w:val="left"/>
              <w:rPr>
                <w:rFonts w:cs="Arial"/>
                <w:bCs/>
              </w:rPr>
            </w:pPr>
            <w:r w:rsidRPr="00B53423">
              <w:rPr>
                <w:rFonts w:cs="Arial"/>
                <w:bCs/>
              </w:rPr>
              <w:t>301 – 1000 kWh / month</w:t>
            </w:r>
          </w:p>
        </w:tc>
        <w:tc>
          <w:tcPr>
            <w:tcW w:w="1769" w:type="dxa"/>
            <w:vMerge/>
            <w:vAlign w:val="center"/>
          </w:tcPr>
          <w:p w:rsidR="00D94698" w:rsidRPr="00B53423" w:rsidRDefault="00D94698" w:rsidP="0015232B">
            <w:pPr>
              <w:spacing w:after="120"/>
              <w:jc w:val="center"/>
              <w:rPr>
                <w:bCs/>
              </w:rPr>
            </w:pPr>
          </w:p>
        </w:tc>
        <w:tc>
          <w:tcPr>
            <w:tcW w:w="1804" w:type="dxa"/>
            <w:vAlign w:val="center"/>
          </w:tcPr>
          <w:p w:rsidR="00D94698" w:rsidRPr="00B53423" w:rsidRDefault="00D94698" w:rsidP="0015232B">
            <w:pPr>
              <w:spacing w:after="120"/>
              <w:jc w:val="center"/>
              <w:rPr>
                <w:rFonts w:cs="Arial"/>
                <w:bCs/>
              </w:rPr>
            </w:pPr>
            <w:r w:rsidRPr="00B53423">
              <w:rPr>
                <w:rFonts w:cs="Arial"/>
                <w:bCs/>
              </w:rPr>
              <w:t>Rs. 6.80/ kWh</w:t>
            </w:r>
          </w:p>
        </w:tc>
      </w:tr>
      <w:tr w:rsidR="00D94698" w:rsidRPr="00B53423" w:rsidTr="00E93F0F">
        <w:trPr>
          <w:jc w:val="center"/>
        </w:trPr>
        <w:tc>
          <w:tcPr>
            <w:tcW w:w="3060" w:type="dxa"/>
          </w:tcPr>
          <w:p w:rsidR="00D94698" w:rsidRPr="00B53423" w:rsidRDefault="00D94698" w:rsidP="0015232B">
            <w:pPr>
              <w:spacing w:after="120"/>
              <w:jc w:val="left"/>
              <w:rPr>
                <w:rFonts w:cs="Arial"/>
                <w:bCs/>
              </w:rPr>
            </w:pPr>
            <w:r w:rsidRPr="00B53423">
              <w:rPr>
                <w:rFonts w:cs="Arial"/>
                <w:bCs/>
              </w:rPr>
              <w:t>Above 1001 kWh / month (From 1001</w:t>
            </w:r>
            <w:r w:rsidRPr="00B53423">
              <w:rPr>
                <w:rFonts w:cs="Arial"/>
                <w:bCs/>
                <w:color w:val="000000"/>
                <w:vertAlign w:val="superscript"/>
              </w:rPr>
              <w:t>st</w:t>
            </w:r>
            <w:r w:rsidRPr="00B53423">
              <w:rPr>
                <w:rFonts w:cs="Arial"/>
                <w:bCs/>
                <w:color w:val="000000"/>
              </w:rPr>
              <w:t xml:space="preserve"> </w:t>
            </w:r>
            <w:r w:rsidRPr="00B53423">
              <w:rPr>
                <w:rFonts w:cs="Arial"/>
                <w:bCs/>
              </w:rPr>
              <w:t>unit onwards)</w:t>
            </w:r>
          </w:p>
        </w:tc>
        <w:tc>
          <w:tcPr>
            <w:tcW w:w="1769" w:type="dxa"/>
            <w:vMerge/>
            <w:vAlign w:val="center"/>
          </w:tcPr>
          <w:p w:rsidR="00D94698" w:rsidRPr="00B53423" w:rsidRDefault="00D94698" w:rsidP="0015232B">
            <w:pPr>
              <w:spacing w:after="120"/>
              <w:jc w:val="center"/>
              <w:rPr>
                <w:bCs/>
              </w:rPr>
            </w:pPr>
          </w:p>
        </w:tc>
        <w:tc>
          <w:tcPr>
            <w:tcW w:w="1804" w:type="dxa"/>
            <w:vAlign w:val="center"/>
          </w:tcPr>
          <w:p w:rsidR="00D94698" w:rsidRPr="00B53423" w:rsidRDefault="00D94698" w:rsidP="0015232B">
            <w:pPr>
              <w:spacing w:after="120"/>
              <w:jc w:val="center"/>
              <w:rPr>
                <w:rFonts w:cs="Arial"/>
                <w:bCs/>
              </w:rPr>
            </w:pPr>
            <w:r w:rsidRPr="00B53423">
              <w:rPr>
                <w:rFonts w:cs="Arial"/>
                <w:bCs/>
              </w:rPr>
              <w:t>Rs. 7.10/ kWh</w:t>
            </w:r>
          </w:p>
        </w:tc>
      </w:tr>
    </w:tbl>
    <w:p w:rsidR="00D94698" w:rsidRPr="00B53423" w:rsidRDefault="00D94698" w:rsidP="0015232B">
      <w:pPr>
        <w:ind w:firstLine="450"/>
        <w:rPr>
          <w:rFonts w:cs="Arial"/>
          <w:b/>
          <w:bCs/>
        </w:rPr>
      </w:pPr>
    </w:p>
    <w:p w:rsidR="00D94698" w:rsidRPr="00B53423" w:rsidRDefault="00D94698" w:rsidP="0015232B">
      <w:pPr>
        <w:ind w:firstLine="450"/>
        <w:rPr>
          <w:rFonts w:cs="Arial"/>
          <w:b/>
          <w:bCs/>
        </w:rPr>
      </w:pPr>
      <w:r w:rsidRPr="00B53423">
        <w:rPr>
          <w:rFonts w:cs="Arial"/>
          <w:b/>
          <w:bCs/>
        </w:rPr>
        <w:t xml:space="preserve">Note: </w:t>
      </w:r>
    </w:p>
    <w:p w:rsidR="00D94698" w:rsidRPr="00B53423" w:rsidRDefault="00D94698" w:rsidP="0015232B">
      <w:pPr>
        <w:ind w:left="1080" w:hanging="360"/>
        <w:rPr>
          <w:rFonts w:cs="Arial"/>
          <w:bCs/>
        </w:rPr>
      </w:pPr>
      <w:r w:rsidRPr="00B53423">
        <w:rPr>
          <w:rFonts w:cs="Arial"/>
          <w:bCs/>
        </w:rPr>
        <w:t>1.</w:t>
      </w:r>
      <w:r w:rsidRPr="00B53423">
        <w:rPr>
          <w:rFonts w:cs="Arial"/>
          <w:bCs/>
        </w:rPr>
        <w:tab/>
        <w:t xml:space="preserve">For all consumers under this category the maximum demand during the month recorded by the meter has to be essentially indicated in their monthly bills. However, this condition would be mandatory only in case meter reading is done by the Licensee. Accordingly, if the bill is being prepared on the basis of reading being submitted by the consumer then the consumer would not be liable to furnish maximum demand during the month and his bill would not be held back for lack of data on maximum demand. </w:t>
      </w:r>
    </w:p>
    <w:p w:rsidR="00D94698" w:rsidRPr="00B53423" w:rsidRDefault="00D94698" w:rsidP="0015232B">
      <w:pPr>
        <w:ind w:firstLine="450"/>
        <w:rPr>
          <w:rFonts w:cs="Arial"/>
          <w:b/>
          <w:bCs/>
        </w:rPr>
      </w:pPr>
    </w:p>
    <w:p w:rsidR="00D94698" w:rsidRPr="00B53423" w:rsidRDefault="00D94698" w:rsidP="0015232B">
      <w:pPr>
        <w:tabs>
          <w:tab w:val="left" w:pos="360"/>
          <w:tab w:val="left" w:pos="720"/>
        </w:tabs>
        <w:spacing w:before="100"/>
        <w:ind w:left="720" w:right="29" w:hanging="720"/>
        <w:rPr>
          <w:b/>
        </w:rPr>
      </w:pPr>
      <w:r w:rsidRPr="00B53423">
        <w:rPr>
          <w:b/>
        </w:rPr>
        <w:t>4.</w:t>
      </w:r>
      <w:r w:rsidRPr="00B53423">
        <w:rPr>
          <w:b/>
        </w:rPr>
        <w:tab/>
      </w:r>
      <w:r w:rsidRPr="00B53423">
        <w:rPr>
          <w:b/>
        </w:rPr>
        <w:tab/>
        <w:t>REBATE TO POWER LOOMS:</w:t>
      </w:r>
    </w:p>
    <w:p w:rsidR="00D94698" w:rsidRPr="00B53423" w:rsidRDefault="00D94698" w:rsidP="0015232B">
      <w:pPr>
        <w:ind w:left="720"/>
        <w:rPr>
          <w:b/>
          <w:bCs/>
        </w:rPr>
      </w:pPr>
      <w:r w:rsidRPr="00B53423">
        <w:t>Rebate to Power Loom consumers shall be applicable in accordance with the Government order dated 14</w:t>
      </w:r>
      <w:r w:rsidRPr="00B53423">
        <w:rPr>
          <w:vertAlign w:val="superscript"/>
        </w:rPr>
        <w:t>th</w:t>
      </w:r>
      <w:r w:rsidRPr="00B53423">
        <w:t xml:space="preserve"> June, 2006 and the Commission’s order dated 11</w:t>
      </w:r>
      <w:r w:rsidRPr="00B53423">
        <w:rPr>
          <w:vertAlign w:val="superscript"/>
        </w:rPr>
        <w:t>th</w:t>
      </w:r>
      <w:r w:rsidRPr="00B53423">
        <w:t xml:space="preserve"> July, 2006 subject to adherence of provision of advance subsidy.  </w:t>
      </w:r>
    </w:p>
    <w:p w:rsidR="00D94698" w:rsidRPr="00B53423" w:rsidRDefault="00D94698" w:rsidP="0015232B">
      <w:pPr>
        <w:jc w:val="center"/>
        <w:rPr>
          <w:b/>
          <w:u w:val="single"/>
        </w:rPr>
      </w:pPr>
      <w:r w:rsidRPr="00B53423">
        <w:br w:type="page"/>
      </w:r>
      <w:r w:rsidRPr="00B53423">
        <w:rPr>
          <w:b/>
          <w:u w:val="single"/>
        </w:rPr>
        <w:t>RATE SCHEDULE LMV -3:</w:t>
      </w:r>
    </w:p>
    <w:p w:rsidR="00D94698" w:rsidRPr="00B53423" w:rsidRDefault="00D94698" w:rsidP="0015232B">
      <w:pPr>
        <w:jc w:val="center"/>
      </w:pPr>
    </w:p>
    <w:p w:rsidR="00D94698" w:rsidRPr="00B53423" w:rsidRDefault="00D94698" w:rsidP="0015232B">
      <w:pPr>
        <w:jc w:val="center"/>
        <w:rPr>
          <w:b/>
        </w:rPr>
      </w:pPr>
      <w:r w:rsidRPr="00B53423">
        <w:rPr>
          <w:b/>
        </w:rPr>
        <w:t>PUBLIC LAMPS:</w:t>
      </w:r>
    </w:p>
    <w:p w:rsidR="00D94698" w:rsidRPr="00B53423" w:rsidRDefault="00D94698" w:rsidP="0015232B">
      <w:pPr>
        <w:jc w:val="center"/>
        <w:rPr>
          <w:b/>
        </w:rPr>
      </w:pPr>
    </w:p>
    <w:p w:rsidR="00D94698" w:rsidRPr="00B53423" w:rsidRDefault="00D94698" w:rsidP="0015232B">
      <w:pPr>
        <w:rPr>
          <w:b/>
        </w:rPr>
      </w:pPr>
      <w:r w:rsidRPr="00B53423">
        <w:rPr>
          <w:b/>
        </w:rPr>
        <w:t>1.</w:t>
      </w:r>
      <w:r w:rsidRPr="00B53423">
        <w:rPr>
          <w:b/>
        </w:rPr>
        <w:tab/>
        <w:t>APPLICABILITY:</w:t>
      </w:r>
    </w:p>
    <w:p w:rsidR="00D94698" w:rsidRPr="00B53423" w:rsidRDefault="00D94698" w:rsidP="0015232B">
      <w:pPr>
        <w:spacing w:before="100" w:after="120"/>
        <w:ind w:left="720" w:right="29"/>
      </w:pPr>
      <w:r w:rsidRPr="00B53423">
        <w:t>This schedule shall apply to Public Lamps including Street Lighting System, Road Traffic Control Signals, Lighting of Public Parks, etc. The street lighting in Harijan Bastis and Rural Areas are also covered by this rate schedule.</w:t>
      </w:r>
    </w:p>
    <w:p w:rsidR="00D94698" w:rsidRPr="00B53423" w:rsidRDefault="00D94698" w:rsidP="0015232B">
      <w:pPr>
        <w:spacing w:before="100" w:after="120"/>
        <w:ind w:left="720" w:right="29"/>
      </w:pPr>
    </w:p>
    <w:p w:rsidR="00D94698" w:rsidRPr="00B53423" w:rsidRDefault="00D94698" w:rsidP="0015232B">
      <w:pPr>
        <w:ind w:left="720" w:hanging="720"/>
        <w:rPr>
          <w:b/>
        </w:rPr>
      </w:pPr>
      <w:r w:rsidRPr="00B53423">
        <w:rPr>
          <w:b/>
        </w:rPr>
        <w:t>2.</w:t>
      </w:r>
      <w:r w:rsidRPr="00B53423">
        <w:tab/>
      </w:r>
      <w:r w:rsidRPr="00B53423">
        <w:rPr>
          <w:b/>
        </w:rPr>
        <w:t>CHARACTER AND POINT OF SUPPLY:</w:t>
      </w:r>
    </w:p>
    <w:p w:rsidR="00D94698" w:rsidRPr="00B53423" w:rsidRDefault="00D94698" w:rsidP="0015232B">
      <w:pPr>
        <w:spacing w:line="240" w:lineRule="auto"/>
        <w:ind w:left="360" w:right="-58" w:firstLine="360"/>
        <w:rPr>
          <w:rFonts w:cs="Arial"/>
        </w:rPr>
      </w:pPr>
      <w:proofErr w:type="gramStart"/>
      <w:r w:rsidRPr="00B53423">
        <w:t>As per the applicable provisions of Electricity Supply Code.</w:t>
      </w:r>
      <w:proofErr w:type="gramEnd"/>
    </w:p>
    <w:p w:rsidR="00D94698" w:rsidRPr="00B53423" w:rsidRDefault="00D94698" w:rsidP="0015232B">
      <w:pPr>
        <w:ind w:left="720" w:hanging="720"/>
        <w:rPr>
          <w:b/>
        </w:rPr>
      </w:pPr>
      <w:r w:rsidRPr="00B53423">
        <w:t xml:space="preserve">  </w:t>
      </w:r>
    </w:p>
    <w:p w:rsidR="00D94698" w:rsidRPr="00B53423" w:rsidRDefault="00D94698" w:rsidP="0015232B">
      <w:pPr>
        <w:rPr>
          <w:b/>
        </w:rPr>
      </w:pPr>
      <w:r w:rsidRPr="00B53423">
        <w:rPr>
          <w:b/>
        </w:rPr>
        <w:t>3.</w:t>
      </w:r>
      <w:r w:rsidRPr="00B53423">
        <w:tab/>
      </w:r>
      <w:r w:rsidRPr="00B53423">
        <w:rPr>
          <w:b/>
        </w:rPr>
        <w:t xml:space="preserve">RATE: </w:t>
      </w:r>
    </w:p>
    <w:p w:rsidR="00D94698" w:rsidRPr="00B53423" w:rsidRDefault="00D94698" w:rsidP="0015232B">
      <w:pPr>
        <w:ind w:left="720"/>
      </w:pPr>
      <w:r w:rsidRPr="00B53423">
        <w:t xml:space="preserve">Rate gives the fixed and energy charges (including the TOD rates as applicable to the hour of operation) at which the consumer shall be billed for his consumption during the billing period applicable to the category: </w:t>
      </w:r>
    </w:p>
    <w:p w:rsidR="00D94698" w:rsidRPr="00B53423" w:rsidRDefault="00D94698" w:rsidP="000174C0">
      <w:pPr>
        <w:numPr>
          <w:ilvl w:val="0"/>
          <w:numId w:val="90"/>
        </w:numPr>
        <w:tabs>
          <w:tab w:val="clear" w:pos="720"/>
          <w:tab w:val="num" w:pos="1440"/>
        </w:tabs>
        <w:spacing w:after="120" w:line="288" w:lineRule="auto"/>
        <w:ind w:left="360" w:right="1440" w:firstLine="360"/>
        <w:rPr>
          <w:b/>
        </w:rPr>
      </w:pPr>
      <w:r w:rsidRPr="00B53423">
        <w:rPr>
          <w:b/>
        </w:rPr>
        <w:t>Un-metered Supply:</w:t>
      </w:r>
    </w:p>
    <w:tbl>
      <w:tblPr>
        <w:tblW w:w="0" w:type="auto"/>
        <w:tblInd w:w="8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941"/>
        <w:gridCol w:w="1890"/>
        <w:gridCol w:w="2099"/>
        <w:gridCol w:w="1620"/>
      </w:tblGrid>
      <w:tr w:rsidR="00D94698" w:rsidRPr="00B53423" w:rsidTr="00E93F0F">
        <w:tc>
          <w:tcPr>
            <w:tcW w:w="2941" w:type="dxa"/>
            <w:shd w:val="pct12" w:color="auto" w:fill="auto"/>
          </w:tcPr>
          <w:p w:rsidR="00D94698" w:rsidRPr="00B53423" w:rsidRDefault="00D94698" w:rsidP="0015232B">
            <w:pPr>
              <w:ind w:right="-116"/>
              <w:jc w:val="center"/>
              <w:rPr>
                <w:b/>
              </w:rPr>
            </w:pPr>
            <w:r w:rsidRPr="00B53423">
              <w:rPr>
                <w:b/>
              </w:rPr>
              <w:t>Description</w:t>
            </w:r>
          </w:p>
        </w:tc>
        <w:tc>
          <w:tcPr>
            <w:tcW w:w="1890" w:type="dxa"/>
            <w:shd w:val="pct12" w:color="auto" w:fill="auto"/>
          </w:tcPr>
          <w:p w:rsidR="00D94698" w:rsidRPr="00B53423" w:rsidRDefault="00D94698" w:rsidP="0015232B">
            <w:pPr>
              <w:jc w:val="center"/>
              <w:rPr>
                <w:b/>
              </w:rPr>
            </w:pPr>
            <w:r w:rsidRPr="00B53423">
              <w:rPr>
                <w:b/>
              </w:rPr>
              <w:t>Gram Panchayat</w:t>
            </w:r>
          </w:p>
        </w:tc>
        <w:tc>
          <w:tcPr>
            <w:tcW w:w="2099" w:type="dxa"/>
            <w:shd w:val="pct12" w:color="auto" w:fill="auto"/>
          </w:tcPr>
          <w:p w:rsidR="00D94698" w:rsidRPr="00B53423" w:rsidRDefault="00D94698" w:rsidP="0015232B">
            <w:pPr>
              <w:jc w:val="center"/>
              <w:rPr>
                <w:b/>
                <w:lang w:val="sv-SE"/>
              </w:rPr>
            </w:pPr>
            <w:r w:rsidRPr="00B53423">
              <w:rPr>
                <w:b/>
                <w:lang w:val="sv-SE"/>
              </w:rPr>
              <w:t>Nagar Palika and Nagar Panchayat</w:t>
            </w:r>
          </w:p>
        </w:tc>
        <w:tc>
          <w:tcPr>
            <w:tcW w:w="1620" w:type="dxa"/>
            <w:shd w:val="pct12" w:color="auto" w:fill="auto"/>
          </w:tcPr>
          <w:p w:rsidR="00D94698" w:rsidRPr="00B53423" w:rsidRDefault="00D94698" w:rsidP="0015232B">
            <w:pPr>
              <w:ind w:right="-122"/>
              <w:jc w:val="center"/>
              <w:rPr>
                <w:b/>
              </w:rPr>
            </w:pPr>
            <w:r w:rsidRPr="00B53423">
              <w:rPr>
                <w:b/>
              </w:rPr>
              <w:t>Nagar Nigam</w:t>
            </w:r>
          </w:p>
        </w:tc>
      </w:tr>
      <w:tr w:rsidR="00D94698" w:rsidRPr="00B53423" w:rsidTr="00E93F0F">
        <w:tc>
          <w:tcPr>
            <w:tcW w:w="2941" w:type="dxa"/>
          </w:tcPr>
          <w:p w:rsidR="00D94698" w:rsidRPr="00B53423" w:rsidRDefault="00D94698" w:rsidP="0015232B">
            <w:pPr>
              <w:ind w:right="-4"/>
            </w:pPr>
            <w:r w:rsidRPr="00B53423">
              <w:t>To be billed on the basis of total connected load calculated as the summation of individual points</w:t>
            </w:r>
          </w:p>
        </w:tc>
        <w:tc>
          <w:tcPr>
            <w:tcW w:w="1890" w:type="dxa"/>
          </w:tcPr>
          <w:p w:rsidR="00D94698" w:rsidRPr="00B53423" w:rsidRDefault="00D94698" w:rsidP="0015232B">
            <w:pPr>
              <w:pStyle w:val="BodyText"/>
              <w:spacing w:line="288" w:lineRule="auto"/>
            </w:pPr>
            <w:r w:rsidRPr="00B53423">
              <w:t xml:space="preserve">Rs. 1700 per kW or part thereof per month </w:t>
            </w:r>
          </w:p>
        </w:tc>
        <w:tc>
          <w:tcPr>
            <w:tcW w:w="2099" w:type="dxa"/>
          </w:tcPr>
          <w:p w:rsidR="00D94698" w:rsidRPr="00B53423" w:rsidRDefault="00D94698" w:rsidP="0015232B">
            <w:pPr>
              <w:pStyle w:val="BodyText"/>
              <w:spacing w:line="288" w:lineRule="auto"/>
            </w:pPr>
            <w:r w:rsidRPr="00B53423">
              <w:t>Rs. 2000 per kW or part thereof per month</w:t>
            </w:r>
          </w:p>
        </w:tc>
        <w:tc>
          <w:tcPr>
            <w:tcW w:w="1620" w:type="dxa"/>
          </w:tcPr>
          <w:p w:rsidR="00D94698" w:rsidRPr="00B53423" w:rsidRDefault="00D94698" w:rsidP="0015232B">
            <w:pPr>
              <w:pStyle w:val="BodyText"/>
              <w:spacing w:line="288" w:lineRule="auto"/>
            </w:pPr>
            <w:r w:rsidRPr="00B53423">
              <w:t>Rs. 2500 per kW or part thereof per month</w:t>
            </w:r>
          </w:p>
        </w:tc>
      </w:tr>
    </w:tbl>
    <w:p w:rsidR="00D94698" w:rsidRPr="00B53423" w:rsidRDefault="00D94698" w:rsidP="0015232B">
      <w:pPr>
        <w:spacing w:before="240" w:after="120" w:line="288" w:lineRule="auto"/>
        <w:ind w:left="720" w:right="1440"/>
        <w:rPr>
          <w:b/>
        </w:rPr>
      </w:pPr>
    </w:p>
    <w:p w:rsidR="00D94698" w:rsidRPr="00B53423" w:rsidRDefault="00D94698" w:rsidP="0015232B">
      <w:pPr>
        <w:spacing w:line="240" w:lineRule="auto"/>
        <w:jc w:val="left"/>
        <w:rPr>
          <w:b/>
        </w:rPr>
      </w:pPr>
      <w:r w:rsidRPr="00B53423">
        <w:rPr>
          <w:b/>
        </w:rPr>
        <w:br w:type="page"/>
      </w:r>
    </w:p>
    <w:p w:rsidR="00D94698" w:rsidRPr="00B53423" w:rsidRDefault="00D94698" w:rsidP="000174C0">
      <w:pPr>
        <w:numPr>
          <w:ilvl w:val="0"/>
          <w:numId w:val="90"/>
        </w:numPr>
        <w:tabs>
          <w:tab w:val="clear" w:pos="720"/>
          <w:tab w:val="num" w:pos="1440"/>
        </w:tabs>
        <w:spacing w:before="240" w:after="120" w:line="288" w:lineRule="auto"/>
        <w:ind w:left="446" w:right="1440" w:firstLine="274"/>
        <w:rPr>
          <w:b/>
        </w:rPr>
      </w:pPr>
      <w:r w:rsidRPr="00B53423">
        <w:rPr>
          <w:b/>
        </w:rPr>
        <w:t>Metered Supply:</w:t>
      </w:r>
    </w:p>
    <w:tbl>
      <w:tblPr>
        <w:tblW w:w="8550" w:type="dxa"/>
        <w:tblInd w:w="8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260"/>
        <w:gridCol w:w="1170"/>
        <w:gridCol w:w="1170"/>
        <w:gridCol w:w="1260"/>
        <w:gridCol w:w="1260"/>
        <w:gridCol w:w="1170"/>
        <w:gridCol w:w="1260"/>
      </w:tblGrid>
      <w:tr w:rsidR="00D94698" w:rsidRPr="00B53423" w:rsidTr="00E93F0F">
        <w:trPr>
          <w:tblHeader/>
        </w:trPr>
        <w:tc>
          <w:tcPr>
            <w:tcW w:w="1260" w:type="dxa"/>
            <w:tcBorders>
              <w:bottom w:val="single" w:sz="4" w:space="0" w:color="auto"/>
            </w:tcBorders>
            <w:shd w:val="pct12" w:color="auto" w:fill="auto"/>
          </w:tcPr>
          <w:p w:rsidR="00D94698" w:rsidRPr="00B53423" w:rsidRDefault="00D94698" w:rsidP="0015232B">
            <w:pPr>
              <w:ind w:left="-108" w:right="-116"/>
              <w:jc w:val="center"/>
              <w:rPr>
                <w:b/>
              </w:rPr>
            </w:pPr>
            <w:r w:rsidRPr="00B53423">
              <w:rPr>
                <w:b/>
              </w:rPr>
              <w:t>Description</w:t>
            </w:r>
          </w:p>
        </w:tc>
        <w:tc>
          <w:tcPr>
            <w:tcW w:w="2340" w:type="dxa"/>
            <w:gridSpan w:val="2"/>
            <w:shd w:val="pct12" w:color="auto" w:fill="auto"/>
          </w:tcPr>
          <w:p w:rsidR="00D94698" w:rsidRPr="00B53423" w:rsidRDefault="00D94698" w:rsidP="0015232B">
            <w:pPr>
              <w:jc w:val="center"/>
              <w:rPr>
                <w:b/>
              </w:rPr>
            </w:pPr>
            <w:r w:rsidRPr="00B53423">
              <w:rPr>
                <w:b/>
              </w:rPr>
              <w:t>Gram Panchayat</w:t>
            </w:r>
          </w:p>
        </w:tc>
        <w:tc>
          <w:tcPr>
            <w:tcW w:w="2520" w:type="dxa"/>
            <w:gridSpan w:val="2"/>
            <w:shd w:val="pct12" w:color="auto" w:fill="auto"/>
          </w:tcPr>
          <w:p w:rsidR="00D94698" w:rsidRPr="00B53423" w:rsidRDefault="00D94698" w:rsidP="0015232B">
            <w:pPr>
              <w:jc w:val="center"/>
              <w:rPr>
                <w:b/>
                <w:lang w:val="sv-SE"/>
              </w:rPr>
            </w:pPr>
            <w:r w:rsidRPr="00B53423">
              <w:rPr>
                <w:b/>
                <w:lang w:val="sv-SE"/>
              </w:rPr>
              <w:t>Nagar Palika and Nagar Panchayat</w:t>
            </w:r>
          </w:p>
        </w:tc>
        <w:tc>
          <w:tcPr>
            <w:tcW w:w="2430" w:type="dxa"/>
            <w:gridSpan w:val="2"/>
            <w:shd w:val="pct12" w:color="auto" w:fill="auto"/>
          </w:tcPr>
          <w:p w:rsidR="00D94698" w:rsidRPr="00B53423" w:rsidRDefault="00D94698" w:rsidP="0015232B">
            <w:pPr>
              <w:ind w:right="-122"/>
              <w:jc w:val="center"/>
              <w:rPr>
                <w:b/>
              </w:rPr>
            </w:pPr>
            <w:r w:rsidRPr="00B53423">
              <w:rPr>
                <w:b/>
              </w:rPr>
              <w:t>Nagar Nigam</w:t>
            </w:r>
          </w:p>
        </w:tc>
      </w:tr>
      <w:tr w:rsidR="00D94698" w:rsidRPr="00B53423" w:rsidTr="00E93F0F">
        <w:trPr>
          <w:trHeight w:val="462"/>
        </w:trPr>
        <w:tc>
          <w:tcPr>
            <w:tcW w:w="1260" w:type="dxa"/>
            <w:vMerge w:val="restart"/>
            <w:tcBorders>
              <w:top w:val="single" w:sz="4" w:space="0" w:color="auto"/>
            </w:tcBorders>
          </w:tcPr>
          <w:p w:rsidR="00D94698" w:rsidRPr="00B53423" w:rsidRDefault="00D94698" w:rsidP="0015232B">
            <w:pPr>
              <w:ind w:right="-4"/>
            </w:pPr>
            <w:r w:rsidRPr="00B53423">
              <w:t>All loads</w:t>
            </w:r>
          </w:p>
        </w:tc>
        <w:tc>
          <w:tcPr>
            <w:tcW w:w="1170" w:type="dxa"/>
            <w:tcBorders>
              <w:bottom w:val="single" w:sz="4" w:space="0" w:color="auto"/>
              <w:right w:val="single" w:sz="4" w:space="0" w:color="auto"/>
            </w:tcBorders>
          </w:tcPr>
          <w:p w:rsidR="00D94698" w:rsidRPr="00B53423" w:rsidRDefault="00D94698" w:rsidP="0015232B">
            <w:pPr>
              <w:pStyle w:val="BodyText"/>
              <w:spacing w:line="288" w:lineRule="auto"/>
            </w:pPr>
            <w:r w:rsidRPr="00B53423">
              <w:t>Fixed Charges</w:t>
            </w:r>
          </w:p>
        </w:tc>
        <w:tc>
          <w:tcPr>
            <w:tcW w:w="1170" w:type="dxa"/>
            <w:tcBorders>
              <w:left w:val="single" w:sz="4" w:space="0" w:color="auto"/>
              <w:bottom w:val="single" w:sz="4" w:space="0" w:color="auto"/>
            </w:tcBorders>
          </w:tcPr>
          <w:p w:rsidR="00D94698" w:rsidRPr="00B53423" w:rsidRDefault="00D94698" w:rsidP="0015232B">
            <w:pPr>
              <w:pStyle w:val="BodyText"/>
              <w:spacing w:line="288" w:lineRule="auto"/>
            </w:pPr>
            <w:r w:rsidRPr="00B53423">
              <w:t>Energy Charges</w:t>
            </w:r>
          </w:p>
        </w:tc>
        <w:tc>
          <w:tcPr>
            <w:tcW w:w="1260" w:type="dxa"/>
            <w:tcBorders>
              <w:bottom w:val="single" w:sz="4" w:space="0" w:color="auto"/>
              <w:right w:val="single" w:sz="4" w:space="0" w:color="auto"/>
            </w:tcBorders>
          </w:tcPr>
          <w:p w:rsidR="00D94698" w:rsidRPr="00B53423" w:rsidRDefault="00D94698" w:rsidP="0015232B">
            <w:pPr>
              <w:pStyle w:val="BodyText"/>
              <w:spacing w:line="288" w:lineRule="auto"/>
            </w:pPr>
            <w:r w:rsidRPr="00B53423">
              <w:t>Fixed Charges</w:t>
            </w:r>
          </w:p>
        </w:tc>
        <w:tc>
          <w:tcPr>
            <w:tcW w:w="1260" w:type="dxa"/>
            <w:tcBorders>
              <w:left w:val="single" w:sz="4" w:space="0" w:color="auto"/>
              <w:bottom w:val="single" w:sz="4" w:space="0" w:color="auto"/>
            </w:tcBorders>
          </w:tcPr>
          <w:p w:rsidR="00D94698" w:rsidRPr="00B53423" w:rsidRDefault="00D94698" w:rsidP="0015232B">
            <w:pPr>
              <w:pStyle w:val="BodyText"/>
              <w:spacing w:line="288" w:lineRule="auto"/>
            </w:pPr>
            <w:r w:rsidRPr="00B53423">
              <w:t>Energy Charges</w:t>
            </w:r>
          </w:p>
        </w:tc>
        <w:tc>
          <w:tcPr>
            <w:tcW w:w="1170" w:type="dxa"/>
            <w:tcBorders>
              <w:bottom w:val="single" w:sz="4" w:space="0" w:color="auto"/>
              <w:right w:val="single" w:sz="4" w:space="0" w:color="auto"/>
            </w:tcBorders>
          </w:tcPr>
          <w:p w:rsidR="00D94698" w:rsidRPr="00B53423" w:rsidRDefault="00D94698" w:rsidP="0015232B">
            <w:pPr>
              <w:pStyle w:val="BodyText"/>
              <w:spacing w:line="288" w:lineRule="auto"/>
            </w:pPr>
            <w:r w:rsidRPr="00B53423">
              <w:t>Fixed Charges</w:t>
            </w:r>
          </w:p>
        </w:tc>
        <w:tc>
          <w:tcPr>
            <w:tcW w:w="1260" w:type="dxa"/>
            <w:tcBorders>
              <w:left w:val="single" w:sz="4" w:space="0" w:color="auto"/>
              <w:bottom w:val="single" w:sz="4" w:space="0" w:color="auto"/>
            </w:tcBorders>
          </w:tcPr>
          <w:p w:rsidR="00D94698" w:rsidRPr="00B53423" w:rsidRDefault="00D94698" w:rsidP="0015232B">
            <w:pPr>
              <w:pStyle w:val="BodyText"/>
              <w:spacing w:line="288" w:lineRule="auto"/>
            </w:pPr>
            <w:r w:rsidRPr="00B53423">
              <w:t>Energy Charges</w:t>
            </w:r>
          </w:p>
        </w:tc>
      </w:tr>
      <w:tr w:rsidR="00D94698" w:rsidRPr="00B53423" w:rsidTr="00E93F0F">
        <w:trPr>
          <w:trHeight w:val="570"/>
        </w:trPr>
        <w:tc>
          <w:tcPr>
            <w:tcW w:w="1260" w:type="dxa"/>
            <w:vMerge/>
          </w:tcPr>
          <w:p w:rsidR="00D94698" w:rsidRPr="00B53423" w:rsidRDefault="00D94698" w:rsidP="0015232B">
            <w:pPr>
              <w:ind w:right="-4"/>
            </w:pPr>
          </w:p>
        </w:tc>
        <w:tc>
          <w:tcPr>
            <w:tcW w:w="1170" w:type="dxa"/>
            <w:tcBorders>
              <w:top w:val="single" w:sz="4" w:space="0" w:color="auto"/>
              <w:bottom w:val="single" w:sz="4" w:space="0" w:color="auto"/>
              <w:right w:val="single" w:sz="4" w:space="0" w:color="auto"/>
            </w:tcBorders>
          </w:tcPr>
          <w:p w:rsidR="00D94698" w:rsidRPr="00B53423" w:rsidRDefault="00D94698" w:rsidP="0015232B">
            <w:pPr>
              <w:pStyle w:val="BodyText"/>
              <w:spacing w:line="288" w:lineRule="auto"/>
              <w:jc w:val="left"/>
            </w:pPr>
            <w:r w:rsidRPr="00B53423">
              <w:t>Rs. 120 / kW / month</w:t>
            </w:r>
          </w:p>
        </w:tc>
        <w:tc>
          <w:tcPr>
            <w:tcW w:w="1170" w:type="dxa"/>
            <w:tcBorders>
              <w:top w:val="single" w:sz="4" w:space="0" w:color="auto"/>
              <w:left w:val="single" w:sz="4" w:space="0" w:color="auto"/>
              <w:bottom w:val="single" w:sz="4" w:space="0" w:color="auto"/>
            </w:tcBorders>
          </w:tcPr>
          <w:p w:rsidR="00D94698" w:rsidRPr="00B53423" w:rsidRDefault="00D94698" w:rsidP="0015232B">
            <w:pPr>
              <w:pStyle w:val="BodyText"/>
              <w:spacing w:line="288" w:lineRule="auto"/>
              <w:jc w:val="left"/>
            </w:pPr>
            <w:r w:rsidRPr="00B53423">
              <w:t>Rs.  5.50 / kWh</w:t>
            </w:r>
          </w:p>
        </w:tc>
        <w:tc>
          <w:tcPr>
            <w:tcW w:w="1260" w:type="dxa"/>
            <w:tcBorders>
              <w:top w:val="single" w:sz="4" w:space="0" w:color="auto"/>
              <w:bottom w:val="single" w:sz="4" w:space="0" w:color="auto"/>
              <w:right w:val="single" w:sz="4" w:space="0" w:color="auto"/>
            </w:tcBorders>
          </w:tcPr>
          <w:p w:rsidR="00D94698" w:rsidRPr="00B53423" w:rsidRDefault="00D94698" w:rsidP="0015232B">
            <w:pPr>
              <w:pStyle w:val="BodyText"/>
              <w:spacing w:line="288" w:lineRule="auto"/>
              <w:jc w:val="left"/>
            </w:pPr>
            <w:r w:rsidRPr="00B53423">
              <w:t>Rs. 150 / kW / month</w:t>
            </w:r>
          </w:p>
        </w:tc>
        <w:tc>
          <w:tcPr>
            <w:tcW w:w="1260" w:type="dxa"/>
            <w:tcBorders>
              <w:top w:val="single" w:sz="4" w:space="0" w:color="auto"/>
              <w:left w:val="single" w:sz="4" w:space="0" w:color="auto"/>
              <w:bottom w:val="single" w:sz="4" w:space="0" w:color="auto"/>
            </w:tcBorders>
          </w:tcPr>
          <w:p w:rsidR="00D94698" w:rsidRPr="00B53423" w:rsidRDefault="00D94698" w:rsidP="0015232B">
            <w:pPr>
              <w:pStyle w:val="BodyText"/>
              <w:spacing w:line="288" w:lineRule="auto"/>
              <w:jc w:val="left"/>
            </w:pPr>
            <w:r w:rsidRPr="00B53423">
              <w:t>Rs. 5.85  /</w:t>
            </w:r>
          </w:p>
          <w:p w:rsidR="00D94698" w:rsidRPr="00B53423" w:rsidRDefault="00D94698" w:rsidP="0015232B">
            <w:pPr>
              <w:pStyle w:val="BodyText"/>
              <w:spacing w:line="288" w:lineRule="auto"/>
              <w:jc w:val="left"/>
            </w:pPr>
            <w:r w:rsidRPr="00B53423">
              <w:t>kWh</w:t>
            </w:r>
          </w:p>
        </w:tc>
        <w:tc>
          <w:tcPr>
            <w:tcW w:w="1170" w:type="dxa"/>
            <w:tcBorders>
              <w:top w:val="single" w:sz="4" w:space="0" w:color="auto"/>
              <w:bottom w:val="single" w:sz="4" w:space="0" w:color="auto"/>
              <w:right w:val="single" w:sz="4" w:space="0" w:color="auto"/>
            </w:tcBorders>
          </w:tcPr>
          <w:p w:rsidR="00D94698" w:rsidRPr="00B53423" w:rsidRDefault="00D94698" w:rsidP="0015232B">
            <w:pPr>
              <w:pStyle w:val="BodyText"/>
              <w:spacing w:line="288" w:lineRule="auto"/>
              <w:jc w:val="left"/>
            </w:pPr>
            <w:r w:rsidRPr="00B53423">
              <w:t>Rs. 160 / kW / month</w:t>
            </w:r>
          </w:p>
        </w:tc>
        <w:tc>
          <w:tcPr>
            <w:tcW w:w="1260" w:type="dxa"/>
            <w:tcBorders>
              <w:top w:val="single" w:sz="4" w:space="0" w:color="auto"/>
              <w:left w:val="single" w:sz="4" w:space="0" w:color="auto"/>
              <w:bottom w:val="single" w:sz="4" w:space="0" w:color="auto"/>
            </w:tcBorders>
          </w:tcPr>
          <w:p w:rsidR="00D94698" w:rsidRPr="00B53423" w:rsidRDefault="00D94698" w:rsidP="0015232B">
            <w:pPr>
              <w:pStyle w:val="BodyText"/>
              <w:spacing w:line="288" w:lineRule="auto"/>
              <w:jc w:val="left"/>
            </w:pPr>
            <w:r w:rsidRPr="00B53423">
              <w:t>Rs. 6.00 / kWh</w:t>
            </w:r>
          </w:p>
        </w:tc>
      </w:tr>
    </w:tbl>
    <w:p w:rsidR="00D94698" w:rsidRPr="00B53423" w:rsidRDefault="00D94698" w:rsidP="0015232B">
      <w:pPr>
        <w:tabs>
          <w:tab w:val="left" w:pos="360"/>
        </w:tabs>
        <w:spacing w:before="60" w:after="120"/>
        <w:ind w:right="29"/>
      </w:pPr>
      <w:r w:rsidRPr="00B53423">
        <w:rPr>
          <w:b/>
        </w:rPr>
        <w:tab/>
      </w:r>
      <w:r w:rsidRPr="00B53423">
        <w:t xml:space="preserve"> </w:t>
      </w:r>
    </w:p>
    <w:p w:rsidR="00D94698" w:rsidRPr="00B53423" w:rsidRDefault="00D94698" w:rsidP="0015232B">
      <w:pPr>
        <w:tabs>
          <w:tab w:val="left" w:pos="360"/>
        </w:tabs>
        <w:spacing w:before="60" w:after="120"/>
        <w:ind w:right="29"/>
        <w:jc w:val="center"/>
        <w:rPr>
          <w:b/>
        </w:rPr>
      </w:pPr>
      <w:r w:rsidRPr="00B53423">
        <w:rPr>
          <w:b/>
        </w:rPr>
        <w:t>TOD Rates applicable for the metered supply (% of Energy Charges):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2976"/>
      </w:tblGrid>
      <w:tr w:rsidR="00D94698" w:rsidRPr="00B53423" w:rsidTr="00E93F0F">
        <w:trPr>
          <w:jc w:val="center"/>
        </w:trPr>
        <w:tc>
          <w:tcPr>
            <w:tcW w:w="2947" w:type="dxa"/>
          </w:tcPr>
          <w:p w:rsidR="00D94698" w:rsidRPr="00B53423" w:rsidRDefault="00D94698" w:rsidP="0015232B">
            <w:pPr>
              <w:tabs>
                <w:tab w:val="left" w:pos="360"/>
              </w:tabs>
              <w:spacing w:before="60" w:after="120"/>
              <w:ind w:right="29"/>
            </w:pPr>
            <w:r w:rsidRPr="00B53423">
              <w:t>18:00 hrs – 06:00 hrs</w:t>
            </w:r>
          </w:p>
        </w:tc>
        <w:tc>
          <w:tcPr>
            <w:tcW w:w="2976" w:type="dxa"/>
          </w:tcPr>
          <w:p w:rsidR="00D94698" w:rsidRPr="00B53423" w:rsidRDefault="00D94698" w:rsidP="0015232B">
            <w:pPr>
              <w:tabs>
                <w:tab w:val="left" w:pos="360"/>
              </w:tabs>
              <w:spacing w:before="60" w:after="120"/>
              <w:ind w:right="29"/>
            </w:pPr>
            <w:r w:rsidRPr="00B53423">
              <w:t xml:space="preserve">0% </w:t>
            </w:r>
          </w:p>
        </w:tc>
      </w:tr>
      <w:tr w:rsidR="00D94698" w:rsidRPr="00B53423" w:rsidTr="00E93F0F">
        <w:trPr>
          <w:jc w:val="center"/>
        </w:trPr>
        <w:tc>
          <w:tcPr>
            <w:tcW w:w="2947" w:type="dxa"/>
          </w:tcPr>
          <w:p w:rsidR="00D94698" w:rsidRPr="00B53423" w:rsidRDefault="00D94698" w:rsidP="0015232B">
            <w:pPr>
              <w:tabs>
                <w:tab w:val="left" w:pos="360"/>
              </w:tabs>
              <w:spacing w:before="60" w:after="120"/>
              <w:ind w:right="29"/>
            </w:pPr>
            <w:r w:rsidRPr="00B53423">
              <w:t>06:00 hrs – 18:00 hrs</w:t>
            </w:r>
          </w:p>
        </w:tc>
        <w:tc>
          <w:tcPr>
            <w:tcW w:w="2976" w:type="dxa"/>
          </w:tcPr>
          <w:p w:rsidR="00D94698" w:rsidRPr="00B53423" w:rsidRDefault="00D94698" w:rsidP="0015232B">
            <w:pPr>
              <w:tabs>
                <w:tab w:val="left" w:pos="360"/>
              </w:tabs>
              <w:spacing w:before="60" w:after="120"/>
              <w:ind w:right="29"/>
            </w:pPr>
            <w:r w:rsidRPr="00B53423">
              <w:t xml:space="preserve">(+) 20% </w:t>
            </w:r>
          </w:p>
        </w:tc>
      </w:tr>
    </w:tbl>
    <w:p w:rsidR="00D94698" w:rsidRPr="00B53423" w:rsidRDefault="00D94698" w:rsidP="0015232B">
      <w:pPr>
        <w:tabs>
          <w:tab w:val="left" w:pos="360"/>
        </w:tabs>
        <w:spacing w:before="60" w:after="120"/>
        <w:ind w:right="29"/>
      </w:pPr>
    </w:p>
    <w:p w:rsidR="00D94698" w:rsidRPr="00B53423" w:rsidRDefault="00D94698" w:rsidP="0015232B">
      <w:pPr>
        <w:tabs>
          <w:tab w:val="left" w:pos="360"/>
        </w:tabs>
        <w:spacing w:before="60" w:after="120"/>
        <w:ind w:left="360" w:right="29" w:hanging="360"/>
        <w:rPr>
          <w:b/>
          <w:bCs/>
          <w:u w:val="single"/>
        </w:rPr>
      </w:pPr>
      <w:r w:rsidRPr="00B53423">
        <w:rPr>
          <w:b/>
        </w:rPr>
        <w:t>4.</w:t>
      </w:r>
      <w:r w:rsidRPr="00B53423">
        <w:rPr>
          <w:b/>
        </w:rPr>
        <w:tab/>
      </w:r>
      <w:r w:rsidRPr="00B53423">
        <w:t xml:space="preserve">For ‘Maintenance Charges’, ‘Provision of Lamps’ and ‘Verification of Load’ refer </w:t>
      </w:r>
      <w:r w:rsidR="00BC60A3" w:rsidRPr="00B53423">
        <w:rPr>
          <w:b/>
        </w:rPr>
        <w:t xml:space="preserve">ANNEXURE </w:t>
      </w:r>
      <w:fldSimple w:instr=" REF _Ref399326979 \r \h  \* MERGEFORMAT ">
        <w:r w:rsidR="00847C1B" w:rsidRPr="00847C1B">
          <w:rPr>
            <w:b/>
            <w:szCs w:val="22"/>
          </w:rPr>
          <w:t>15.2.2</w:t>
        </w:r>
      </w:fldSimple>
      <w:r w:rsidRPr="00B53423">
        <w:rPr>
          <w:b/>
          <w:szCs w:val="22"/>
        </w:rPr>
        <w:t>.</w:t>
      </w:r>
    </w:p>
    <w:p w:rsidR="00D94698" w:rsidRPr="00B53423" w:rsidRDefault="00D94698" w:rsidP="0015232B">
      <w:pPr>
        <w:tabs>
          <w:tab w:val="left" w:pos="8280"/>
        </w:tabs>
        <w:spacing w:before="60" w:after="120"/>
        <w:ind w:right="29"/>
        <w:jc w:val="center"/>
        <w:rPr>
          <w:b/>
          <w:u w:val="single"/>
        </w:rPr>
      </w:pPr>
      <w:r w:rsidRPr="00B53423">
        <w:rPr>
          <w:b/>
          <w:bCs/>
          <w:u w:val="single"/>
        </w:rPr>
        <w:br w:type="page"/>
      </w:r>
      <w:r w:rsidRPr="00B53423">
        <w:rPr>
          <w:b/>
          <w:u w:val="single"/>
        </w:rPr>
        <w:t>RATE SCHEDULE LMV– 4:</w:t>
      </w:r>
    </w:p>
    <w:p w:rsidR="00D94698" w:rsidRPr="00B53423" w:rsidRDefault="00D94698" w:rsidP="0015232B">
      <w:pPr>
        <w:jc w:val="center"/>
        <w:rPr>
          <w:b/>
        </w:rPr>
      </w:pPr>
    </w:p>
    <w:p w:rsidR="00D94698" w:rsidRPr="00B53423" w:rsidRDefault="00D94698" w:rsidP="0015232B">
      <w:pPr>
        <w:jc w:val="center"/>
        <w:rPr>
          <w:b/>
        </w:rPr>
      </w:pPr>
      <w:r w:rsidRPr="00B53423">
        <w:rPr>
          <w:b/>
        </w:rPr>
        <w:t>LIGHT, FAN &amp; POWER FOR PUBLIC INSTITUTIONS AND PRIVATE INSTITUTIONS:</w:t>
      </w:r>
    </w:p>
    <w:p w:rsidR="00D94698" w:rsidRPr="00B53423" w:rsidRDefault="00D94698" w:rsidP="0015232B">
      <w:pPr>
        <w:jc w:val="center"/>
        <w:rPr>
          <w:b/>
        </w:rPr>
      </w:pPr>
    </w:p>
    <w:p w:rsidR="00D94698" w:rsidRPr="00B53423" w:rsidRDefault="00D94698" w:rsidP="0015232B">
      <w:pPr>
        <w:rPr>
          <w:b/>
        </w:rPr>
      </w:pPr>
      <w:r w:rsidRPr="00B53423">
        <w:rPr>
          <w:b/>
        </w:rPr>
        <w:t>1.</w:t>
      </w:r>
      <w:r w:rsidRPr="00B53423">
        <w:rPr>
          <w:b/>
        </w:rPr>
        <w:tab/>
        <w:t>APPLICABILITY:</w:t>
      </w:r>
    </w:p>
    <w:p w:rsidR="00D94698" w:rsidRPr="00B53423" w:rsidRDefault="00D94698" w:rsidP="0015232B">
      <w:pPr>
        <w:tabs>
          <w:tab w:val="left" w:pos="540"/>
        </w:tabs>
        <w:spacing w:before="60" w:after="120"/>
        <w:ind w:right="-61"/>
      </w:pPr>
      <w:r w:rsidRPr="00B53423">
        <w:rPr>
          <w:b/>
        </w:rPr>
        <w:tab/>
      </w:r>
      <w:r w:rsidRPr="00B53423">
        <w:rPr>
          <w:b/>
        </w:rPr>
        <w:tab/>
        <w:t>LMV- 4 (A) - PUBLIC INSTITUTIONS:</w:t>
      </w:r>
    </w:p>
    <w:p w:rsidR="00D94698" w:rsidRPr="00B53423" w:rsidRDefault="00D94698" w:rsidP="0015232B">
      <w:pPr>
        <w:spacing w:before="60" w:after="120"/>
        <w:ind w:left="540" w:right="-61"/>
      </w:pPr>
      <w:r w:rsidRPr="00B53423">
        <w:tab/>
        <w:t>This schedule shall apply to:</w:t>
      </w:r>
    </w:p>
    <w:p w:rsidR="00D94698" w:rsidRPr="00B53423" w:rsidRDefault="00D94698" w:rsidP="0015232B">
      <w:pPr>
        <w:spacing w:before="60" w:after="120"/>
        <w:ind w:left="1440" w:right="-58" w:hanging="720"/>
      </w:pPr>
      <w:r w:rsidRPr="00B53423">
        <w:t xml:space="preserve">(a) </w:t>
      </w:r>
      <w:r w:rsidRPr="00B53423">
        <w:tab/>
      </w:r>
      <w:smartTag w:uri="urn:schemas-microsoft-com:office:smarttags" w:element="place">
        <w:smartTag w:uri="urn:schemas-microsoft-com:office:smarttags" w:element="PlaceName">
          <w:r w:rsidRPr="00B53423">
            <w:t>Government</w:t>
          </w:r>
        </w:smartTag>
        <w:r w:rsidRPr="00B53423">
          <w:t xml:space="preserve"> </w:t>
        </w:r>
        <w:smartTag w:uri="urn:schemas-microsoft-com:office:smarttags" w:element="PlaceType">
          <w:r w:rsidRPr="00B53423">
            <w:t>Hospitals</w:t>
          </w:r>
        </w:smartTag>
      </w:smartTag>
      <w:r w:rsidRPr="00B53423">
        <w:t xml:space="preserve"> / Government Research Institutions / Offices of the Government Organizations other than companies registered under Companies Act 1956.</w:t>
      </w:r>
    </w:p>
    <w:p w:rsidR="00D94698" w:rsidRPr="00B53423" w:rsidRDefault="00D94698" w:rsidP="0015232B">
      <w:pPr>
        <w:spacing w:before="60" w:after="120"/>
        <w:ind w:left="1440" w:right="-58" w:hanging="720"/>
      </w:pPr>
      <w:r w:rsidRPr="00B53423">
        <w:t xml:space="preserve">(b) </w:t>
      </w:r>
      <w:r w:rsidRPr="00B53423">
        <w:tab/>
        <w:t>Government &amp; Government aided (i) Educational Institutions (ii) Hostels (iii) Libraries</w:t>
      </w:r>
    </w:p>
    <w:p w:rsidR="00D94698" w:rsidRPr="00B53423" w:rsidRDefault="00D94698" w:rsidP="000174C0">
      <w:pPr>
        <w:numPr>
          <w:ilvl w:val="0"/>
          <w:numId w:val="90"/>
        </w:numPr>
        <w:tabs>
          <w:tab w:val="clear" w:pos="720"/>
          <w:tab w:val="num" w:pos="900"/>
          <w:tab w:val="num" w:pos="1440"/>
        </w:tabs>
        <w:spacing w:before="60" w:after="120" w:line="288" w:lineRule="auto"/>
        <w:ind w:left="1440" w:right="-58" w:hanging="720"/>
      </w:pPr>
      <w:r w:rsidRPr="00B53423">
        <w:t xml:space="preserve">Religious and charitable Institutions including orphanage homes, old age homes and those providing services free of cost or at the charges / structure of charges not exceeding those in similar Government operated institutions. </w:t>
      </w:r>
    </w:p>
    <w:p w:rsidR="00D94698" w:rsidRPr="00B53423" w:rsidRDefault="00D94698" w:rsidP="000174C0">
      <w:pPr>
        <w:numPr>
          <w:ilvl w:val="0"/>
          <w:numId w:val="90"/>
        </w:numPr>
        <w:tabs>
          <w:tab w:val="clear" w:pos="720"/>
          <w:tab w:val="num" w:pos="900"/>
          <w:tab w:val="num" w:pos="1440"/>
        </w:tabs>
        <w:spacing w:before="60" w:after="120" w:line="288" w:lineRule="auto"/>
        <w:ind w:left="1440" w:right="-58" w:hanging="720"/>
      </w:pPr>
      <w:r w:rsidRPr="00B53423">
        <w:t xml:space="preserve">Railway Establishments (excluding railway traction, industrial premises &amp; Metro) such as Booking Centres, Railway Stations &amp; Railway Research and Development Organization, Railway rest houses, Railway holiday homes, Railway inspection houses. </w:t>
      </w:r>
    </w:p>
    <w:p w:rsidR="00D94698" w:rsidRPr="00B53423" w:rsidRDefault="00D94698" w:rsidP="000174C0">
      <w:pPr>
        <w:numPr>
          <w:ilvl w:val="0"/>
          <w:numId w:val="90"/>
        </w:numPr>
        <w:tabs>
          <w:tab w:val="clear" w:pos="720"/>
          <w:tab w:val="num" w:pos="900"/>
          <w:tab w:val="num" w:pos="1440"/>
        </w:tabs>
        <w:spacing w:before="60" w:after="120" w:line="288" w:lineRule="auto"/>
        <w:ind w:left="1440" w:right="-58" w:hanging="720"/>
      </w:pPr>
      <w:r w:rsidRPr="00B53423">
        <w:t xml:space="preserve">All </w:t>
      </w:r>
      <w:smartTag w:uri="urn:schemas-microsoft-com:office:smarttags" w:element="place">
        <w:smartTag w:uri="urn:schemas-microsoft-com:office:smarttags" w:element="country-region">
          <w:r w:rsidRPr="00B53423">
            <w:t>India</w:t>
          </w:r>
        </w:smartTag>
      </w:smartTag>
      <w:r w:rsidRPr="00B53423">
        <w:t xml:space="preserve"> Radio and Doordarshan.</w:t>
      </w:r>
    </w:p>
    <w:p w:rsidR="00D94698" w:rsidRPr="00B53423" w:rsidRDefault="00D94698" w:rsidP="0015232B">
      <w:pPr>
        <w:tabs>
          <w:tab w:val="num" w:pos="1440"/>
        </w:tabs>
        <w:spacing w:before="60" w:after="120"/>
        <w:ind w:left="720" w:right="-58"/>
      </w:pPr>
    </w:p>
    <w:p w:rsidR="00D94698" w:rsidRPr="00B53423" w:rsidRDefault="00D94698" w:rsidP="0015232B">
      <w:pPr>
        <w:tabs>
          <w:tab w:val="left" w:pos="720"/>
        </w:tabs>
        <w:spacing w:before="60" w:after="120"/>
        <w:ind w:right="-61"/>
        <w:rPr>
          <w:b/>
        </w:rPr>
      </w:pPr>
      <w:r w:rsidRPr="00B53423">
        <w:rPr>
          <w:b/>
        </w:rPr>
        <w:tab/>
        <w:t>LMV-4 (B) - PRIVATE INSTITUTIONS:</w:t>
      </w:r>
    </w:p>
    <w:p w:rsidR="00D94698" w:rsidRPr="00B53423" w:rsidRDefault="00D94698" w:rsidP="0015232B">
      <w:pPr>
        <w:tabs>
          <w:tab w:val="left" w:pos="360"/>
        </w:tabs>
        <w:spacing w:before="60" w:after="120"/>
        <w:ind w:left="720" w:right="-61"/>
        <w:rPr>
          <w:b/>
        </w:rPr>
      </w:pPr>
      <w:r w:rsidRPr="00B53423">
        <w:t xml:space="preserve">This schedule shall apply to non-Government hospitals, nursing homes / dispensaries / clinics, private research institutes, and schools / colleges / educational institutes &amp; charitable institutions / trusts not covered under </w:t>
      </w:r>
      <w:r w:rsidRPr="00B53423">
        <w:rPr>
          <w:b/>
        </w:rPr>
        <w:t>(A)</w:t>
      </w:r>
      <w:r w:rsidRPr="00B53423">
        <w:t xml:space="preserve"> above</w:t>
      </w:r>
      <w:r w:rsidRPr="00B53423">
        <w:rPr>
          <w:b/>
        </w:rPr>
        <w:t>.</w:t>
      </w:r>
    </w:p>
    <w:p w:rsidR="00D94698" w:rsidRPr="00B53423" w:rsidRDefault="00D94698" w:rsidP="0015232B">
      <w:pPr>
        <w:tabs>
          <w:tab w:val="left" w:pos="360"/>
        </w:tabs>
        <w:spacing w:before="60" w:after="120"/>
        <w:ind w:left="720" w:right="-61"/>
        <w:rPr>
          <w:b/>
        </w:rPr>
      </w:pPr>
    </w:p>
    <w:p w:rsidR="00D94698" w:rsidRPr="00B53423" w:rsidRDefault="00D94698" w:rsidP="0015232B">
      <w:pPr>
        <w:ind w:left="720" w:hanging="720"/>
      </w:pPr>
      <w:r w:rsidRPr="00B53423">
        <w:rPr>
          <w:b/>
        </w:rPr>
        <w:t>2</w:t>
      </w:r>
      <w:r w:rsidRPr="00B53423">
        <w:t xml:space="preserve">. </w:t>
      </w:r>
      <w:r w:rsidRPr="00B53423">
        <w:rPr>
          <w:b/>
        </w:rPr>
        <w:t xml:space="preserve"> </w:t>
      </w:r>
      <w:r w:rsidRPr="00B53423">
        <w:rPr>
          <w:b/>
        </w:rPr>
        <w:tab/>
        <w:t>CHARACTER AND POINT OF SUPPLY</w:t>
      </w:r>
      <w:r w:rsidRPr="00B53423">
        <w:t xml:space="preserve">: </w:t>
      </w:r>
    </w:p>
    <w:p w:rsidR="00D94698" w:rsidRPr="00B53423" w:rsidRDefault="00D94698" w:rsidP="0015232B">
      <w:pPr>
        <w:spacing w:line="240" w:lineRule="auto"/>
        <w:ind w:left="360" w:right="-58" w:firstLine="360"/>
        <w:rPr>
          <w:rFonts w:cs="Arial"/>
        </w:rPr>
      </w:pPr>
      <w:proofErr w:type="gramStart"/>
      <w:r w:rsidRPr="00B53423">
        <w:t>As per the applicable provisions of Electricity Supply Code.</w:t>
      </w:r>
      <w:proofErr w:type="gramEnd"/>
    </w:p>
    <w:p w:rsidR="00D94698" w:rsidRPr="00B53423" w:rsidRDefault="00D94698" w:rsidP="0015232B">
      <w:pPr>
        <w:ind w:left="720" w:hanging="360"/>
      </w:pPr>
    </w:p>
    <w:p w:rsidR="00D94698" w:rsidRPr="00B53423" w:rsidRDefault="00D94698" w:rsidP="0015232B">
      <w:pPr>
        <w:rPr>
          <w:b/>
        </w:rPr>
      </w:pPr>
      <w:r w:rsidRPr="00B53423">
        <w:rPr>
          <w:b/>
        </w:rPr>
        <w:t>3.</w:t>
      </w:r>
      <w:r w:rsidRPr="00B53423">
        <w:rPr>
          <w:b/>
        </w:rPr>
        <w:tab/>
        <w:t>RATE:</w:t>
      </w:r>
    </w:p>
    <w:p w:rsidR="00D94698" w:rsidRPr="00B53423" w:rsidRDefault="00D94698" w:rsidP="0015232B">
      <w:pPr>
        <w:spacing w:after="240"/>
        <w:ind w:left="720"/>
      </w:pPr>
      <w:r w:rsidRPr="00B53423">
        <w:t>Rate, gives the fixed and energy charges at which the consumer shall be billed for his consumption during the billing period applicable to the category:</w:t>
      </w:r>
    </w:p>
    <w:tbl>
      <w:tblPr>
        <w:tblW w:w="8224" w:type="dxa"/>
        <w:jc w:val="right"/>
        <w:tblInd w:w="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70"/>
        <w:gridCol w:w="1607"/>
        <w:gridCol w:w="4647"/>
      </w:tblGrid>
      <w:tr w:rsidR="00D94698" w:rsidRPr="00B53423" w:rsidTr="00F42C8B">
        <w:trPr>
          <w:jc w:val="right"/>
        </w:trPr>
        <w:tc>
          <w:tcPr>
            <w:tcW w:w="1970" w:type="dxa"/>
            <w:shd w:val="pct12" w:color="auto" w:fill="auto"/>
          </w:tcPr>
          <w:p w:rsidR="00D94698" w:rsidRPr="00B53423" w:rsidRDefault="00D94698" w:rsidP="0015232B">
            <w:pPr>
              <w:tabs>
                <w:tab w:val="left" w:pos="360"/>
              </w:tabs>
              <w:ind w:right="612"/>
              <w:rPr>
                <w:rFonts w:cs="Arial"/>
                <w:b/>
              </w:rPr>
            </w:pPr>
            <w:r w:rsidRPr="00B53423">
              <w:rPr>
                <w:rFonts w:cs="Arial"/>
                <w:b/>
              </w:rPr>
              <w:t>Description</w:t>
            </w:r>
          </w:p>
        </w:tc>
        <w:tc>
          <w:tcPr>
            <w:tcW w:w="1607" w:type="dxa"/>
            <w:shd w:val="pct12" w:color="auto" w:fill="auto"/>
          </w:tcPr>
          <w:p w:rsidR="00D94698" w:rsidRPr="00B53423" w:rsidRDefault="00D94698" w:rsidP="0015232B">
            <w:pPr>
              <w:tabs>
                <w:tab w:val="left" w:pos="360"/>
              </w:tabs>
              <w:ind w:right="72"/>
              <w:jc w:val="center"/>
              <w:rPr>
                <w:rFonts w:cs="Arial"/>
                <w:b/>
              </w:rPr>
            </w:pPr>
            <w:r w:rsidRPr="00B53423">
              <w:rPr>
                <w:rFonts w:cs="Arial"/>
                <w:b/>
              </w:rPr>
              <w:t>Fixed Charge</w:t>
            </w:r>
          </w:p>
        </w:tc>
        <w:tc>
          <w:tcPr>
            <w:tcW w:w="4647" w:type="dxa"/>
            <w:shd w:val="pct12" w:color="auto" w:fill="auto"/>
          </w:tcPr>
          <w:p w:rsidR="00D94698" w:rsidRPr="00B53423" w:rsidRDefault="00D94698" w:rsidP="0015232B">
            <w:pPr>
              <w:pStyle w:val="Header"/>
              <w:tabs>
                <w:tab w:val="clear" w:pos="4320"/>
                <w:tab w:val="clear" w:pos="8640"/>
                <w:tab w:val="left" w:pos="360"/>
              </w:tabs>
              <w:jc w:val="center"/>
              <w:rPr>
                <w:rFonts w:cs="Arial"/>
                <w:bCs/>
              </w:rPr>
            </w:pPr>
            <w:r w:rsidRPr="00B53423">
              <w:rPr>
                <w:rFonts w:cs="Arial"/>
                <w:b/>
              </w:rPr>
              <w:t>Energy Charge</w:t>
            </w:r>
          </w:p>
        </w:tc>
      </w:tr>
      <w:tr w:rsidR="00D94698" w:rsidRPr="00B53423" w:rsidTr="00F42C8B">
        <w:trPr>
          <w:jc w:val="right"/>
        </w:trPr>
        <w:tc>
          <w:tcPr>
            <w:tcW w:w="1970" w:type="dxa"/>
            <w:vMerge w:val="restart"/>
          </w:tcPr>
          <w:p w:rsidR="00D94698" w:rsidRPr="00B53423" w:rsidRDefault="00D94698" w:rsidP="0015232B">
            <w:pPr>
              <w:pStyle w:val="Header"/>
              <w:tabs>
                <w:tab w:val="clear" w:pos="4320"/>
                <w:tab w:val="clear" w:pos="8640"/>
                <w:tab w:val="left" w:pos="360"/>
              </w:tabs>
              <w:rPr>
                <w:rFonts w:cs="Arial"/>
                <w:bCs/>
              </w:rPr>
            </w:pPr>
            <w:r w:rsidRPr="00B53423">
              <w:rPr>
                <w:rFonts w:cs="Arial"/>
                <w:b/>
                <w:bCs/>
              </w:rPr>
              <w:t>(A) For Public Institutions</w:t>
            </w:r>
          </w:p>
          <w:p w:rsidR="00D94698" w:rsidRPr="00B53423" w:rsidRDefault="00D94698" w:rsidP="0015232B">
            <w:pPr>
              <w:pStyle w:val="Header"/>
              <w:tabs>
                <w:tab w:val="left" w:pos="360"/>
              </w:tabs>
              <w:rPr>
                <w:rFonts w:cs="Arial"/>
                <w:bCs/>
              </w:rPr>
            </w:pPr>
          </w:p>
        </w:tc>
        <w:tc>
          <w:tcPr>
            <w:tcW w:w="1607" w:type="dxa"/>
            <w:vMerge w:val="restart"/>
            <w:vAlign w:val="center"/>
          </w:tcPr>
          <w:p w:rsidR="00D94698" w:rsidRPr="00B53423" w:rsidRDefault="00D94698" w:rsidP="0015232B">
            <w:pPr>
              <w:pStyle w:val="Header"/>
              <w:tabs>
                <w:tab w:val="clear" w:pos="4320"/>
                <w:tab w:val="clear" w:pos="8640"/>
                <w:tab w:val="left" w:pos="360"/>
              </w:tabs>
              <w:jc w:val="center"/>
              <w:rPr>
                <w:rFonts w:cs="Arial"/>
                <w:bCs/>
              </w:rPr>
            </w:pPr>
            <w:r w:rsidRPr="00B53423">
              <w:rPr>
                <w:rFonts w:cs="Arial"/>
                <w:bCs/>
              </w:rPr>
              <w:t>Rs. 200 / kW / month</w:t>
            </w:r>
          </w:p>
          <w:p w:rsidR="00D94698" w:rsidRPr="00B53423" w:rsidRDefault="00D94698" w:rsidP="0015232B">
            <w:pPr>
              <w:pStyle w:val="Header"/>
              <w:tabs>
                <w:tab w:val="left" w:pos="360"/>
              </w:tabs>
              <w:jc w:val="center"/>
              <w:rPr>
                <w:rFonts w:cs="Arial"/>
                <w:bCs/>
              </w:rPr>
            </w:pPr>
          </w:p>
        </w:tc>
        <w:tc>
          <w:tcPr>
            <w:tcW w:w="4647" w:type="dxa"/>
          </w:tcPr>
          <w:p w:rsidR="00D94698" w:rsidRPr="00B53423" w:rsidRDefault="00D94698" w:rsidP="0015232B">
            <w:pPr>
              <w:pStyle w:val="Header"/>
              <w:tabs>
                <w:tab w:val="clear" w:pos="4320"/>
                <w:tab w:val="clear" w:pos="8640"/>
                <w:tab w:val="left" w:pos="360"/>
              </w:tabs>
              <w:rPr>
                <w:rFonts w:cs="Arial"/>
                <w:bCs/>
              </w:rPr>
            </w:pPr>
            <w:r w:rsidRPr="00B53423">
              <w:rPr>
                <w:rFonts w:cs="Arial"/>
                <w:bCs/>
              </w:rPr>
              <w:t>0 – 1000 kWh / month – Rs. 6.</w:t>
            </w:r>
            <w:r w:rsidRPr="00B53423">
              <w:t>50</w:t>
            </w:r>
            <w:r w:rsidRPr="00B53423">
              <w:rPr>
                <w:rFonts w:cs="Arial"/>
                <w:bCs/>
              </w:rPr>
              <w:t xml:space="preserve"> / kWh</w:t>
            </w:r>
          </w:p>
        </w:tc>
      </w:tr>
      <w:tr w:rsidR="00D94698" w:rsidRPr="00B53423" w:rsidTr="00F42C8B">
        <w:trPr>
          <w:jc w:val="right"/>
        </w:trPr>
        <w:tc>
          <w:tcPr>
            <w:tcW w:w="1970" w:type="dxa"/>
            <w:vMerge/>
          </w:tcPr>
          <w:p w:rsidR="00D94698" w:rsidRPr="00B53423" w:rsidRDefault="00D94698" w:rsidP="0015232B">
            <w:pPr>
              <w:pStyle w:val="Header"/>
              <w:tabs>
                <w:tab w:val="clear" w:pos="4320"/>
                <w:tab w:val="clear" w:pos="8640"/>
                <w:tab w:val="left" w:pos="360"/>
              </w:tabs>
              <w:rPr>
                <w:b/>
              </w:rPr>
            </w:pPr>
          </w:p>
        </w:tc>
        <w:tc>
          <w:tcPr>
            <w:tcW w:w="1607" w:type="dxa"/>
            <w:vMerge/>
            <w:vAlign w:val="center"/>
          </w:tcPr>
          <w:p w:rsidR="00D94698" w:rsidRPr="00B53423" w:rsidRDefault="00D94698" w:rsidP="0015232B">
            <w:pPr>
              <w:pStyle w:val="Header"/>
              <w:tabs>
                <w:tab w:val="clear" w:pos="4320"/>
                <w:tab w:val="clear" w:pos="8640"/>
                <w:tab w:val="left" w:pos="360"/>
              </w:tabs>
              <w:jc w:val="center"/>
              <w:rPr>
                <w:rFonts w:cs="Arial"/>
                <w:bCs/>
              </w:rPr>
            </w:pPr>
          </w:p>
        </w:tc>
        <w:tc>
          <w:tcPr>
            <w:tcW w:w="4647" w:type="dxa"/>
          </w:tcPr>
          <w:p w:rsidR="00D94698" w:rsidRPr="00B53423" w:rsidRDefault="00D94698" w:rsidP="0015232B">
            <w:pPr>
              <w:pStyle w:val="Header"/>
              <w:tabs>
                <w:tab w:val="clear" w:pos="4320"/>
                <w:tab w:val="clear" w:pos="8640"/>
                <w:tab w:val="left" w:pos="360"/>
              </w:tabs>
              <w:rPr>
                <w:rFonts w:cs="Arial"/>
                <w:bCs/>
              </w:rPr>
            </w:pPr>
            <w:r w:rsidRPr="00B53423">
              <w:rPr>
                <w:rFonts w:cs="Arial"/>
                <w:bCs/>
              </w:rPr>
              <w:t>Above 1000 kWh / month – Rs. 6.80  / kWh</w:t>
            </w:r>
          </w:p>
        </w:tc>
      </w:tr>
      <w:tr w:rsidR="00D94698" w:rsidRPr="00B53423" w:rsidTr="00F42C8B">
        <w:trPr>
          <w:jc w:val="right"/>
        </w:trPr>
        <w:tc>
          <w:tcPr>
            <w:tcW w:w="1970" w:type="dxa"/>
            <w:vMerge w:val="restart"/>
          </w:tcPr>
          <w:p w:rsidR="00D94698" w:rsidRPr="00B53423" w:rsidRDefault="00D94698" w:rsidP="0015232B">
            <w:pPr>
              <w:tabs>
                <w:tab w:val="left" w:pos="360"/>
              </w:tabs>
              <w:ind w:right="6"/>
              <w:rPr>
                <w:rFonts w:cs="Arial"/>
                <w:bCs/>
                <w:strike/>
              </w:rPr>
            </w:pPr>
            <w:r w:rsidRPr="00B53423">
              <w:rPr>
                <w:rFonts w:cs="Arial"/>
                <w:b/>
                <w:bCs/>
              </w:rPr>
              <w:t>(B) For Private Institutions</w:t>
            </w:r>
          </w:p>
        </w:tc>
        <w:tc>
          <w:tcPr>
            <w:tcW w:w="1607" w:type="dxa"/>
            <w:vMerge w:val="restart"/>
            <w:vAlign w:val="center"/>
          </w:tcPr>
          <w:p w:rsidR="00D94698" w:rsidRPr="00B53423" w:rsidRDefault="00D94698" w:rsidP="0015232B">
            <w:pPr>
              <w:pStyle w:val="Header"/>
              <w:tabs>
                <w:tab w:val="clear" w:pos="4320"/>
                <w:tab w:val="clear" w:pos="8640"/>
                <w:tab w:val="left" w:pos="360"/>
              </w:tabs>
              <w:jc w:val="center"/>
              <w:rPr>
                <w:rFonts w:cs="Arial"/>
                <w:bCs/>
              </w:rPr>
            </w:pPr>
            <w:r w:rsidRPr="00B53423">
              <w:rPr>
                <w:rFonts w:cs="Arial"/>
                <w:bCs/>
              </w:rPr>
              <w:t>Rs. 200 / kW / month</w:t>
            </w:r>
          </w:p>
        </w:tc>
        <w:tc>
          <w:tcPr>
            <w:tcW w:w="4647" w:type="dxa"/>
          </w:tcPr>
          <w:p w:rsidR="00D94698" w:rsidRPr="00B53423" w:rsidRDefault="00D94698" w:rsidP="0015232B">
            <w:pPr>
              <w:pStyle w:val="Header"/>
              <w:tabs>
                <w:tab w:val="clear" w:pos="4320"/>
                <w:tab w:val="clear" w:pos="8640"/>
                <w:tab w:val="left" w:pos="360"/>
              </w:tabs>
              <w:rPr>
                <w:rFonts w:cs="Arial"/>
                <w:bCs/>
              </w:rPr>
            </w:pPr>
            <w:r w:rsidRPr="00B53423">
              <w:rPr>
                <w:rFonts w:cs="Arial"/>
                <w:bCs/>
              </w:rPr>
              <w:t>0 – 1000 kWh / month – Rs. 6.80 / kWh</w:t>
            </w:r>
          </w:p>
        </w:tc>
      </w:tr>
      <w:tr w:rsidR="00D94698" w:rsidRPr="00B53423" w:rsidTr="00F42C8B">
        <w:trPr>
          <w:jc w:val="right"/>
        </w:trPr>
        <w:tc>
          <w:tcPr>
            <w:tcW w:w="1970" w:type="dxa"/>
            <w:vMerge/>
          </w:tcPr>
          <w:p w:rsidR="00D94698" w:rsidRPr="00B53423" w:rsidRDefault="00D94698" w:rsidP="0015232B">
            <w:pPr>
              <w:tabs>
                <w:tab w:val="left" w:pos="360"/>
              </w:tabs>
              <w:ind w:right="6"/>
              <w:rPr>
                <w:rFonts w:cs="Arial"/>
                <w:b/>
                <w:bCs/>
              </w:rPr>
            </w:pPr>
          </w:p>
        </w:tc>
        <w:tc>
          <w:tcPr>
            <w:tcW w:w="1607" w:type="dxa"/>
            <w:vMerge/>
          </w:tcPr>
          <w:p w:rsidR="00D94698" w:rsidRPr="00B53423" w:rsidRDefault="00D94698" w:rsidP="0015232B">
            <w:pPr>
              <w:pStyle w:val="Header"/>
              <w:tabs>
                <w:tab w:val="clear" w:pos="4320"/>
                <w:tab w:val="clear" w:pos="8640"/>
                <w:tab w:val="left" w:pos="360"/>
              </w:tabs>
              <w:rPr>
                <w:rFonts w:cs="Arial"/>
                <w:bCs/>
              </w:rPr>
            </w:pPr>
          </w:p>
        </w:tc>
        <w:tc>
          <w:tcPr>
            <w:tcW w:w="4647" w:type="dxa"/>
          </w:tcPr>
          <w:p w:rsidR="00D94698" w:rsidRPr="00B53423" w:rsidRDefault="00D94698" w:rsidP="0015232B">
            <w:pPr>
              <w:pStyle w:val="Header"/>
              <w:tabs>
                <w:tab w:val="clear" w:pos="4320"/>
                <w:tab w:val="clear" w:pos="8640"/>
                <w:tab w:val="left" w:pos="360"/>
              </w:tabs>
              <w:rPr>
                <w:rFonts w:cs="Arial"/>
                <w:bCs/>
              </w:rPr>
            </w:pPr>
            <w:r w:rsidRPr="00B53423">
              <w:rPr>
                <w:rFonts w:cs="Arial"/>
                <w:bCs/>
              </w:rPr>
              <w:t>Above 1000 kWh / month – Rs. 7.10 / kWh</w:t>
            </w:r>
          </w:p>
        </w:tc>
      </w:tr>
    </w:tbl>
    <w:p w:rsidR="00D94698" w:rsidRPr="00B53423" w:rsidRDefault="00D94698" w:rsidP="0015232B">
      <w:pPr>
        <w:spacing w:before="60" w:after="120"/>
        <w:ind w:right="-61"/>
        <w:rPr>
          <w:b/>
          <w:bCs/>
          <w:u w:val="single"/>
        </w:rPr>
      </w:pPr>
    </w:p>
    <w:p w:rsidR="00D94698" w:rsidRPr="00B53423" w:rsidRDefault="00D94698" w:rsidP="0015232B">
      <w:pPr>
        <w:spacing w:before="60" w:after="120"/>
        <w:ind w:right="-61"/>
        <w:rPr>
          <w:b/>
          <w:bCs/>
          <w:u w:val="single"/>
        </w:rPr>
      </w:pPr>
    </w:p>
    <w:p w:rsidR="00D94698" w:rsidRPr="00B53423" w:rsidRDefault="00D94698" w:rsidP="0015232B">
      <w:pPr>
        <w:spacing w:before="60" w:after="120"/>
        <w:ind w:right="-61"/>
        <w:rPr>
          <w:b/>
          <w:bCs/>
          <w:u w:val="single"/>
        </w:rPr>
      </w:pPr>
    </w:p>
    <w:p w:rsidR="00D94698" w:rsidRPr="00B53423" w:rsidRDefault="00D94698" w:rsidP="0015232B">
      <w:pPr>
        <w:spacing w:before="60" w:after="120"/>
        <w:ind w:right="-61"/>
        <w:jc w:val="center"/>
        <w:rPr>
          <w:b/>
          <w:u w:val="single"/>
        </w:rPr>
      </w:pPr>
      <w:r w:rsidRPr="00B53423">
        <w:rPr>
          <w:b/>
          <w:bCs/>
          <w:u w:val="single"/>
        </w:rPr>
        <w:br w:type="page"/>
      </w:r>
      <w:r w:rsidRPr="00B53423">
        <w:rPr>
          <w:b/>
          <w:u w:val="single"/>
        </w:rPr>
        <w:t>RATE SCHEDULE LMV– 5:</w:t>
      </w:r>
    </w:p>
    <w:p w:rsidR="00D94698" w:rsidRPr="00B53423" w:rsidRDefault="00D94698" w:rsidP="0015232B">
      <w:pPr>
        <w:jc w:val="center"/>
        <w:rPr>
          <w:b/>
        </w:rPr>
      </w:pPr>
    </w:p>
    <w:p w:rsidR="00D94698" w:rsidRPr="00B53423" w:rsidRDefault="00D94698" w:rsidP="0015232B">
      <w:pPr>
        <w:jc w:val="center"/>
        <w:rPr>
          <w:b/>
        </w:rPr>
      </w:pPr>
      <w:r w:rsidRPr="00B53423">
        <w:rPr>
          <w:b/>
        </w:rPr>
        <w:t>SMALL POWER FOR PRIVATE TUBE WELLS / PUMPING SETS FOR IRRIGATION PURPOSES:</w:t>
      </w:r>
    </w:p>
    <w:p w:rsidR="00D94698" w:rsidRPr="00B53423" w:rsidRDefault="00D94698" w:rsidP="0015232B">
      <w:pPr>
        <w:jc w:val="center"/>
        <w:rPr>
          <w:b/>
        </w:rPr>
      </w:pPr>
    </w:p>
    <w:p w:rsidR="00D94698" w:rsidRPr="00B53423" w:rsidRDefault="00D94698" w:rsidP="0015232B">
      <w:pPr>
        <w:rPr>
          <w:b/>
        </w:rPr>
      </w:pPr>
      <w:r w:rsidRPr="00B53423">
        <w:rPr>
          <w:b/>
        </w:rPr>
        <w:t>1.</w:t>
      </w:r>
      <w:r w:rsidRPr="00B53423">
        <w:rPr>
          <w:b/>
        </w:rPr>
        <w:tab/>
        <w:t xml:space="preserve"> APPLICABILITY:</w:t>
      </w:r>
    </w:p>
    <w:p w:rsidR="00D94698" w:rsidRPr="00B53423" w:rsidRDefault="00D94698" w:rsidP="0015232B">
      <w:pPr>
        <w:ind w:left="720"/>
      </w:pPr>
      <w:r w:rsidRPr="00B53423">
        <w:t xml:space="preserve">This schedule shall apply to all power consumers getting supply as per Rural / Urban Schedule for Private Tube-wells / Pumping Sets for irrigation purposes having a contracted load up to 25 BHP and for additional agricultural processes confined to Chaff-Cutter, Thresher, Cane Crusher and Rice Huller. All new connections under this category shall necessarily have the ISI marked energy efficient mono-bloc pump sets with power factor compensation capacitors of adequate rating to qualify for the supply. All existing pump sets shall be required to install power factor compensation capacitors. </w:t>
      </w:r>
    </w:p>
    <w:p w:rsidR="00D94698" w:rsidRPr="00B53423" w:rsidRDefault="00D94698" w:rsidP="0015232B">
      <w:pPr>
        <w:ind w:left="720"/>
      </w:pPr>
    </w:p>
    <w:p w:rsidR="00D94698" w:rsidRPr="00B53423" w:rsidRDefault="00D94698" w:rsidP="0015232B">
      <w:pPr>
        <w:rPr>
          <w:b/>
        </w:rPr>
      </w:pPr>
      <w:r w:rsidRPr="00B53423">
        <w:rPr>
          <w:b/>
        </w:rPr>
        <w:t xml:space="preserve">2. </w:t>
      </w:r>
      <w:r w:rsidRPr="00B53423">
        <w:rPr>
          <w:b/>
        </w:rPr>
        <w:tab/>
        <w:t xml:space="preserve">CHARACTER AND POINT OF SUPPLY: </w:t>
      </w:r>
    </w:p>
    <w:p w:rsidR="00D94698" w:rsidRPr="00B53423" w:rsidRDefault="00D94698" w:rsidP="0015232B">
      <w:pPr>
        <w:spacing w:line="240" w:lineRule="auto"/>
        <w:ind w:left="-360" w:right="-58" w:firstLine="1080"/>
        <w:rPr>
          <w:rFonts w:cs="Arial"/>
        </w:rPr>
      </w:pPr>
      <w:proofErr w:type="gramStart"/>
      <w:r w:rsidRPr="00B53423">
        <w:t>As per the applicable provisions of Electricity Supply Code.</w:t>
      </w:r>
      <w:proofErr w:type="gramEnd"/>
    </w:p>
    <w:p w:rsidR="00D94698" w:rsidRPr="00B53423" w:rsidRDefault="00D94698" w:rsidP="0015232B">
      <w:pPr>
        <w:rPr>
          <w:rFonts w:asciiTheme="minorHAnsi" w:hAnsiTheme="minorHAnsi"/>
          <w:b/>
          <w:color w:val="000000"/>
        </w:rPr>
      </w:pPr>
    </w:p>
    <w:p w:rsidR="00D94698" w:rsidRPr="00B53423" w:rsidRDefault="00D94698" w:rsidP="0015232B">
      <w:pPr>
        <w:rPr>
          <w:b/>
        </w:rPr>
      </w:pPr>
      <w:r w:rsidRPr="00B53423">
        <w:rPr>
          <w:rFonts w:asciiTheme="minorHAnsi" w:hAnsiTheme="minorHAnsi"/>
          <w:b/>
          <w:color w:val="000000"/>
        </w:rPr>
        <w:t>3.</w:t>
      </w:r>
      <w:r w:rsidRPr="00B53423">
        <w:rPr>
          <w:b/>
        </w:rPr>
        <w:t xml:space="preserve"> </w:t>
      </w:r>
      <w:r w:rsidRPr="00B53423">
        <w:rPr>
          <w:b/>
        </w:rPr>
        <w:tab/>
        <w:t>RATE:</w:t>
      </w:r>
    </w:p>
    <w:p w:rsidR="00D94698" w:rsidRPr="00B53423" w:rsidRDefault="00D94698" w:rsidP="0015232B">
      <w:pPr>
        <w:spacing w:after="240"/>
        <w:ind w:left="720"/>
      </w:pPr>
      <w:r w:rsidRPr="00B53423">
        <w:t>Rate gives the fixed and energy charges at which the consumer shall be billed for his consumption during the billing period applicable to the category:</w:t>
      </w:r>
    </w:p>
    <w:p w:rsidR="00D94698" w:rsidRPr="00B53423" w:rsidRDefault="00D94698" w:rsidP="000174C0">
      <w:pPr>
        <w:numPr>
          <w:ilvl w:val="1"/>
          <w:numId w:val="91"/>
        </w:numPr>
        <w:spacing w:before="0" w:after="240" w:line="288" w:lineRule="auto"/>
        <w:jc w:val="left"/>
        <w:rPr>
          <w:rFonts w:cs="Arial"/>
        </w:rPr>
      </w:pPr>
      <w:r w:rsidRPr="00B53423">
        <w:rPr>
          <w:rFonts w:cs="Arial"/>
        </w:rPr>
        <w:t>For consumers getting supply as per</w:t>
      </w:r>
      <w:r w:rsidRPr="00B53423">
        <w:rPr>
          <w:rFonts w:cs="Arial"/>
          <w:b/>
        </w:rPr>
        <w:t xml:space="preserve"> Rural Schedule</w:t>
      </w:r>
      <w:r w:rsidRPr="00B53423">
        <w:rPr>
          <w:rFonts w:cs="Arial"/>
        </w:rPr>
        <w:t xml:space="preserve">: </w:t>
      </w:r>
    </w:p>
    <w:p w:rsidR="00D94698" w:rsidRPr="00B53423" w:rsidRDefault="00D94698" w:rsidP="0015232B">
      <w:pPr>
        <w:spacing w:before="100" w:beforeAutospacing="1" w:after="240"/>
        <w:ind w:left="360"/>
      </w:pPr>
      <w:r w:rsidRPr="00B53423">
        <w:rPr>
          <w:rFonts w:cs="Arial"/>
          <w:b/>
          <w:bCs/>
        </w:rPr>
        <w:t>(i)</w:t>
      </w:r>
      <w:r w:rsidRPr="00B53423">
        <w:rPr>
          <w:rFonts w:cs="Arial"/>
        </w:rPr>
        <w:tab/>
      </w:r>
      <w:r w:rsidRPr="00B53423">
        <w:rPr>
          <w:rFonts w:cs="Arial"/>
          <w:b/>
          <w:bCs/>
        </w:rPr>
        <w:t>Un-metered Supply</w:t>
      </w:r>
    </w:p>
    <w:tbl>
      <w:tblPr>
        <w:tblW w:w="5423" w:type="dxa"/>
        <w:jc w:val="center"/>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60"/>
        <w:gridCol w:w="2363"/>
      </w:tblGrid>
      <w:tr w:rsidR="00D94698" w:rsidRPr="00B53423" w:rsidTr="00E93F0F">
        <w:trPr>
          <w:cantSplit/>
          <w:jc w:val="center"/>
        </w:trPr>
        <w:tc>
          <w:tcPr>
            <w:tcW w:w="3060" w:type="dxa"/>
            <w:shd w:val="pct12" w:color="auto" w:fill="auto"/>
          </w:tcPr>
          <w:p w:rsidR="00D94698" w:rsidRPr="00B53423" w:rsidRDefault="00D94698" w:rsidP="0015232B">
            <w:pPr>
              <w:pStyle w:val="BodyTextIndent"/>
              <w:tabs>
                <w:tab w:val="left" w:pos="360"/>
              </w:tabs>
              <w:spacing w:line="288" w:lineRule="auto"/>
              <w:ind w:left="0" w:right="29"/>
              <w:jc w:val="center"/>
              <w:rPr>
                <w:rFonts w:ascii="Calibri" w:hAnsi="Calibri" w:cs="Arial"/>
                <w:b/>
                <w:bCs w:val="0"/>
              </w:rPr>
            </w:pPr>
            <w:r w:rsidRPr="00B53423">
              <w:rPr>
                <w:rFonts w:ascii="Calibri" w:hAnsi="Calibri" w:cs="Arial"/>
                <w:b/>
                <w:bCs w:val="0"/>
              </w:rPr>
              <w:t>Fixed Charge</w:t>
            </w:r>
          </w:p>
        </w:tc>
        <w:tc>
          <w:tcPr>
            <w:tcW w:w="2363" w:type="dxa"/>
            <w:shd w:val="pct12" w:color="auto" w:fill="auto"/>
          </w:tcPr>
          <w:p w:rsidR="00D94698" w:rsidRPr="00B53423" w:rsidRDefault="00D94698" w:rsidP="0015232B">
            <w:pPr>
              <w:pStyle w:val="BodyTextIndent"/>
              <w:tabs>
                <w:tab w:val="left" w:pos="360"/>
              </w:tabs>
              <w:spacing w:line="288" w:lineRule="auto"/>
              <w:ind w:left="0" w:right="29"/>
              <w:jc w:val="center"/>
              <w:rPr>
                <w:rFonts w:ascii="Calibri" w:hAnsi="Calibri" w:cs="Arial"/>
                <w:b/>
                <w:bCs w:val="0"/>
              </w:rPr>
            </w:pPr>
            <w:r w:rsidRPr="00B53423">
              <w:rPr>
                <w:rFonts w:ascii="Calibri" w:hAnsi="Calibri" w:cs="Arial"/>
                <w:b/>
                <w:bCs w:val="0"/>
              </w:rPr>
              <w:t>Energy Charge</w:t>
            </w:r>
          </w:p>
        </w:tc>
      </w:tr>
      <w:tr w:rsidR="00D94698" w:rsidRPr="00B53423" w:rsidTr="00E93F0F">
        <w:trPr>
          <w:jc w:val="center"/>
        </w:trPr>
        <w:tc>
          <w:tcPr>
            <w:tcW w:w="3060" w:type="dxa"/>
          </w:tcPr>
          <w:p w:rsidR="00D94698" w:rsidRPr="00B53423" w:rsidRDefault="00D94698" w:rsidP="0015232B">
            <w:pPr>
              <w:pStyle w:val="BodyTextIndent"/>
              <w:tabs>
                <w:tab w:val="left" w:pos="360"/>
              </w:tabs>
              <w:spacing w:line="288" w:lineRule="auto"/>
              <w:ind w:left="0" w:right="29"/>
              <w:jc w:val="center"/>
              <w:rPr>
                <w:rFonts w:ascii="Calibri" w:hAnsi="Calibri" w:cs="Arial"/>
              </w:rPr>
            </w:pPr>
            <w:r w:rsidRPr="00B53423">
              <w:rPr>
                <w:rFonts w:ascii="Calibri" w:hAnsi="Calibri" w:cs="Arial"/>
              </w:rPr>
              <w:t>Rs. 100 / BHP / month</w:t>
            </w:r>
          </w:p>
        </w:tc>
        <w:tc>
          <w:tcPr>
            <w:tcW w:w="2363" w:type="dxa"/>
          </w:tcPr>
          <w:p w:rsidR="00D94698" w:rsidRPr="00B53423" w:rsidRDefault="00D94698" w:rsidP="0015232B">
            <w:pPr>
              <w:pStyle w:val="BodyTextIndent"/>
              <w:tabs>
                <w:tab w:val="left" w:pos="360"/>
              </w:tabs>
              <w:spacing w:line="288" w:lineRule="auto"/>
              <w:ind w:left="0" w:right="29"/>
              <w:jc w:val="center"/>
              <w:rPr>
                <w:rFonts w:ascii="Calibri" w:hAnsi="Calibri" w:cs="Arial"/>
              </w:rPr>
            </w:pPr>
            <w:r w:rsidRPr="00B53423">
              <w:rPr>
                <w:rFonts w:ascii="Calibri" w:hAnsi="Calibri" w:cs="Arial"/>
              </w:rPr>
              <w:t>Nil</w:t>
            </w:r>
          </w:p>
        </w:tc>
      </w:tr>
      <w:tr w:rsidR="00D94698" w:rsidRPr="00B53423" w:rsidTr="00E93F0F">
        <w:trPr>
          <w:cantSplit/>
          <w:jc w:val="center"/>
        </w:trPr>
        <w:tc>
          <w:tcPr>
            <w:tcW w:w="5423" w:type="dxa"/>
            <w:gridSpan w:val="2"/>
          </w:tcPr>
          <w:p w:rsidR="00D94698" w:rsidRPr="00B53423" w:rsidRDefault="00D94698" w:rsidP="0015232B">
            <w:pPr>
              <w:pStyle w:val="BodyTextIndent"/>
              <w:tabs>
                <w:tab w:val="left" w:pos="360"/>
              </w:tabs>
              <w:spacing w:line="288" w:lineRule="auto"/>
              <w:ind w:left="0" w:right="29"/>
              <w:jc w:val="center"/>
              <w:rPr>
                <w:rFonts w:ascii="Calibri" w:hAnsi="Calibri" w:cs="Arial"/>
                <w:bCs w:val="0"/>
              </w:rPr>
            </w:pPr>
            <w:r w:rsidRPr="00B53423">
              <w:rPr>
                <w:rFonts w:ascii="Calibri" w:hAnsi="Calibri" w:cs="Arial"/>
                <w:bCs w:val="0"/>
              </w:rPr>
              <w:t>Consumer under this category will be allowed a maximum lighting load of 120 Watts.</w:t>
            </w:r>
          </w:p>
        </w:tc>
      </w:tr>
    </w:tbl>
    <w:p w:rsidR="00D94698" w:rsidRPr="00B53423" w:rsidRDefault="00D94698" w:rsidP="0015232B">
      <w:pPr>
        <w:pStyle w:val="Header"/>
        <w:tabs>
          <w:tab w:val="clear" w:pos="4320"/>
          <w:tab w:val="clear" w:pos="8640"/>
        </w:tabs>
      </w:pPr>
    </w:p>
    <w:p w:rsidR="00D94698" w:rsidRPr="00B53423" w:rsidRDefault="00D94698" w:rsidP="0015232B">
      <w:pPr>
        <w:spacing w:line="240" w:lineRule="auto"/>
        <w:jc w:val="left"/>
        <w:rPr>
          <w:b/>
          <w:bCs/>
        </w:rPr>
      </w:pPr>
      <w:r w:rsidRPr="00B53423">
        <w:rPr>
          <w:b/>
          <w:bCs/>
        </w:rPr>
        <w:br w:type="page"/>
      </w:r>
    </w:p>
    <w:p w:rsidR="00D94698" w:rsidRPr="00B53423" w:rsidRDefault="00D94698" w:rsidP="0015232B">
      <w:pPr>
        <w:ind w:firstLine="360"/>
        <w:rPr>
          <w:rFonts w:cs="Arial"/>
          <w:b/>
          <w:bCs/>
        </w:rPr>
      </w:pPr>
      <w:r w:rsidRPr="00B53423">
        <w:rPr>
          <w:b/>
          <w:bCs/>
        </w:rPr>
        <w:t>(ii)</w:t>
      </w:r>
      <w:r w:rsidRPr="00B53423">
        <w:tab/>
      </w:r>
      <w:r w:rsidRPr="00B53423">
        <w:rPr>
          <w:rFonts w:cs="Arial"/>
          <w:b/>
          <w:bCs/>
        </w:rPr>
        <w:t>Metered Supply</w:t>
      </w:r>
    </w:p>
    <w:p w:rsidR="00D94698" w:rsidRPr="00B53423" w:rsidRDefault="00D94698" w:rsidP="0015232B">
      <w:pPr>
        <w:ind w:firstLine="360"/>
      </w:pPr>
    </w:p>
    <w:tbl>
      <w:tblPr>
        <w:tblW w:w="7786"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95"/>
        <w:gridCol w:w="2595"/>
        <w:gridCol w:w="2596"/>
      </w:tblGrid>
      <w:tr w:rsidR="00D94698" w:rsidRPr="00B53423" w:rsidTr="00E93F0F">
        <w:trPr>
          <w:trHeight w:val="197"/>
        </w:trPr>
        <w:tc>
          <w:tcPr>
            <w:tcW w:w="2595" w:type="dxa"/>
            <w:shd w:val="pct12" w:color="auto" w:fill="auto"/>
          </w:tcPr>
          <w:p w:rsidR="00D94698" w:rsidRPr="00B53423" w:rsidRDefault="00D94698" w:rsidP="0015232B">
            <w:pPr>
              <w:pStyle w:val="BodyTextIndent"/>
              <w:tabs>
                <w:tab w:val="left" w:pos="360"/>
              </w:tabs>
              <w:spacing w:line="288" w:lineRule="auto"/>
              <w:ind w:left="0" w:right="29"/>
              <w:jc w:val="center"/>
              <w:rPr>
                <w:rFonts w:ascii="Calibri" w:hAnsi="Calibri" w:cs="Arial"/>
                <w:b/>
                <w:bCs w:val="0"/>
              </w:rPr>
            </w:pPr>
            <w:r w:rsidRPr="00B53423">
              <w:rPr>
                <w:rFonts w:ascii="Calibri" w:hAnsi="Calibri" w:cs="Arial"/>
                <w:b/>
                <w:bCs w:val="0"/>
              </w:rPr>
              <w:t>Fixed Charge</w:t>
            </w:r>
          </w:p>
        </w:tc>
        <w:tc>
          <w:tcPr>
            <w:tcW w:w="2595" w:type="dxa"/>
            <w:shd w:val="pct12" w:color="auto" w:fill="auto"/>
          </w:tcPr>
          <w:p w:rsidR="00D94698" w:rsidRPr="00B53423" w:rsidRDefault="00D94698" w:rsidP="0015232B">
            <w:pPr>
              <w:pStyle w:val="BodyTextIndent"/>
              <w:tabs>
                <w:tab w:val="left" w:pos="0"/>
              </w:tabs>
              <w:spacing w:line="288" w:lineRule="auto"/>
              <w:ind w:left="0" w:right="29"/>
              <w:jc w:val="center"/>
              <w:rPr>
                <w:rFonts w:ascii="Calibri" w:hAnsi="Calibri" w:cs="Arial"/>
                <w:b/>
                <w:bCs w:val="0"/>
              </w:rPr>
            </w:pPr>
            <w:r w:rsidRPr="00B53423">
              <w:rPr>
                <w:rFonts w:ascii="Calibri" w:hAnsi="Calibri" w:cs="Arial"/>
                <w:b/>
                <w:bCs w:val="0"/>
              </w:rPr>
              <w:t>Minimum Charges</w:t>
            </w:r>
          </w:p>
        </w:tc>
        <w:tc>
          <w:tcPr>
            <w:tcW w:w="2596" w:type="dxa"/>
            <w:shd w:val="pct12" w:color="auto" w:fill="auto"/>
          </w:tcPr>
          <w:p w:rsidR="00D94698" w:rsidRPr="00B53423" w:rsidRDefault="00D94698" w:rsidP="0015232B">
            <w:pPr>
              <w:pStyle w:val="BodyTextIndent"/>
              <w:tabs>
                <w:tab w:val="left" w:pos="360"/>
              </w:tabs>
              <w:spacing w:line="288" w:lineRule="auto"/>
              <w:ind w:left="0" w:right="29"/>
              <w:jc w:val="center"/>
              <w:rPr>
                <w:rFonts w:ascii="Calibri" w:hAnsi="Calibri" w:cs="Arial"/>
                <w:b/>
                <w:bCs w:val="0"/>
              </w:rPr>
            </w:pPr>
            <w:r w:rsidRPr="00B53423">
              <w:rPr>
                <w:rFonts w:ascii="Calibri" w:hAnsi="Calibri" w:cs="Arial"/>
                <w:b/>
                <w:bCs w:val="0"/>
              </w:rPr>
              <w:t>Energy Charge</w:t>
            </w:r>
          </w:p>
        </w:tc>
      </w:tr>
      <w:tr w:rsidR="00D94698" w:rsidRPr="00B53423" w:rsidTr="00E93F0F">
        <w:trPr>
          <w:trHeight w:val="260"/>
        </w:trPr>
        <w:tc>
          <w:tcPr>
            <w:tcW w:w="2595" w:type="dxa"/>
          </w:tcPr>
          <w:p w:rsidR="00D94698" w:rsidRPr="00B53423" w:rsidRDefault="00D94698" w:rsidP="0015232B">
            <w:pPr>
              <w:pStyle w:val="BodyTextIndent"/>
              <w:tabs>
                <w:tab w:val="left" w:pos="360"/>
              </w:tabs>
              <w:spacing w:line="288" w:lineRule="auto"/>
              <w:ind w:left="0" w:right="29"/>
              <w:jc w:val="center"/>
              <w:rPr>
                <w:rFonts w:ascii="Calibri" w:hAnsi="Calibri" w:cs="Arial"/>
              </w:rPr>
            </w:pPr>
            <w:r w:rsidRPr="00B53423">
              <w:rPr>
                <w:rFonts w:ascii="Calibri" w:hAnsi="Calibri" w:cs="Arial"/>
              </w:rPr>
              <w:t>Rs. 30.00 / BHP / month</w:t>
            </w:r>
          </w:p>
        </w:tc>
        <w:tc>
          <w:tcPr>
            <w:tcW w:w="2595" w:type="dxa"/>
          </w:tcPr>
          <w:p w:rsidR="00D94698" w:rsidRPr="00B53423" w:rsidRDefault="00D94698" w:rsidP="0015232B">
            <w:pPr>
              <w:pStyle w:val="BodyTextIndent"/>
              <w:spacing w:line="288" w:lineRule="auto"/>
              <w:ind w:left="0" w:right="-61"/>
              <w:jc w:val="center"/>
              <w:rPr>
                <w:rFonts w:ascii="Calibri" w:hAnsi="Calibri" w:cs="Arial"/>
              </w:rPr>
            </w:pPr>
            <w:r w:rsidRPr="00B53423">
              <w:rPr>
                <w:rFonts w:ascii="Calibri" w:hAnsi="Calibri" w:cs="Arial"/>
              </w:rPr>
              <w:t>Rs. 7</w:t>
            </w:r>
            <w:r w:rsidRPr="00B53423">
              <w:t>5.00</w:t>
            </w:r>
            <w:r w:rsidRPr="00B53423">
              <w:rPr>
                <w:rFonts w:ascii="Calibri" w:hAnsi="Calibri" w:cs="Arial"/>
              </w:rPr>
              <w:t xml:space="preserve"> / BHP / month</w:t>
            </w:r>
          </w:p>
        </w:tc>
        <w:tc>
          <w:tcPr>
            <w:tcW w:w="2596" w:type="dxa"/>
          </w:tcPr>
          <w:p w:rsidR="00D94698" w:rsidRPr="00B53423" w:rsidRDefault="00D94698" w:rsidP="0015232B">
            <w:pPr>
              <w:pStyle w:val="BodyTextIndent"/>
              <w:spacing w:line="288" w:lineRule="auto"/>
              <w:ind w:left="0" w:right="-61"/>
              <w:jc w:val="center"/>
              <w:rPr>
                <w:rFonts w:ascii="Calibri" w:hAnsi="Calibri" w:cs="Arial"/>
              </w:rPr>
            </w:pPr>
            <w:r w:rsidRPr="00B53423">
              <w:rPr>
                <w:rFonts w:ascii="Calibri" w:hAnsi="Calibri" w:cs="Arial"/>
              </w:rPr>
              <w:t>Rs. 1.00 / kWh</w:t>
            </w:r>
          </w:p>
        </w:tc>
      </w:tr>
    </w:tbl>
    <w:p w:rsidR="00D94698" w:rsidRPr="00B53423" w:rsidRDefault="00D94698" w:rsidP="0015232B">
      <w:pPr>
        <w:pStyle w:val="Heading2"/>
        <w:keepNext w:val="0"/>
        <w:numPr>
          <w:ilvl w:val="0"/>
          <w:numId w:val="0"/>
        </w:numPr>
        <w:ind w:left="360"/>
        <w:rPr>
          <w:i/>
          <w:iCs/>
          <w:szCs w:val="22"/>
        </w:rPr>
      </w:pPr>
    </w:p>
    <w:p w:rsidR="00D94698" w:rsidRPr="00B53423" w:rsidRDefault="00D94698" w:rsidP="0015232B">
      <w:pPr>
        <w:ind w:left="360"/>
        <w:rPr>
          <w:i/>
        </w:rPr>
      </w:pPr>
      <w:r w:rsidRPr="00B53423">
        <w:rPr>
          <w:b/>
          <w:i/>
        </w:rPr>
        <w:t>NOTE:</w:t>
      </w:r>
      <w:r w:rsidRPr="00B53423">
        <w:rPr>
          <w:i/>
        </w:rPr>
        <w:t xml:space="preserve"> Minimum bill payable by a consumer under </w:t>
      </w:r>
      <w:r w:rsidRPr="00B53423">
        <w:rPr>
          <w:bCs/>
          <w:i/>
        </w:rPr>
        <w:t>Rural Schedule</w:t>
      </w:r>
      <w:r w:rsidRPr="00B53423">
        <w:rPr>
          <w:i/>
        </w:rPr>
        <w:t xml:space="preserve"> (Metered Supply) shall be Rs. 75 per BHP per month, till the installation of the meter.</w:t>
      </w:r>
    </w:p>
    <w:p w:rsidR="00D94698" w:rsidRPr="00B53423" w:rsidRDefault="00D94698" w:rsidP="0015232B"/>
    <w:p w:rsidR="00D94698" w:rsidRPr="00B53423" w:rsidRDefault="00D94698" w:rsidP="0015232B">
      <w:pPr>
        <w:ind w:left="720" w:hanging="360"/>
      </w:pPr>
      <w:r w:rsidRPr="00B53423">
        <w:rPr>
          <w:rFonts w:cs="Arial"/>
          <w:b/>
        </w:rPr>
        <w:t>(B)</w:t>
      </w:r>
      <w:r w:rsidRPr="00B53423">
        <w:rPr>
          <w:rFonts w:cs="Arial"/>
          <w:b/>
        </w:rPr>
        <w:tab/>
      </w:r>
      <w:r w:rsidRPr="00B53423">
        <w:rPr>
          <w:rFonts w:cs="Arial"/>
        </w:rPr>
        <w:t xml:space="preserve">For consumers getting supply as per </w:t>
      </w:r>
      <w:r w:rsidRPr="00B53423">
        <w:rPr>
          <w:rFonts w:cs="Arial"/>
          <w:b/>
          <w:bCs/>
        </w:rPr>
        <w:t>Urban Schedule</w:t>
      </w:r>
      <w:r w:rsidRPr="00B53423">
        <w:rPr>
          <w:rFonts w:cs="Arial"/>
        </w:rPr>
        <w:t xml:space="preserve"> (Metered Supply) including consumers getting supply through rural feeders exempted from scheduled rostering or through co-generating radial feeders in villages and towns.</w:t>
      </w:r>
    </w:p>
    <w:p w:rsidR="00D94698" w:rsidRPr="00B53423" w:rsidRDefault="00D94698" w:rsidP="0015232B"/>
    <w:tbl>
      <w:tblPr>
        <w:tblW w:w="7786"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95"/>
        <w:gridCol w:w="2595"/>
        <w:gridCol w:w="2596"/>
      </w:tblGrid>
      <w:tr w:rsidR="00D94698" w:rsidRPr="00B53423" w:rsidTr="00E93F0F">
        <w:trPr>
          <w:cantSplit/>
          <w:trHeight w:val="375"/>
        </w:trPr>
        <w:tc>
          <w:tcPr>
            <w:tcW w:w="2595" w:type="dxa"/>
            <w:shd w:val="pct12" w:color="auto" w:fill="auto"/>
            <w:vAlign w:val="center"/>
          </w:tcPr>
          <w:p w:rsidR="00D94698" w:rsidRPr="00B53423" w:rsidRDefault="00D94698" w:rsidP="0015232B">
            <w:pPr>
              <w:pStyle w:val="BodyTextIndent"/>
              <w:tabs>
                <w:tab w:val="left" w:pos="360"/>
              </w:tabs>
              <w:spacing w:line="288" w:lineRule="auto"/>
              <w:ind w:left="0" w:right="29"/>
              <w:jc w:val="center"/>
              <w:rPr>
                <w:rFonts w:ascii="Calibri" w:hAnsi="Calibri" w:cs="Arial"/>
                <w:b/>
                <w:bCs w:val="0"/>
              </w:rPr>
            </w:pPr>
            <w:r w:rsidRPr="00B53423">
              <w:rPr>
                <w:rFonts w:ascii="Calibri" w:hAnsi="Calibri" w:cs="Arial"/>
                <w:b/>
                <w:bCs w:val="0"/>
              </w:rPr>
              <w:t>Fixed Charge</w:t>
            </w:r>
          </w:p>
        </w:tc>
        <w:tc>
          <w:tcPr>
            <w:tcW w:w="2595" w:type="dxa"/>
            <w:shd w:val="pct12" w:color="auto" w:fill="auto"/>
            <w:vAlign w:val="center"/>
          </w:tcPr>
          <w:p w:rsidR="00D94698" w:rsidRPr="00B53423" w:rsidRDefault="00D94698" w:rsidP="0015232B">
            <w:pPr>
              <w:pStyle w:val="BodyTextIndent"/>
              <w:tabs>
                <w:tab w:val="left" w:pos="360"/>
              </w:tabs>
              <w:spacing w:line="288" w:lineRule="auto"/>
              <w:ind w:left="0" w:right="29"/>
              <w:jc w:val="center"/>
              <w:rPr>
                <w:rFonts w:ascii="Calibri" w:hAnsi="Calibri" w:cs="Arial"/>
                <w:b/>
                <w:bCs w:val="0"/>
              </w:rPr>
            </w:pPr>
            <w:r w:rsidRPr="00B53423">
              <w:rPr>
                <w:rFonts w:ascii="Calibri" w:hAnsi="Calibri" w:cs="Arial"/>
                <w:b/>
                <w:bCs w:val="0"/>
              </w:rPr>
              <w:t>Minimum Charges</w:t>
            </w:r>
          </w:p>
        </w:tc>
        <w:tc>
          <w:tcPr>
            <w:tcW w:w="2596" w:type="dxa"/>
            <w:shd w:val="pct12" w:color="auto" w:fill="auto"/>
            <w:vAlign w:val="center"/>
          </w:tcPr>
          <w:p w:rsidR="00D94698" w:rsidRPr="00B53423" w:rsidRDefault="00D94698" w:rsidP="0015232B">
            <w:pPr>
              <w:pStyle w:val="BodyTextIndent"/>
              <w:tabs>
                <w:tab w:val="left" w:pos="360"/>
              </w:tabs>
              <w:spacing w:line="288" w:lineRule="auto"/>
              <w:ind w:left="0" w:right="29"/>
              <w:jc w:val="center"/>
              <w:rPr>
                <w:rFonts w:ascii="Calibri" w:hAnsi="Calibri" w:cs="Arial"/>
                <w:b/>
                <w:bCs w:val="0"/>
              </w:rPr>
            </w:pPr>
            <w:r w:rsidRPr="00B53423">
              <w:rPr>
                <w:rFonts w:ascii="Calibri" w:hAnsi="Calibri" w:cs="Arial"/>
                <w:b/>
                <w:bCs w:val="0"/>
              </w:rPr>
              <w:t>Energy Charge</w:t>
            </w:r>
          </w:p>
        </w:tc>
      </w:tr>
      <w:tr w:rsidR="00D94698" w:rsidRPr="00B53423" w:rsidTr="00E93F0F">
        <w:trPr>
          <w:cantSplit/>
          <w:trHeight w:val="420"/>
        </w:trPr>
        <w:tc>
          <w:tcPr>
            <w:tcW w:w="2595" w:type="dxa"/>
            <w:vAlign w:val="center"/>
          </w:tcPr>
          <w:p w:rsidR="00D94698" w:rsidRPr="00B53423" w:rsidRDefault="00D94698" w:rsidP="0015232B">
            <w:pPr>
              <w:pStyle w:val="BodyTextIndent"/>
              <w:tabs>
                <w:tab w:val="left" w:pos="360"/>
              </w:tabs>
              <w:spacing w:line="288" w:lineRule="auto"/>
              <w:ind w:left="0" w:right="29"/>
              <w:jc w:val="center"/>
              <w:rPr>
                <w:rFonts w:ascii="Calibri" w:hAnsi="Calibri" w:cs="Arial"/>
              </w:rPr>
            </w:pPr>
            <w:r w:rsidRPr="00B53423">
              <w:rPr>
                <w:rFonts w:ascii="Calibri" w:hAnsi="Calibri" w:cs="Arial"/>
              </w:rPr>
              <w:t xml:space="preserve">Rs. </w:t>
            </w:r>
            <w:r w:rsidRPr="00B53423">
              <w:t>55.00</w:t>
            </w:r>
            <w:r w:rsidRPr="00B53423">
              <w:rPr>
                <w:rFonts w:ascii="Calibri" w:hAnsi="Calibri" w:cs="Arial"/>
              </w:rPr>
              <w:t xml:space="preserve"> / BHP / month</w:t>
            </w:r>
          </w:p>
        </w:tc>
        <w:tc>
          <w:tcPr>
            <w:tcW w:w="2595" w:type="dxa"/>
            <w:vAlign w:val="center"/>
          </w:tcPr>
          <w:p w:rsidR="00D94698" w:rsidRPr="00B53423" w:rsidRDefault="00D94698" w:rsidP="0015232B">
            <w:pPr>
              <w:pStyle w:val="BodyTextIndent"/>
              <w:spacing w:line="288" w:lineRule="auto"/>
              <w:ind w:left="0" w:right="-61"/>
              <w:jc w:val="center"/>
              <w:rPr>
                <w:rFonts w:ascii="Calibri" w:hAnsi="Calibri" w:cs="Arial"/>
              </w:rPr>
            </w:pPr>
            <w:r w:rsidRPr="00B53423">
              <w:rPr>
                <w:rFonts w:ascii="Calibri" w:hAnsi="Calibri" w:cs="Arial"/>
              </w:rPr>
              <w:t>Rs. 220.00 / BHP / month</w:t>
            </w:r>
          </w:p>
        </w:tc>
        <w:tc>
          <w:tcPr>
            <w:tcW w:w="2596" w:type="dxa"/>
            <w:vAlign w:val="center"/>
          </w:tcPr>
          <w:p w:rsidR="00D94698" w:rsidRPr="00B53423" w:rsidRDefault="00D94698" w:rsidP="0015232B">
            <w:pPr>
              <w:pStyle w:val="BodyTextIndent"/>
              <w:spacing w:line="288" w:lineRule="auto"/>
              <w:ind w:left="0" w:right="-61"/>
              <w:jc w:val="center"/>
              <w:rPr>
                <w:rFonts w:ascii="Calibri" w:hAnsi="Calibri" w:cs="Arial"/>
              </w:rPr>
            </w:pPr>
            <w:r w:rsidRPr="00B53423">
              <w:rPr>
                <w:rFonts w:ascii="Calibri" w:hAnsi="Calibri" w:cs="Arial"/>
              </w:rPr>
              <w:t xml:space="preserve">Rs. </w:t>
            </w:r>
            <w:r w:rsidRPr="00B53423">
              <w:t>5.00</w:t>
            </w:r>
            <w:r w:rsidRPr="00B53423">
              <w:rPr>
                <w:rFonts w:ascii="Calibri" w:hAnsi="Calibri" w:cs="Arial"/>
              </w:rPr>
              <w:t xml:space="preserve"> / kWh</w:t>
            </w:r>
          </w:p>
        </w:tc>
      </w:tr>
    </w:tbl>
    <w:p w:rsidR="00D94698" w:rsidRPr="00B53423" w:rsidRDefault="00D94698" w:rsidP="0015232B">
      <w:pPr>
        <w:pStyle w:val="Heading2"/>
        <w:keepNext w:val="0"/>
        <w:numPr>
          <w:ilvl w:val="0"/>
          <w:numId w:val="0"/>
        </w:numPr>
        <w:rPr>
          <w:i/>
          <w:iCs/>
          <w:szCs w:val="22"/>
        </w:rPr>
      </w:pPr>
    </w:p>
    <w:p w:rsidR="00D94698" w:rsidRPr="00B53423" w:rsidRDefault="00D94698" w:rsidP="0015232B">
      <w:pPr>
        <w:ind w:left="720"/>
        <w:rPr>
          <w:i/>
        </w:rPr>
      </w:pPr>
      <w:r w:rsidRPr="00B53423">
        <w:rPr>
          <w:b/>
          <w:i/>
        </w:rPr>
        <w:t>NOTE:</w:t>
      </w:r>
      <w:r w:rsidRPr="00B53423">
        <w:rPr>
          <w:i/>
        </w:rPr>
        <w:t xml:space="preserve"> Minimum bill payable by a consumer under </w:t>
      </w:r>
      <w:r w:rsidRPr="00B53423">
        <w:rPr>
          <w:bCs/>
          <w:i/>
        </w:rPr>
        <w:t>Urban Schedule</w:t>
      </w:r>
      <w:r w:rsidRPr="00B53423">
        <w:rPr>
          <w:i/>
        </w:rPr>
        <w:t xml:space="preserve"> (Metered Supply) shall be Rs. </w:t>
      </w:r>
      <w:proofErr w:type="gramStart"/>
      <w:r w:rsidRPr="00B53423">
        <w:rPr>
          <w:i/>
        </w:rPr>
        <w:t>220.00  per</w:t>
      </w:r>
      <w:proofErr w:type="gramEnd"/>
      <w:r w:rsidRPr="00B53423">
        <w:rPr>
          <w:i/>
        </w:rPr>
        <w:t xml:space="preserve"> BHP per month, till the installation of the meter.</w:t>
      </w:r>
    </w:p>
    <w:p w:rsidR="00D94698" w:rsidRPr="00B53423" w:rsidRDefault="00D94698" w:rsidP="0015232B"/>
    <w:p w:rsidR="00D94698" w:rsidRPr="00B53423" w:rsidRDefault="00D94698" w:rsidP="0015232B">
      <w:pPr>
        <w:spacing w:before="60" w:after="120"/>
        <w:ind w:right="29"/>
        <w:jc w:val="center"/>
        <w:rPr>
          <w:b/>
          <w:bCs/>
          <w:u w:val="single"/>
        </w:rPr>
      </w:pPr>
      <w:r w:rsidRPr="00B53423">
        <w:br w:type="page"/>
      </w:r>
      <w:r w:rsidR="00E93F0F" w:rsidRPr="00B53423">
        <w:rPr>
          <w:b/>
          <w:bCs/>
          <w:u w:val="single"/>
        </w:rPr>
        <w:t>RATE SCHEDULE</w:t>
      </w:r>
      <w:r w:rsidRPr="00B53423">
        <w:rPr>
          <w:b/>
          <w:bCs/>
          <w:u w:val="single"/>
        </w:rPr>
        <w:t xml:space="preserve"> LMV– 6:</w:t>
      </w:r>
    </w:p>
    <w:p w:rsidR="00D94698" w:rsidRPr="00B53423" w:rsidRDefault="00D94698" w:rsidP="0015232B">
      <w:pPr>
        <w:spacing w:before="60" w:after="120"/>
        <w:ind w:right="-61"/>
        <w:jc w:val="center"/>
        <w:rPr>
          <w:rFonts w:cs="Arial"/>
          <w:b/>
        </w:rPr>
      </w:pPr>
      <w:r w:rsidRPr="00B53423">
        <w:rPr>
          <w:rFonts w:cs="Arial"/>
          <w:b/>
        </w:rPr>
        <w:t>SMALL AND MEDIUM POWER:</w:t>
      </w:r>
    </w:p>
    <w:p w:rsidR="00D94698" w:rsidRPr="00B53423" w:rsidRDefault="00D94698" w:rsidP="0015232B">
      <w:pPr>
        <w:tabs>
          <w:tab w:val="left" w:pos="360"/>
        </w:tabs>
        <w:spacing w:before="100" w:after="120"/>
        <w:ind w:right="29"/>
        <w:rPr>
          <w:b/>
        </w:rPr>
      </w:pPr>
      <w:r w:rsidRPr="00B53423">
        <w:rPr>
          <w:rFonts w:cs="Arial"/>
          <w:b/>
        </w:rPr>
        <w:t>1.</w:t>
      </w:r>
      <w:r w:rsidRPr="00B53423">
        <w:rPr>
          <w:rFonts w:cs="Arial"/>
          <w:b/>
        </w:rPr>
        <w:tab/>
      </w:r>
      <w:r w:rsidRPr="00B53423">
        <w:rPr>
          <w:b/>
        </w:rPr>
        <w:t>APPLICABILITY:</w:t>
      </w:r>
    </w:p>
    <w:p w:rsidR="00D94698" w:rsidRPr="00B53423" w:rsidRDefault="00D94698" w:rsidP="0015232B">
      <w:pPr>
        <w:tabs>
          <w:tab w:val="left" w:pos="360"/>
        </w:tabs>
        <w:spacing w:before="100" w:after="120"/>
        <w:ind w:left="360"/>
      </w:pPr>
      <w:r w:rsidRPr="00B53423">
        <w:t>This schedule shall apply to all consumers of electrical energy having a contracted load up to 100 HP (75 kW) for industrial / processing or agro-industrial purposes, power loom (load of 5 kW and above) and to other power consumers, not covered under any other rate schedule.  Floriculture / Mushroom farming units having loads up-to 100 BHP (75kW) shall also be covered under this rate schedule.  This schedule shall also apply to pumping sets above 25 BHP.</w:t>
      </w:r>
    </w:p>
    <w:p w:rsidR="00D94698" w:rsidRPr="00B53423" w:rsidRDefault="00D94698" w:rsidP="0015232B">
      <w:pPr>
        <w:rPr>
          <w:b/>
        </w:rPr>
      </w:pPr>
      <w:r w:rsidRPr="00B53423">
        <w:rPr>
          <w:b/>
        </w:rPr>
        <w:t>2.   CHARACTER AND POINT OF SUPPLY:</w:t>
      </w:r>
    </w:p>
    <w:p w:rsidR="00D94698" w:rsidRPr="00B53423" w:rsidRDefault="00D94698" w:rsidP="0015232B">
      <w:pPr>
        <w:spacing w:line="240" w:lineRule="auto"/>
        <w:ind w:left="360" w:right="-58"/>
        <w:rPr>
          <w:rFonts w:cs="Arial"/>
        </w:rPr>
      </w:pPr>
      <w:proofErr w:type="gramStart"/>
      <w:r w:rsidRPr="00B53423">
        <w:t>As per the applicable provisions of Electricity Supply Code.</w:t>
      </w:r>
      <w:proofErr w:type="gramEnd"/>
    </w:p>
    <w:p w:rsidR="00D94698" w:rsidRPr="00B53423" w:rsidRDefault="00D94698" w:rsidP="0015232B">
      <w:pPr>
        <w:tabs>
          <w:tab w:val="left" w:pos="360"/>
        </w:tabs>
        <w:spacing w:before="240" w:after="120"/>
        <w:ind w:right="1440"/>
        <w:rPr>
          <w:rFonts w:cs="Arial"/>
          <w:b/>
        </w:rPr>
      </w:pPr>
      <w:r w:rsidRPr="00B53423">
        <w:rPr>
          <w:rFonts w:cs="Arial"/>
          <w:b/>
        </w:rPr>
        <w:t>3.</w:t>
      </w:r>
      <w:r w:rsidRPr="00B53423">
        <w:rPr>
          <w:rFonts w:cs="Arial"/>
          <w:b/>
        </w:rPr>
        <w:tab/>
        <w:t>RATE:</w:t>
      </w:r>
    </w:p>
    <w:p w:rsidR="00D94698" w:rsidRPr="00B53423" w:rsidRDefault="00D94698" w:rsidP="0015232B">
      <w:pPr>
        <w:ind w:left="360"/>
      </w:pPr>
      <w:r w:rsidRPr="00B53423">
        <w:t>Rate, gives the fixed and energy charges (including the TOD rates as applicable to the hour of operation) at which the consumer shall be billed for his consumption during the billing period applicable to the category:</w:t>
      </w:r>
    </w:p>
    <w:p w:rsidR="00D94698" w:rsidRPr="00B53423" w:rsidRDefault="00D94698" w:rsidP="0015232B">
      <w:pPr>
        <w:ind w:left="360"/>
      </w:pPr>
    </w:p>
    <w:p w:rsidR="00D94698" w:rsidRPr="00B53423" w:rsidRDefault="00D94698" w:rsidP="000174C0">
      <w:pPr>
        <w:numPr>
          <w:ilvl w:val="0"/>
          <w:numId w:val="107"/>
        </w:numPr>
        <w:spacing w:before="0"/>
        <w:rPr>
          <w:rFonts w:cs="Arial"/>
        </w:rPr>
      </w:pPr>
      <w:r w:rsidRPr="00B53423">
        <w:rPr>
          <w:rFonts w:cs="Arial"/>
          <w:b/>
        </w:rPr>
        <w:t>Consumers getting supply</w:t>
      </w:r>
      <w:r w:rsidRPr="00B53423">
        <w:rPr>
          <w:rFonts w:cs="Arial"/>
        </w:rPr>
        <w:t xml:space="preserve"> </w:t>
      </w:r>
      <w:r w:rsidRPr="00B53423">
        <w:rPr>
          <w:rFonts w:cs="Arial"/>
          <w:b/>
        </w:rPr>
        <w:t>other than Rural Schedule</w:t>
      </w:r>
      <w:r w:rsidRPr="00B53423">
        <w:rPr>
          <w:rFonts w:cs="Arial"/>
        </w:rPr>
        <w:t>:</w:t>
      </w:r>
    </w:p>
    <w:p w:rsidR="00D94698" w:rsidRPr="00B53423" w:rsidRDefault="00D94698" w:rsidP="0015232B">
      <w:pPr>
        <w:rPr>
          <w:rFonts w:cs="Arial"/>
        </w:rPr>
      </w:pPr>
    </w:p>
    <w:tbl>
      <w:tblPr>
        <w:tblW w:w="7835" w:type="dxa"/>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78"/>
        <w:gridCol w:w="2790"/>
        <w:gridCol w:w="2167"/>
      </w:tblGrid>
      <w:tr w:rsidR="00D94698" w:rsidRPr="00B53423" w:rsidTr="00E93F0F">
        <w:trPr>
          <w:jc w:val="center"/>
        </w:trPr>
        <w:tc>
          <w:tcPr>
            <w:tcW w:w="2878" w:type="dxa"/>
            <w:shd w:val="pct12" w:color="auto" w:fill="auto"/>
          </w:tcPr>
          <w:p w:rsidR="00D94698" w:rsidRPr="00B53423" w:rsidRDefault="00D94698" w:rsidP="0015232B">
            <w:pPr>
              <w:spacing w:after="120"/>
              <w:jc w:val="center"/>
              <w:rPr>
                <w:rFonts w:cs="Arial"/>
                <w:b/>
                <w:bCs/>
              </w:rPr>
            </w:pPr>
            <w:r w:rsidRPr="00B53423">
              <w:rPr>
                <w:rFonts w:cs="Arial"/>
                <w:b/>
                <w:bCs/>
              </w:rPr>
              <w:t xml:space="preserve">Consumption Range </w:t>
            </w:r>
          </w:p>
        </w:tc>
        <w:tc>
          <w:tcPr>
            <w:tcW w:w="2790" w:type="dxa"/>
            <w:shd w:val="pct12" w:color="auto" w:fill="auto"/>
          </w:tcPr>
          <w:p w:rsidR="00D94698" w:rsidRPr="00B53423" w:rsidRDefault="00D94698" w:rsidP="0015232B">
            <w:pPr>
              <w:spacing w:after="120"/>
              <w:jc w:val="center"/>
              <w:rPr>
                <w:rFonts w:cs="Arial"/>
                <w:b/>
                <w:bCs/>
              </w:rPr>
            </w:pPr>
            <w:r w:rsidRPr="00B53423">
              <w:rPr>
                <w:rFonts w:cs="Arial"/>
                <w:b/>
                <w:bCs/>
              </w:rPr>
              <w:t>Fixed Charge</w:t>
            </w:r>
          </w:p>
        </w:tc>
        <w:tc>
          <w:tcPr>
            <w:tcW w:w="2167" w:type="dxa"/>
            <w:shd w:val="pct12" w:color="auto" w:fill="auto"/>
          </w:tcPr>
          <w:p w:rsidR="00D94698" w:rsidRPr="00B53423" w:rsidRDefault="00D94698" w:rsidP="0015232B">
            <w:pPr>
              <w:spacing w:after="120"/>
              <w:jc w:val="center"/>
              <w:rPr>
                <w:rFonts w:cs="Arial"/>
                <w:b/>
                <w:bCs/>
              </w:rPr>
            </w:pPr>
            <w:r w:rsidRPr="00B53423">
              <w:rPr>
                <w:rFonts w:cs="Arial"/>
                <w:b/>
                <w:bCs/>
              </w:rPr>
              <w:t>Energy Charge</w:t>
            </w:r>
          </w:p>
        </w:tc>
      </w:tr>
      <w:tr w:rsidR="00D94698" w:rsidRPr="00B53423" w:rsidTr="00E93F0F">
        <w:trPr>
          <w:jc w:val="center"/>
        </w:trPr>
        <w:tc>
          <w:tcPr>
            <w:tcW w:w="2878" w:type="dxa"/>
            <w:vAlign w:val="center"/>
          </w:tcPr>
          <w:p w:rsidR="00D94698" w:rsidRPr="00B53423" w:rsidRDefault="00D94698" w:rsidP="0015232B">
            <w:pPr>
              <w:spacing w:after="120"/>
              <w:jc w:val="center"/>
              <w:rPr>
                <w:rFonts w:cs="Arial"/>
                <w:bCs/>
              </w:rPr>
            </w:pPr>
            <w:r w:rsidRPr="00B53423">
              <w:rPr>
                <w:rFonts w:cs="Arial"/>
                <w:bCs/>
              </w:rPr>
              <w:t>0 – 1000 kWh / month</w:t>
            </w:r>
          </w:p>
        </w:tc>
        <w:tc>
          <w:tcPr>
            <w:tcW w:w="2790" w:type="dxa"/>
            <w:vAlign w:val="center"/>
          </w:tcPr>
          <w:p w:rsidR="00D94698" w:rsidRPr="00B53423" w:rsidRDefault="00D94698" w:rsidP="0015232B">
            <w:pPr>
              <w:spacing w:after="120"/>
              <w:jc w:val="center"/>
              <w:rPr>
                <w:rFonts w:cs="Arial"/>
                <w:bCs/>
              </w:rPr>
            </w:pPr>
            <w:r w:rsidRPr="00B53423">
              <w:rPr>
                <w:bCs/>
              </w:rPr>
              <w:t>Rs. 22</w:t>
            </w:r>
            <w:r w:rsidRPr="00B53423">
              <w:t>5</w:t>
            </w:r>
            <w:r w:rsidRPr="00B53423">
              <w:rPr>
                <w:bCs/>
              </w:rPr>
              <w:t xml:space="preserve"> / kW / month</w:t>
            </w:r>
          </w:p>
        </w:tc>
        <w:tc>
          <w:tcPr>
            <w:tcW w:w="2167" w:type="dxa"/>
            <w:vAlign w:val="center"/>
          </w:tcPr>
          <w:p w:rsidR="00D94698" w:rsidRPr="00B53423" w:rsidRDefault="00D94698" w:rsidP="0015232B">
            <w:pPr>
              <w:spacing w:after="120"/>
              <w:jc w:val="center"/>
              <w:rPr>
                <w:rFonts w:cs="Arial"/>
                <w:bCs/>
              </w:rPr>
            </w:pPr>
            <w:r w:rsidRPr="00B53423">
              <w:rPr>
                <w:rFonts w:cs="Arial"/>
                <w:bCs/>
              </w:rPr>
              <w:t>Rs. 6.20 / kWh</w:t>
            </w:r>
          </w:p>
        </w:tc>
      </w:tr>
      <w:tr w:rsidR="00D94698" w:rsidRPr="00B53423" w:rsidTr="00E93F0F">
        <w:trPr>
          <w:jc w:val="center"/>
        </w:trPr>
        <w:tc>
          <w:tcPr>
            <w:tcW w:w="2878" w:type="dxa"/>
            <w:vAlign w:val="center"/>
          </w:tcPr>
          <w:p w:rsidR="00D94698" w:rsidRPr="00B53423" w:rsidRDefault="00D94698" w:rsidP="0015232B">
            <w:pPr>
              <w:spacing w:after="120"/>
              <w:jc w:val="center"/>
              <w:rPr>
                <w:rFonts w:cs="Arial"/>
                <w:bCs/>
              </w:rPr>
            </w:pPr>
            <w:r w:rsidRPr="00B53423">
              <w:rPr>
                <w:rFonts w:cs="Arial"/>
                <w:bCs/>
              </w:rPr>
              <w:t>Above 1000 kWh / month</w:t>
            </w:r>
          </w:p>
        </w:tc>
        <w:tc>
          <w:tcPr>
            <w:tcW w:w="2790" w:type="dxa"/>
            <w:vAlign w:val="center"/>
          </w:tcPr>
          <w:p w:rsidR="00D94698" w:rsidRPr="00B53423" w:rsidRDefault="00D94698" w:rsidP="0015232B">
            <w:pPr>
              <w:spacing w:after="120"/>
              <w:jc w:val="center"/>
              <w:rPr>
                <w:bCs/>
              </w:rPr>
            </w:pPr>
            <w:r w:rsidRPr="00B53423">
              <w:rPr>
                <w:bCs/>
              </w:rPr>
              <w:t>Rs. 22</w:t>
            </w:r>
            <w:r w:rsidRPr="00B53423">
              <w:t>5</w:t>
            </w:r>
            <w:r w:rsidRPr="00B53423">
              <w:rPr>
                <w:bCs/>
              </w:rPr>
              <w:t xml:space="preserve"> / kW / month</w:t>
            </w:r>
          </w:p>
        </w:tc>
        <w:tc>
          <w:tcPr>
            <w:tcW w:w="2167" w:type="dxa"/>
            <w:vAlign w:val="center"/>
          </w:tcPr>
          <w:p w:rsidR="00D94698" w:rsidRPr="00B53423" w:rsidRDefault="00D94698" w:rsidP="0015232B">
            <w:pPr>
              <w:spacing w:after="120"/>
              <w:jc w:val="center"/>
              <w:rPr>
                <w:rFonts w:cs="Arial"/>
                <w:bCs/>
              </w:rPr>
            </w:pPr>
            <w:r w:rsidRPr="00B53423">
              <w:rPr>
                <w:rFonts w:cs="Arial"/>
                <w:bCs/>
              </w:rPr>
              <w:t>Rs. 6.80 / kWh</w:t>
            </w:r>
          </w:p>
        </w:tc>
      </w:tr>
    </w:tbl>
    <w:p w:rsidR="00D94698" w:rsidRPr="00B53423" w:rsidRDefault="00D94698" w:rsidP="0015232B">
      <w:pPr>
        <w:ind w:left="360"/>
      </w:pPr>
    </w:p>
    <w:p w:rsidR="00D94698" w:rsidRPr="00B53423" w:rsidRDefault="00D94698" w:rsidP="0015232B">
      <w:pPr>
        <w:tabs>
          <w:tab w:val="left" w:pos="360"/>
        </w:tabs>
        <w:spacing w:before="60" w:after="120"/>
        <w:ind w:right="29"/>
        <w:jc w:val="center"/>
        <w:rPr>
          <w:b/>
        </w:rPr>
      </w:pPr>
      <w:r w:rsidRPr="00B53423">
        <w:rPr>
          <w:b/>
        </w:rPr>
        <w:t>TOD Rates (% of Energy Charges):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2976"/>
      </w:tblGrid>
      <w:tr w:rsidR="00D94698" w:rsidRPr="00B53423" w:rsidTr="00E93F0F">
        <w:trPr>
          <w:jc w:val="center"/>
        </w:trPr>
        <w:tc>
          <w:tcPr>
            <w:tcW w:w="2947" w:type="dxa"/>
            <w:shd w:val="clear" w:color="auto" w:fill="D9D9D9" w:themeFill="background1" w:themeFillShade="D9"/>
          </w:tcPr>
          <w:p w:rsidR="00D94698" w:rsidRPr="00B53423" w:rsidRDefault="00D94698" w:rsidP="0015232B">
            <w:pPr>
              <w:tabs>
                <w:tab w:val="left" w:pos="360"/>
              </w:tabs>
              <w:spacing w:before="60" w:after="120"/>
              <w:ind w:right="29"/>
            </w:pPr>
            <w:r w:rsidRPr="00B53423">
              <w:t>22:00 hrs – 06:00 hrs</w:t>
            </w:r>
          </w:p>
        </w:tc>
        <w:tc>
          <w:tcPr>
            <w:tcW w:w="2976" w:type="dxa"/>
            <w:shd w:val="clear" w:color="auto" w:fill="D9D9D9" w:themeFill="background1" w:themeFillShade="D9"/>
          </w:tcPr>
          <w:p w:rsidR="00D94698" w:rsidRPr="00B53423" w:rsidRDefault="00D94698" w:rsidP="0015232B">
            <w:pPr>
              <w:tabs>
                <w:tab w:val="left" w:pos="360"/>
              </w:tabs>
              <w:spacing w:before="60" w:after="120"/>
              <w:ind w:right="29"/>
            </w:pPr>
            <w:r w:rsidRPr="00B53423">
              <w:t xml:space="preserve">(-) 7.5% </w:t>
            </w:r>
          </w:p>
        </w:tc>
      </w:tr>
      <w:tr w:rsidR="00D94698" w:rsidRPr="00B53423" w:rsidTr="00E93F0F">
        <w:trPr>
          <w:jc w:val="center"/>
        </w:trPr>
        <w:tc>
          <w:tcPr>
            <w:tcW w:w="2947" w:type="dxa"/>
            <w:shd w:val="clear" w:color="auto" w:fill="auto"/>
          </w:tcPr>
          <w:p w:rsidR="00D94698" w:rsidRPr="00B53423" w:rsidRDefault="00D94698" w:rsidP="0015232B">
            <w:pPr>
              <w:tabs>
                <w:tab w:val="left" w:pos="360"/>
              </w:tabs>
              <w:spacing w:before="60" w:after="120"/>
              <w:ind w:right="29"/>
            </w:pPr>
            <w:r w:rsidRPr="00B53423">
              <w:t>06:00 hrs – 17:00 hrs</w:t>
            </w:r>
          </w:p>
        </w:tc>
        <w:tc>
          <w:tcPr>
            <w:tcW w:w="2976" w:type="dxa"/>
            <w:shd w:val="clear" w:color="auto" w:fill="auto"/>
          </w:tcPr>
          <w:p w:rsidR="00D94698" w:rsidRPr="00B53423" w:rsidRDefault="00D94698" w:rsidP="0015232B">
            <w:pPr>
              <w:tabs>
                <w:tab w:val="left" w:pos="360"/>
              </w:tabs>
              <w:spacing w:before="60" w:after="120"/>
              <w:ind w:right="29"/>
            </w:pPr>
            <w:r w:rsidRPr="00B53423">
              <w:t xml:space="preserve">0% </w:t>
            </w:r>
          </w:p>
        </w:tc>
      </w:tr>
      <w:tr w:rsidR="00D94698" w:rsidRPr="00B53423" w:rsidTr="00E93F0F">
        <w:trPr>
          <w:jc w:val="center"/>
        </w:trPr>
        <w:tc>
          <w:tcPr>
            <w:tcW w:w="2947" w:type="dxa"/>
            <w:shd w:val="clear" w:color="auto" w:fill="D9D9D9" w:themeFill="background1" w:themeFillShade="D9"/>
          </w:tcPr>
          <w:p w:rsidR="00D94698" w:rsidRPr="00B53423" w:rsidRDefault="00D94698" w:rsidP="0015232B">
            <w:pPr>
              <w:tabs>
                <w:tab w:val="left" w:pos="360"/>
              </w:tabs>
              <w:spacing w:before="60" w:after="120"/>
              <w:ind w:right="29"/>
            </w:pPr>
            <w:r w:rsidRPr="00B53423">
              <w:t>17:00 hrs – 22:00 hrs</w:t>
            </w:r>
          </w:p>
        </w:tc>
        <w:tc>
          <w:tcPr>
            <w:tcW w:w="2976" w:type="dxa"/>
            <w:shd w:val="clear" w:color="auto" w:fill="D9D9D9" w:themeFill="background1" w:themeFillShade="D9"/>
          </w:tcPr>
          <w:p w:rsidR="00D94698" w:rsidRPr="00B53423" w:rsidRDefault="00D94698" w:rsidP="0015232B">
            <w:pPr>
              <w:tabs>
                <w:tab w:val="left" w:pos="360"/>
              </w:tabs>
              <w:spacing w:before="60" w:after="120"/>
              <w:ind w:right="29"/>
            </w:pPr>
            <w:r w:rsidRPr="00B53423">
              <w:t xml:space="preserve">(+) 15% </w:t>
            </w:r>
          </w:p>
        </w:tc>
      </w:tr>
    </w:tbl>
    <w:p w:rsidR="00D94698" w:rsidRPr="00B53423" w:rsidRDefault="00D94698" w:rsidP="0015232B">
      <w:pPr>
        <w:tabs>
          <w:tab w:val="left" w:pos="360"/>
        </w:tabs>
      </w:pPr>
    </w:p>
    <w:p w:rsidR="00D94698" w:rsidRPr="00B53423" w:rsidRDefault="00D94698" w:rsidP="0015232B">
      <w:pPr>
        <w:tabs>
          <w:tab w:val="left" w:pos="360"/>
        </w:tabs>
      </w:pPr>
    </w:p>
    <w:p w:rsidR="00D94698" w:rsidRPr="00B53423" w:rsidRDefault="00D94698" w:rsidP="0015232B">
      <w:pPr>
        <w:tabs>
          <w:tab w:val="left" w:pos="360"/>
        </w:tabs>
        <w:rPr>
          <w:rFonts w:cs="Arial"/>
          <w:b/>
        </w:rPr>
      </w:pPr>
      <w:r w:rsidRPr="00B53423">
        <w:rPr>
          <w:rFonts w:cs="Arial"/>
          <w:b/>
          <w:bCs/>
        </w:rPr>
        <w:t xml:space="preserve">(B) </w:t>
      </w:r>
      <w:r w:rsidRPr="00B53423">
        <w:rPr>
          <w:rFonts w:cs="Arial"/>
          <w:b/>
          <w:bCs/>
        </w:rPr>
        <w:tab/>
      </w:r>
      <w:r w:rsidRPr="00B53423">
        <w:rPr>
          <w:rFonts w:cs="Arial"/>
          <w:b/>
        </w:rPr>
        <w:t>Consumers getting supply</w:t>
      </w:r>
      <w:r w:rsidRPr="00B53423">
        <w:rPr>
          <w:rFonts w:cs="Arial"/>
        </w:rPr>
        <w:t xml:space="preserve"> </w:t>
      </w:r>
      <w:r w:rsidRPr="00B53423">
        <w:rPr>
          <w:rFonts w:cs="Arial"/>
          <w:b/>
        </w:rPr>
        <w:t>as per Rural Schedule:</w:t>
      </w:r>
    </w:p>
    <w:p w:rsidR="00D94698" w:rsidRPr="00B53423" w:rsidRDefault="00D94698" w:rsidP="0015232B">
      <w:pPr>
        <w:tabs>
          <w:tab w:val="left" w:pos="360"/>
        </w:tabs>
        <w:ind w:left="720"/>
        <w:rPr>
          <w:bCs/>
        </w:rPr>
      </w:pPr>
      <w:r w:rsidRPr="00B53423">
        <w:rPr>
          <w:bCs/>
        </w:rPr>
        <w:t>The consumer under this category shall be entitled to a rebate of 7.5% on demand &amp; energy charges as given for under urban schedule without TOD rates.</w:t>
      </w:r>
    </w:p>
    <w:p w:rsidR="00D94698" w:rsidRPr="00B53423" w:rsidRDefault="00D94698" w:rsidP="0015232B">
      <w:pPr>
        <w:tabs>
          <w:tab w:val="left" w:pos="720"/>
        </w:tabs>
        <w:spacing w:before="240" w:after="120"/>
        <w:ind w:right="29"/>
        <w:rPr>
          <w:rFonts w:cs="Arial"/>
          <w:b/>
        </w:rPr>
      </w:pPr>
      <w:r w:rsidRPr="00B53423">
        <w:rPr>
          <w:b/>
        </w:rPr>
        <w:t>4.</w:t>
      </w:r>
      <w:r w:rsidRPr="00B53423">
        <w:rPr>
          <w:b/>
        </w:rPr>
        <w:tab/>
      </w:r>
      <w:r w:rsidRPr="00B53423">
        <w:rPr>
          <w:rFonts w:cs="Arial"/>
          <w:b/>
        </w:rPr>
        <w:t xml:space="preserve">PROVISIONS RELATED TO SEASONAL INDUSTRIES: </w:t>
      </w:r>
    </w:p>
    <w:p w:rsidR="00D94698" w:rsidRPr="00B53423" w:rsidRDefault="00D94698" w:rsidP="0015232B">
      <w:pPr>
        <w:spacing w:before="60"/>
        <w:ind w:left="720" w:right="29"/>
      </w:pPr>
      <w:r w:rsidRPr="00B53423">
        <w:t>Seasonal industries will be determined in accordance with the criteria laid down below. No exhaustive list can be provided but some examples of industries exhibiting such characteristics are sugar, ice, rice mill and cold storage. The industries which operate during certain period of the year, i.e. have seasonality of operation, can avail the benefits of seasonal industries provided:</w:t>
      </w:r>
    </w:p>
    <w:p w:rsidR="00D94698" w:rsidRPr="00B53423" w:rsidRDefault="00D94698" w:rsidP="000174C0">
      <w:pPr>
        <w:numPr>
          <w:ilvl w:val="0"/>
          <w:numId w:val="95"/>
        </w:numPr>
        <w:tabs>
          <w:tab w:val="clear" w:pos="1080"/>
        </w:tabs>
        <w:spacing w:before="60" w:line="288" w:lineRule="auto"/>
        <w:ind w:left="1440" w:right="29"/>
      </w:pPr>
      <w:r w:rsidRPr="00B53423">
        <w:t xml:space="preserve">The </w:t>
      </w:r>
      <w:proofErr w:type="gramStart"/>
      <w:r w:rsidRPr="00B53423">
        <w:t>load of such industry is above 13.4 BHP (for motive power loads) &amp; 10 kW (other loads) and have</w:t>
      </w:r>
      <w:proofErr w:type="gramEnd"/>
      <w:r w:rsidRPr="00B53423">
        <w:t xml:space="preserve"> Tri-vector Meters / TOD meters installed at their premises.</w:t>
      </w:r>
    </w:p>
    <w:p w:rsidR="00D94698" w:rsidRPr="00B53423" w:rsidRDefault="00D94698" w:rsidP="000174C0">
      <w:pPr>
        <w:numPr>
          <w:ilvl w:val="0"/>
          <w:numId w:val="95"/>
        </w:numPr>
        <w:tabs>
          <w:tab w:val="clear" w:pos="1080"/>
        </w:tabs>
        <w:spacing w:before="60" w:line="288" w:lineRule="auto"/>
        <w:ind w:left="1440" w:right="29"/>
      </w:pPr>
      <w:r w:rsidRPr="00B53423">
        <w:t xml:space="preserve">The continuous period of operation of such industries shall be at least 4 (four) months but not more than 9 (nine) months in a financial year. </w:t>
      </w:r>
    </w:p>
    <w:p w:rsidR="00D94698" w:rsidRPr="00B53423" w:rsidRDefault="00D94698" w:rsidP="000174C0">
      <w:pPr>
        <w:numPr>
          <w:ilvl w:val="0"/>
          <w:numId w:val="95"/>
        </w:numPr>
        <w:tabs>
          <w:tab w:val="clear" w:pos="1080"/>
        </w:tabs>
        <w:spacing w:before="60" w:line="288" w:lineRule="auto"/>
        <w:ind w:left="1440" w:right="29"/>
      </w:pPr>
      <w:r w:rsidRPr="00B53423">
        <w:t xml:space="preserve">Any prospective consumer, desirous of availing the seasonal benefit, shall specifically declare his season at the time of submission of declaration / execution of agreement mentioning the period of operation unambiguously. </w:t>
      </w:r>
    </w:p>
    <w:p w:rsidR="00D94698" w:rsidRPr="00B53423" w:rsidRDefault="00D94698" w:rsidP="000174C0">
      <w:pPr>
        <w:numPr>
          <w:ilvl w:val="0"/>
          <w:numId w:val="95"/>
        </w:numPr>
        <w:tabs>
          <w:tab w:val="clear" w:pos="1080"/>
        </w:tabs>
        <w:spacing w:before="60" w:line="288" w:lineRule="auto"/>
        <w:ind w:left="1440" w:right="29"/>
      </w:pPr>
      <w:r w:rsidRPr="00B53423">
        <w:t>The seasonal period once notified cannot be reduced during the next consecutive 12 months. The off-season tariff is not applicable to composite units having seasonal and other category loads.</w:t>
      </w:r>
    </w:p>
    <w:p w:rsidR="00D94698" w:rsidRPr="00B53423" w:rsidRDefault="00D94698" w:rsidP="000174C0">
      <w:pPr>
        <w:numPr>
          <w:ilvl w:val="0"/>
          <w:numId w:val="95"/>
        </w:numPr>
        <w:tabs>
          <w:tab w:val="clear" w:pos="1080"/>
        </w:tabs>
        <w:spacing w:before="60" w:line="288" w:lineRule="auto"/>
        <w:ind w:left="1440" w:right="29"/>
      </w:pPr>
      <w:r w:rsidRPr="00B53423">
        <w:t xml:space="preserve">The off-season tariff is also not available to those units who have captive generation exclusively for process during season and who avail Licensees supply for miscellaneous loads and other non-process loads.  </w:t>
      </w:r>
    </w:p>
    <w:p w:rsidR="00D94698" w:rsidRPr="00B53423" w:rsidRDefault="00D94698" w:rsidP="0015232B">
      <w:pPr>
        <w:spacing w:before="60"/>
        <w:ind w:left="1440" w:right="29" w:hanging="720"/>
        <w:rPr>
          <w:b/>
        </w:rPr>
      </w:pPr>
      <w:proofErr w:type="gramStart"/>
      <w:r w:rsidRPr="00B53423">
        <w:t xml:space="preserve">vi)  </w:t>
      </w:r>
      <w:r w:rsidRPr="00B53423">
        <w:tab/>
        <w:t>The</w:t>
      </w:r>
      <w:proofErr w:type="gramEnd"/>
      <w:r w:rsidRPr="00B53423">
        <w:t xml:space="preserve"> consumer opting for seasonal benefit has a flexibility to declare his off seasonal maximum demand subject to a maximum of 25% of the contracted demand.  The tariff rates (demand charge per kW / kVA and energy charge per kWh / kVAh) for such industries during off-season period will be the same as for normal period.  Further, during the off season fixed charges shall be levied on the basis of maximum demand recorded by the meter (not on normal billable demand or on percentage contracted demand).  Rates for the energy charges shall however be the same as during the operational season.  Further, first violation in the season would attract full billable demand charges and energy charges calculated at the unit rate 50% higher than the applicable tariff during normal period but only for the month in which the consumer has defaulted. However, on second default the consumer will forfeit the benefit of seasonal rates for the entire season. </w:t>
      </w:r>
    </w:p>
    <w:p w:rsidR="00D94698" w:rsidRPr="00B53423" w:rsidRDefault="00D94698" w:rsidP="0015232B">
      <w:pPr>
        <w:tabs>
          <w:tab w:val="left" w:pos="360"/>
          <w:tab w:val="left" w:pos="720"/>
        </w:tabs>
        <w:spacing w:before="100"/>
        <w:ind w:right="29"/>
        <w:rPr>
          <w:b/>
        </w:rPr>
      </w:pPr>
    </w:p>
    <w:p w:rsidR="00D94698" w:rsidRPr="00B53423" w:rsidRDefault="00D94698" w:rsidP="0015232B">
      <w:pPr>
        <w:tabs>
          <w:tab w:val="left" w:pos="360"/>
          <w:tab w:val="left" w:pos="720"/>
        </w:tabs>
        <w:spacing w:before="100"/>
        <w:ind w:right="29"/>
        <w:rPr>
          <w:b/>
        </w:rPr>
      </w:pPr>
      <w:r w:rsidRPr="00B53423">
        <w:rPr>
          <w:b/>
        </w:rPr>
        <w:t>5.</w:t>
      </w:r>
      <w:r w:rsidRPr="00B53423">
        <w:rPr>
          <w:b/>
        </w:rPr>
        <w:tab/>
      </w:r>
      <w:r w:rsidRPr="00B53423">
        <w:rPr>
          <w:b/>
        </w:rPr>
        <w:tab/>
        <w:t>REBATE TO POWER LOOMS:</w:t>
      </w:r>
    </w:p>
    <w:p w:rsidR="00D94698" w:rsidRPr="00B53423" w:rsidRDefault="00D94698" w:rsidP="0015232B">
      <w:pPr>
        <w:tabs>
          <w:tab w:val="left" w:pos="360"/>
          <w:tab w:val="left" w:pos="720"/>
        </w:tabs>
        <w:spacing w:before="100"/>
        <w:ind w:left="720" w:right="29"/>
      </w:pPr>
      <w:r w:rsidRPr="00B53423">
        <w:t>Rebate to Power Loom consumers shall be applicable in accordance with the Government order dated 14</w:t>
      </w:r>
      <w:r w:rsidRPr="00B53423">
        <w:rPr>
          <w:vertAlign w:val="superscript"/>
        </w:rPr>
        <w:t>th</w:t>
      </w:r>
      <w:r w:rsidRPr="00B53423">
        <w:t xml:space="preserve"> June, 2006 and the Commission’s order dated 11</w:t>
      </w:r>
      <w:r w:rsidRPr="00B53423">
        <w:rPr>
          <w:vertAlign w:val="superscript"/>
        </w:rPr>
        <w:t>th</w:t>
      </w:r>
      <w:r w:rsidRPr="00B53423">
        <w:t xml:space="preserve"> July, 2006 subject to adherence of provision of advance subsidy.  </w:t>
      </w:r>
    </w:p>
    <w:p w:rsidR="00D94698" w:rsidRPr="00B53423" w:rsidRDefault="00D94698" w:rsidP="0015232B">
      <w:pPr>
        <w:tabs>
          <w:tab w:val="left" w:pos="360"/>
          <w:tab w:val="left" w:pos="720"/>
        </w:tabs>
        <w:spacing w:before="100"/>
        <w:ind w:left="720" w:right="29"/>
      </w:pPr>
    </w:p>
    <w:p w:rsidR="00D94698" w:rsidRPr="00B53423" w:rsidRDefault="00D94698" w:rsidP="0015232B">
      <w:pPr>
        <w:tabs>
          <w:tab w:val="left" w:pos="360"/>
        </w:tabs>
        <w:spacing w:before="100" w:after="100"/>
        <w:ind w:right="29"/>
        <w:rPr>
          <w:b/>
        </w:rPr>
      </w:pPr>
      <w:r w:rsidRPr="00B53423">
        <w:rPr>
          <w:b/>
        </w:rPr>
        <w:t>6.</w:t>
      </w:r>
      <w:r w:rsidRPr="00B53423">
        <w:rPr>
          <w:b/>
        </w:rPr>
        <w:tab/>
      </w:r>
      <w:r w:rsidRPr="00B53423">
        <w:rPr>
          <w:b/>
        </w:rPr>
        <w:tab/>
        <w:t>FACTORY LIGHTING:</w:t>
      </w:r>
    </w:p>
    <w:p w:rsidR="00D94698" w:rsidRPr="00B53423" w:rsidRDefault="00D94698" w:rsidP="0015232B">
      <w:pPr>
        <w:spacing w:before="60" w:after="120"/>
        <w:ind w:left="720" w:right="29"/>
      </w:pPr>
      <w:r w:rsidRPr="00B53423">
        <w:t>The electrical energy supplied shall also be utilized in the factory premises for lights, fans, coolers, etc. which shall mean and include all energy consumed for factory lighting in the offices, the main factory building, stores, time keeper’s office, canteen, staff club, library, crèche, dispensary, staff welfare centres, compound lighting, etc. No separate connection for the same shall be provided.</w:t>
      </w:r>
    </w:p>
    <w:p w:rsidR="00D94698" w:rsidRPr="00B53423" w:rsidRDefault="00D94698" w:rsidP="0015232B">
      <w:pPr>
        <w:spacing w:before="60" w:after="120"/>
        <w:ind w:left="720" w:right="29"/>
      </w:pPr>
    </w:p>
    <w:p w:rsidR="00D94698" w:rsidRPr="00B53423" w:rsidRDefault="00D94698" w:rsidP="0015232B">
      <w:pPr>
        <w:spacing w:before="60" w:after="120"/>
        <w:ind w:right="29"/>
        <w:jc w:val="center"/>
        <w:rPr>
          <w:rFonts w:cs="Arial"/>
          <w:caps/>
          <w:u w:val="single"/>
        </w:rPr>
      </w:pPr>
      <w:r w:rsidRPr="00B53423">
        <w:rPr>
          <w:b/>
        </w:rPr>
        <w:tab/>
      </w:r>
      <w:r w:rsidRPr="00B53423">
        <w:rPr>
          <w:rFonts w:cs="Arial"/>
        </w:rPr>
        <w:br w:type="page"/>
      </w:r>
      <w:r w:rsidRPr="00B53423">
        <w:rPr>
          <w:rFonts w:cs="Arial"/>
          <w:b/>
          <w:bCs/>
          <w:caps/>
          <w:u w:val="single"/>
        </w:rPr>
        <w:t>Rate Schedule LMV– 7:</w:t>
      </w:r>
    </w:p>
    <w:p w:rsidR="00D94698" w:rsidRPr="00B53423" w:rsidRDefault="00D94698" w:rsidP="0015232B">
      <w:pPr>
        <w:spacing w:before="100" w:beforeAutospacing="1" w:after="120"/>
        <w:ind w:right="29"/>
        <w:jc w:val="center"/>
        <w:rPr>
          <w:rFonts w:cs="Arial"/>
          <w:b/>
        </w:rPr>
      </w:pPr>
      <w:r w:rsidRPr="00B53423">
        <w:rPr>
          <w:rFonts w:cs="Arial"/>
          <w:b/>
        </w:rPr>
        <w:t>PUBLIC WATER WORKS:</w:t>
      </w:r>
    </w:p>
    <w:p w:rsidR="00D94698" w:rsidRPr="00B53423" w:rsidRDefault="00D94698" w:rsidP="0015232B">
      <w:pPr>
        <w:tabs>
          <w:tab w:val="left" w:pos="360"/>
        </w:tabs>
        <w:spacing w:before="100" w:beforeAutospacing="1" w:after="120"/>
        <w:ind w:right="29"/>
        <w:rPr>
          <w:rFonts w:cs="Arial"/>
          <w:b/>
        </w:rPr>
      </w:pPr>
      <w:r w:rsidRPr="00B53423">
        <w:rPr>
          <w:rFonts w:cs="Arial"/>
          <w:b/>
        </w:rPr>
        <w:t>1.</w:t>
      </w:r>
      <w:r w:rsidRPr="00B53423">
        <w:rPr>
          <w:rFonts w:cs="Arial"/>
          <w:b/>
        </w:rPr>
        <w:tab/>
        <w:t>APPLICABILITY:</w:t>
      </w:r>
    </w:p>
    <w:p w:rsidR="00D94698" w:rsidRPr="00B53423" w:rsidRDefault="00D94698" w:rsidP="0015232B">
      <w:pPr>
        <w:spacing w:before="100" w:beforeAutospacing="1" w:after="120"/>
        <w:ind w:left="360" w:right="29"/>
        <w:rPr>
          <w:rFonts w:cs="Arial"/>
        </w:rPr>
      </w:pPr>
      <w:r w:rsidRPr="00B53423">
        <w:rPr>
          <w:rFonts w:cs="Arial"/>
        </w:rPr>
        <w:t xml:space="preserve">This schedule shall apply to Public Water Works, Sewage Treatment Plants and Sewage Pumping Stations functioning under Jal Sansthan, Jal Nigam or other local bodies. </w:t>
      </w:r>
    </w:p>
    <w:p w:rsidR="00D94698" w:rsidRPr="00B53423" w:rsidRDefault="00D94698" w:rsidP="0015232B">
      <w:pPr>
        <w:spacing w:before="100" w:beforeAutospacing="1" w:after="120"/>
        <w:ind w:left="360" w:right="29"/>
        <w:rPr>
          <w:rFonts w:cs="Arial"/>
        </w:rPr>
      </w:pPr>
    </w:p>
    <w:p w:rsidR="00D94698" w:rsidRPr="00B53423" w:rsidRDefault="00D94698" w:rsidP="0015232B">
      <w:pPr>
        <w:tabs>
          <w:tab w:val="left" w:pos="360"/>
        </w:tabs>
        <w:spacing w:before="100" w:after="120"/>
        <w:ind w:right="29"/>
        <w:rPr>
          <w:b/>
        </w:rPr>
      </w:pPr>
      <w:r w:rsidRPr="00B53423">
        <w:rPr>
          <w:b/>
        </w:rPr>
        <w:t>2.</w:t>
      </w:r>
      <w:r w:rsidRPr="00B53423">
        <w:rPr>
          <w:b/>
        </w:rPr>
        <w:tab/>
        <w:t>CHARACTER AND POINT OF SUPPLY:</w:t>
      </w:r>
    </w:p>
    <w:p w:rsidR="00D94698" w:rsidRPr="00B53423" w:rsidRDefault="00D94698" w:rsidP="0015232B">
      <w:pPr>
        <w:spacing w:line="240" w:lineRule="auto"/>
        <w:ind w:left="360" w:right="-58"/>
        <w:rPr>
          <w:rFonts w:cs="Arial"/>
        </w:rPr>
      </w:pPr>
      <w:proofErr w:type="gramStart"/>
      <w:r w:rsidRPr="00B53423">
        <w:t>As per the applicable provisions of Electricity Supply Code.</w:t>
      </w:r>
      <w:proofErr w:type="gramEnd"/>
    </w:p>
    <w:p w:rsidR="00D94698" w:rsidRPr="00B53423" w:rsidRDefault="00D94698" w:rsidP="0015232B">
      <w:pPr>
        <w:tabs>
          <w:tab w:val="left" w:pos="360"/>
        </w:tabs>
        <w:spacing w:before="100" w:after="120"/>
        <w:ind w:right="29"/>
        <w:rPr>
          <w:rFonts w:cs="Arial"/>
          <w:b/>
        </w:rPr>
      </w:pPr>
    </w:p>
    <w:p w:rsidR="00D94698" w:rsidRPr="00B53423" w:rsidRDefault="00D94698" w:rsidP="0015232B">
      <w:pPr>
        <w:tabs>
          <w:tab w:val="left" w:pos="360"/>
        </w:tabs>
        <w:spacing w:before="100" w:after="120"/>
        <w:ind w:right="29"/>
        <w:rPr>
          <w:rFonts w:cs="Arial"/>
          <w:b/>
        </w:rPr>
      </w:pPr>
      <w:r w:rsidRPr="00B53423">
        <w:rPr>
          <w:rFonts w:cs="Arial"/>
          <w:b/>
        </w:rPr>
        <w:t>3.</w:t>
      </w:r>
      <w:r w:rsidRPr="00B53423">
        <w:rPr>
          <w:rFonts w:cs="Arial"/>
          <w:b/>
        </w:rPr>
        <w:tab/>
        <w:t>RATE:</w:t>
      </w:r>
    </w:p>
    <w:p w:rsidR="00D94698" w:rsidRPr="00B53423" w:rsidRDefault="00D94698" w:rsidP="0015232B">
      <w:pPr>
        <w:tabs>
          <w:tab w:val="left" w:pos="720"/>
        </w:tabs>
        <w:ind w:left="360"/>
        <w:rPr>
          <w:rFonts w:cs="Arial"/>
          <w:b/>
        </w:rPr>
      </w:pPr>
      <w:r w:rsidRPr="00B53423">
        <w:rPr>
          <w:rFonts w:cs="Arial"/>
          <w:b/>
          <w:bCs/>
        </w:rPr>
        <w:t xml:space="preserve">(A) </w:t>
      </w:r>
      <w:r w:rsidRPr="00B53423">
        <w:rPr>
          <w:rFonts w:cs="Arial"/>
          <w:b/>
        </w:rPr>
        <w:t>Consumers getting supply</w:t>
      </w:r>
      <w:r w:rsidRPr="00B53423">
        <w:rPr>
          <w:rFonts w:cs="Arial"/>
        </w:rPr>
        <w:t xml:space="preserve"> </w:t>
      </w:r>
      <w:r w:rsidRPr="00B53423">
        <w:rPr>
          <w:rFonts w:cs="Arial"/>
          <w:b/>
        </w:rPr>
        <w:t>other than “Rural</w:t>
      </w:r>
      <w:r w:rsidRPr="00B53423">
        <w:rPr>
          <w:rFonts w:cs="Arial"/>
        </w:rPr>
        <w:t xml:space="preserve"> </w:t>
      </w:r>
      <w:r w:rsidRPr="00B53423">
        <w:rPr>
          <w:rFonts w:cs="Arial"/>
          <w:b/>
        </w:rPr>
        <w:t>Schedule”:</w:t>
      </w:r>
    </w:p>
    <w:p w:rsidR="00D94698" w:rsidRPr="00B53423" w:rsidRDefault="00D94698" w:rsidP="0015232B">
      <w:pPr>
        <w:spacing w:before="100" w:beforeAutospacing="1" w:after="120"/>
        <w:ind w:left="360"/>
      </w:pPr>
      <w:r w:rsidRPr="00B53423">
        <w:t>Rate gives the fixed and energy charges at which the consumer shall be billed for his consumption during the billing period applicable to the category:</w:t>
      </w:r>
    </w:p>
    <w:tbl>
      <w:tblPr>
        <w:tblW w:w="5836" w:type="dxa"/>
        <w:jc w:val="center"/>
        <w:tblInd w:w="1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66"/>
        <w:gridCol w:w="2970"/>
      </w:tblGrid>
      <w:tr w:rsidR="00D94698" w:rsidRPr="00B53423" w:rsidTr="00E93F0F">
        <w:trPr>
          <w:jc w:val="center"/>
        </w:trPr>
        <w:tc>
          <w:tcPr>
            <w:tcW w:w="2866" w:type="dxa"/>
            <w:shd w:val="pct12" w:color="auto" w:fill="auto"/>
          </w:tcPr>
          <w:p w:rsidR="00D94698" w:rsidRPr="00B53423" w:rsidRDefault="00D94698" w:rsidP="0015232B">
            <w:pPr>
              <w:ind w:right="29"/>
              <w:jc w:val="center"/>
              <w:rPr>
                <w:rFonts w:cs="Arial"/>
                <w:b/>
              </w:rPr>
            </w:pPr>
            <w:r w:rsidRPr="00B53423">
              <w:rPr>
                <w:rFonts w:cs="Arial"/>
                <w:b/>
              </w:rPr>
              <w:t>Fixed Charge</w:t>
            </w:r>
          </w:p>
        </w:tc>
        <w:tc>
          <w:tcPr>
            <w:tcW w:w="2970" w:type="dxa"/>
            <w:shd w:val="pct12" w:color="auto" w:fill="auto"/>
          </w:tcPr>
          <w:p w:rsidR="00D94698" w:rsidRPr="00B53423" w:rsidRDefault="00D94698" w:rsidP="0015232B">
            <w:pPr>
              <w:ind w:right="29"/>
              <w:jc w:val="center"/>
              <w:rPr>
                <w:rFonts w:cs="Arial"/>
                <w:b/>
              </w:rPr>
            </w:pPr>
            <w:r w:rsidRPr="00B53423">
              <w:rPr>
                <w:rFonts w:cs="Arial"/>
                <w:b/>
              </w:rPr>
              <w:t>Energy Charge</w:t>
            </w:r>
          </w:p>
        </w:tc>
      </w:tr>
      <w:tr w:rsidR="00D94698" w:rsidRPr="00B53423" w:rsidTr="00E93F0F">
        <w:trPr>
          <w:jc w:val="center"/>
        </w:trPr>
        <w:tc>
          <w:tcPr>
            <w:tcW w:w="2866" w:type="dxa"/>
          </w:tcPr>
          <w:p w:rsidR="00D94698" w:rsidRPr="00B53423" w:rsidRDefault="00D94698" w:rsidP="0015232B">
            <w:pPr>
              <w:ind w:right="29"/>
              <w:rPr>
                <w:rFonts w:cs="Arial"/>
                <w:bCs/>
              </w:rPr>
            </w:pPr>
            <w:r w:rsidRPr="00B53423">
              <w:rPr>
                <w:rFonts w:cs="Arial"/>
                <w:bCs/>
              </w:rPr>
              <w:t>Rs. 230.00 / kW / month</w:t>
            </w:r>
          </w:p>
        </w:tc>
        <w:tc>
          <w:tcPr>
            <w:tcW w:w="2970" w:type="dxa"/>
          </w:tcPr>
          <w:p w:rsidR="00D94698" w:rsidRPr="00B53423" w:rsidRDefault="00D94698" w:rsidP="0015232B">
            <w:pPr>
              <w:ind w:right="29"/>
              <w:rPr>
                <w:rFonts w:cs="Arial"/>
                <w:bCs/>
              </w:rPr>
            </w:pPr>
            <w:r w:rsidRPr="00B53423">
              <w:rPr>
                <w:rFonts w:cs="Arial"/>
                <w:bCs/>
              </w:rPr>
              <w:t>Rs. 6.80 / kWh</w:t>
            </w:r>
          </w:p>
        </w:tc>
      </w:tr>
    </w:tbl>
    <w:p w:rsidR="00D94698" w:rsidRPr="00B53423" w:rsidRDefault="00D94698" w:rsidP="0015232B">
      <w:pPr>
        <w:ind w:right="29"/>
        <w:rPr>
          <w:rFonts w:cs="Arial"/>
          <w:b/>
        </w:rPr>
      </w:pPr>
    </w:p>
    <w:p w:rsidR="00D94698" w:rsidRPr="00B53423" w:rsidRDefault="00D94698" w:rsidP="0015232B">
      <w:pPr>
        <w:tabs>
          <w:tab w:val="left" w:pos="720"/>
        </w:tabs>
        <w:ind w:left="360"/>
        <w:rPr>
          <w:rFonts w:cs="Arial"/>
          <w:b/>
        </w:rPr>
      </w:pPr>
      <w:r w:rsidRPr="00B53423">
        <w:rPr>
          <w:rFonts w:cs="Arial"/>
          <w:b/>
          <w:bCs/>
        </w:rPr>
        <w:t xml:space="preserve"> (B) </w:t>
      </w:r>
      <w:r w:rsidRPr="00B53423">
        <w:rPr>
          <w:rFonts w:cs="Arial"/>
          <w:b/>
        </w:rPr>
        <w:t>Consumers getting supply</w:t>
      </w:r>
      <w:r w:rsidRPr="00B53423">
        <w:rPr>
          <w:rFonts w:cs="Arial"/>
        </w:rPr>
        <w:t xml:space="preserve"> </w:t>
      </w:r>
      <w:r w:rsidRPr="00B53423">
        <w:rPr>
          <w:rFonts w:cs="Arial"/>
          <w:b/>
        </w:rPr>
        <w:t>as per “Rural Schedule”:</w:t>
      </w:r>
    </w:p>
    <w:p w:rsidR="00D94698" w:rsidRPr="00B53423" w:rsidRDefault="00D94698" w:rsidP="0015232B">
      <w:pPr>
        <w:tabs>
          <w:tab w:val="left" w:pos="360"/>
        </w:tabs>
        <w:ind w:left="720"/>
        <w:rPr>
          <w:bCs/>
        </w:rPr>
      </w:pPr>
      <w:r w:rsidRPr="00B53423">
        <w:rPr>
          <w:bCs/>
        </w:rPr>
        <w:t xml:space="preserve">The consumer under this category shall be entitled to a rebate of 7.5% on demand &amp; energy charges as given for under other than rural schedule. </w:t>
      </w:r>
    </w:p>
    <w:p w:rsidR="00D94698" w:rsidRPr="00B53423" w:rsidRDefault="00D94698" w:rsidP="0015232B">
      <w:pPr>
        <w:jc w:val="center"/>
      </w:pPr>
    </w:p>
    <w:p w:rsidR="00D94698" w:rsidRPr="00B53423" w:rsidRDefault="00D94698" w:rsidP="0015232B">
      <w:pPr>
        <w:spacing w:line="240" w:lineRule="auto"/>
        <w:jc w:val="left"/>
        <w:rPr>
          <w:b/>
          <w:u w:val="single"/>
        </w:rPr>
      </w:pPr>
      <w:r w:rsidRPr="00B53423">
        <w:rPr>
          <w:b/>
          <w:u w:val="single"/>
        </w:rPr>
        <w:br w:type="page"/>
      </w:r>
    </w:p>
    <w:p w:rsidR="00D94698" w:rsidRPr="00B53423" w:rsidRDefault="007F5CE3" w:rsidP="0015232B">
      <w:pPr>
        <w:jc w:val="center"/>
        <w:rPr>
          <w:b/>
          <w:u w:val="single"/>
        </w:rPr>
      </w:pPr>
      <w:r w:rsidRPr="00B53423">
        <w:rPr>
          <w:b/>
          <w:u w:val="single"/>
        </w:rPr>
        <w:t>RATE SCHEDULE</w:t>
      </w:r>
      <w:r w:rsidR="00D94698" w:rsidRPr="00B53423">
        <w:rPr>
          <w:b/>
          <w:u w:val="single"/>
        </w:rPr>
        <w:t xml:space="preserve"> LMV – 8:</w:t>
      </w:r>
    </w:p>
    <w:p w:rsidR="00D94698" w:rsidRPr="00B53423" w:rsidRDefault="00D94698" w:rsidP="0015232B">
      <w:pPr>
        <w:jc w:val="center"/>
        <w:rPr>
          <w:rFonts w:cs="Arial"/>
          <w:b/>
        </w:rPr>
      </w:pPr>
    </w:p>
    <w:p w:rsidR="00D94698" w:rsidRPr="00B53423" w:rsidRDefault="00D94698" w:rsidP="0015232B">
      <w:pPr>
        <w:jc w:val="center"/>
        <w:rPr>
          <w:rFonts w:cs="Arial"/>
          <w:b/>
        </w:rPr>
      </w:pPr>
      <w:r w:rsidRPr="00B53423">
        <w:rPr>
          <w:rFonts w:cs="Arial"/>
          <w:b/>
        </w:rPr>
        <w:t>STATE TUBE WELLS / PANCHAYTI RAJ TUBE WELL &amp; PUMPED CANALS:</w:t>
      </w:r>
    </w:p>
    <w:p w:rsidR="00D94698" w:rsidRPr="00B53423" w:rsidRDefault="00D94698" w:rsidP="0015232B">
      <w:pPr>
        <w:tabs>
          <w:tab w:val="left" w:pos="360"/>
        </w:tabs>
        <w:spacing w:before="100" w:beforeAutospacing="1"/>
        <w:ind w:right="1440"/>
        <w:rPr>
          <w:rFonts w:cs="Arial"/>
          <w:b/>
        </w:rPr>
      </w:pPr>
      <w:r w:rsidRPr="00B53423">
        <w:rPr>
          <w:rFonts w:cs="Arial"/>
          <w:b/>
        </w:rPr>
        <w:t>1.</w:t>
      </w:r>
      <w:r w:rsidRPr="00B53423">
        <w:rPr>
          <w:rFonts w:cs="Arial"/>
          <w:b/>
        </w:rPr>
        <w:tab/>
        <w:t>APPLICABILITY:</w:t>
      </w:r>
    </w:p>
    <w:p w:rsidR="00D94698" w:rsidRPr="00B53423" w:rsidRDefault="00D94698" w:rsidP="000174C0">
      <w:pPr>
        <w:numPr>
          <w:ilvl w:val="0"/>
          <w:numId w:val="92"/>
        </w:numPr>
        <w:tabs>
          <w:tab w:val="clear" w:pos="1080"/>
        </w:tabs>
        <w:spacing w:before="100" w:beforeAutospacing="1" w:line="288" w:lineRule="auto"/>
        <w:ind w:right="29"/>
        <w:rPr>
          <w:rFonts w:cs="Arial"/>
        </w:rPr>
      </w:pPr>
      <w:r w:rsidRPr="00B53423">
        <w:rPr>
          <w:rFonts w:cs="Arial"/>
        </w:rPr>
        <w:t xml:space="preserve">This schedule shall apply to supply of power for all State Tube wells, including Tube wells operated by Panchayti Raj, World Bank Tube wells, Indo Dutch Tube wells, </w:t>
      </w:r>
      <w:proofErr w:type="gramStart"/>
      <w:r w:rsidRPr="00B53423">
        <w:rPr>
          <w:rFonts w:cs="Arial"/>
        </w:rPr>
        <w:t>Pumped</w:t>
      </w:r>
      <w:proofErr w:type="gramEnd"/>
      <w:r w:rsidRPr="00B53423">
        <w:rPr>
          <w:rFonts w:cs="Arial"/>
        </w:rPr>
        <w:t xml:space="preserve"> Canals and Lift Irrigation schemes having a load up to 100 BHP.</w:t>
      </w:r>
    </w:p>
    <w:p w:rsidR="00D94698" w:rsidRPr="00B53423" w:rsidRDefault="00D94698" w:rsidP="000174C0">
      <w:pPr>
        <w:numPr>
          <w:ilvl w:val="0"/>
          <w:numId w:val="92"/>
        </w:numPr>
        <w:tabs>
          <w:tab w:val="clear" w:pos="1080"/>
        </w:tabs>
        <w:spacing w:before="100" w:beforeAutospacing="1" w:line="288" w:lineRule="auto"/>
        <w:ind w:right="1440"/>
        <w:rPr>
          <w:rFonts w:cs="Arial"/>
        </w:rPr>
      </w:pPr>
      <w:r w:rsidRPr="00B53423">
        <w:rPr>
          <w:rFonts w:cs="Arial"/>
        </w:rPr>
        <w:t xml:space="preserve">Laghu Dal Nahar having load above 100 BHP. </w:t>
      </w:r>
    </w:p>
    <w:p w:rsidR="00D94698" w:rsidRPr="00B53423" w:rsidRDefault="00D94698" w:rsidP="0015232B"/>
    <w:p w:rsidR="00D94698" w:rsidRPr="00B53423" w:rsidRDefault="00D94698" w:rsidP="0015232B">
      <w:pPr>
        <w:tabs>
          <w:tab w:val="left" w:pos="360"/>
        </w:tabs>
        <w:spacing w:line="240" w:lineRule="auto"/>
        <w:ind w:left="360" w:right="-58" w:hanging="360"/>
        <w:rPr>
          <w:b/>
        </w:rPr>
      </w:pPr>
      <w:r w:rsidRPr="00B53423">
        <w:rPr>
          <w:b/>
        </w:rPr>
        <w:t>2.</w:t>
      </w:r>
      <w:r w:rsidRPr="00B53423">
        <w:rPr>
          <w:b/>
        </w:rPr>
        <w:tab/>
        <w:t>CHARACTER AND POINT OF SUPPLY:</w:t>
      </w:r>
    </w:p>
    <w:p w:rsidR="00D94698" w:rsidRPr="00B53423" w:rsidRDefault="00D94698" w:rsidP="0015232B">
      <w:pPr>
        <w:spacing w:line="240" w:lineRule="auto"/>
        <w:ind w:right="-58" w:firstLine="360"/>
      </w:pPr>
      <w:r w:rsidRPr="00B53423">
        <w:rPr>
          <w:b/>
        </w:rPr>
        <w:t xml:space="preserve"> </w:t>
      </w:r>
      <w:proofErr w:type="gramStart"/>
      <w:r w:rsidRPr="00B53423">
        <w:t>As per the applicable provisions of Electricity Supply Code.</w:t>
      </w:r>
      <w:proofErr w:type="gramEnd"/>
    </w:p>
    <w:p w:rsidR="00D94698" w:rsidRPr="00B53423" w:rsidRDefault="00D94698" w:rsidP="0015232B">
      <w:pPr>
        <w:spacing w:line="240" w:lineRule="auto"/>
        <w:ind w:right="-58" w:firstLine="360"/>
        <w:rPr>
          <w:rFonts w:cs="Arial"/>
        </w:rPr>
      </w:pPr>
    </w:p>
    <w:p w:rsidR="00D94698" w:rsidRPr="00B53423" w:rsidRDefault="00D94698" w:rsidP="0015232B">
      <w:pPr>
        <w:tabs>
          <w:tab w:val="left" w:pos="360"/>
        </w:tabs>
        <w:spacing w:before="100"/>
        <w:ind w:right="-61"/>
        <w:rPr>
          <w:rFonts w:cs="Arial"/>
          <w:b/>
        </w:rPr>
      </w:pPr>
      <w:r w:rsidRPr="00B53423">
        <w:rPr>
          <w:rFonts w:cs="Arial"/>
          <w:b/>
        </w:rPr>
        <w:t>3.</w:t>
      </w:r>
      <w:r w:rsidRPr="00B53423">
        <w:rPr>
          <w:rFonts w:cs="Arial"/>
          <w:b/>
        </w:rPr>
        <w:tab/>
        <w:t>RATE:</w:t>
      </w:r>
    </w:p>
    <w:p w:rsidR="00D94698" w:rsidRPr="00B53423" w:rsidRDefault="00D94698" w:rsidP="0015232B">
      <w:pPr>
        <w:spacing w:before="100" w:beforeAutospacing="1" w:after="120"/>
        <w:ind w:left="360"/>
        <w:rPr>
          <w:rFonts w:cs="Arial"/>
        </w:rPr>
      </w:pPr>
      <w:r w:rsidRPr="00B53423">
        <w:t xml:space="preserve">Rate gives the fixed and energy charges at which the consumer shall be billed for his consumption during the billing period applicable to the category: </w:t>
      </w:r>
    </w:p>
    <w:tbl>
      <w:tblPr>
        <w:tblpPr w:leftFromText="180" w:rightFromText="180" w:vertAnchor="text" w:horzAnchor="margin" w:tblpXSpec="center" w:tblpY="107"/>
        <w:tblW w:w="6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0"/>
        <w:gridCol w:w="2610"/>
        <w:gridCol w:w="2250"/>
      </w:tblGrid>
      <w:tr w:rsidR="00D94698" w:rsidRPr="00B53423" w:rsidTr="00E93F0F">
        <w:tc>
          <w:tcPr>
            <w:tcW w:w="1980" w:type="dxa"/>
            <w:shd w:val="pct12" w:color="auto" w:fill="auto"/>
          </w:tcPr>
          <w:p w:rsidR="00D94698" w:rsidRPr="00B53423" w:rsidRDefault="00D94698" w:rsidP="0015232B">
            <w:pPr>
              <w:ind w:right="29"/>
              <w:jc w:val="center"/>
              <w:rPr>
                <w:rFonts w:cs="Arial"/>
                <w:b/>
              </w:rPr>
            </w:pPr>
            <w:r w:rsidRPr="00B53423">
              <w:rPr>
                <w:rFonts w:cs="Arial"/>
                <w:b/>
              </w:rPr>
              <w:t>Description</w:t>
            </w:r>
          </w:p>
        </w:tc>
        <w:tc>
          <w:tcPr>
            <w:tcW w:w="2610" w:type="dxa"/>
            <w:shd w:val="pct12" w:color="auto" w:fill="auto"/>
          </w:tcPr>
          <w:p w:rsidR="00D94698" w:rsidRPr="00B53423" w:rsidRDefault="00D94698" w:rsidP="0015232B">
            <w:pPr>
              <w:ind w:right="29"/>
              <w:jc w:val="center"/>
              <w:rPr>
                <w:rFonts w:cs="Arial"/>
                <w:b/>
              </w:rPr>
            </w:pPr>
            <w:r w:rsidRPr="00B53423">
              <w:rPr>
                <w:rFonts w:cs="Arial"/>
                <w:b/>
              </w:rPr>
              <w:t>Fixed Charge</w:t>
            </w:r>
          </w:p>
        </w:tc>
        <w:tc>
          <w:tcPr>
            <w:tcW w:w="2250" w:type="dxa"/>
            <w:shd w:val="pct12" w:color="auto" w:fill="auto"/>
          </w:tcPr>
          <w:p w:rsidR="00D94698" w:rsidRPr="00B53423" w:rsidRDefault="00D94698" w:rsidP="0015232B">
            <w:pPr>
              <w:ind w:right="29"/>
              <w:jc w:val="center"/>
              <w:rPr>
                <w:rFonts w:cs="Arial"/>
                <w:b/>
              </w:rPr>
            </w:pPr>
            <w:r w:rsidRPr="00B53423">
              <w:rPr>
                <w:rFonts w:cs="Arial"/>
                <w:b/>
              </w:rPr>
              <w:t>Energy Charge</w:t>
            </w:r>
          </w:p>
        </w:tc>
      </w:tr>
      <w:tr w:rsidR="00D94698" w:rsidRPr="00B53423" w:rsidTr="00E93F0F">
        <w:tc>
          <w:tcPr>
            <w:tcW w:w="1980" w:type="dxa"/>
          </w:tcPr>
          <w:p w:rsidR="00D94698" w:rsidRPr="00B53423" w:rsidRDefault="00D94698" w:rsidP="0015232B">
            <w:pPr>
              <w:ind w:right="29"/>
              <w:jc w:val="center"/>
              <w:rPr>
                <w:rFonts w:cs="Arial"/>
              </w:rPr>
            </w:pPr>
            <w:r w:rsidRPr="00B53423">
              <w:rPr>
                <w:rFonts w:cs="Arial"/>
              </w:rPr>
              <w:t>Metered</w:t>
            </w:r>
          </w:p>
        </w:tc>
        <w:tc>
          <w:tcPr>
            <w:tcW w:w="2610" w:type="dxa"/>
          </w:tcPr>
          <w:p w:rsidR="00D94698" w:rsidRPr="00B53423" w:rsidRDefault="00D94698" w:rsidP="0015232B">
            <w:pPr>
              <w:ind w:right="29"/>
              <w:jc w:val="center"/>
              <w:rPr>
                <w:rFonts w:cs="Arial"/>
              </w:rPr>
            </w:pPr>
            <w:r w:rsidRPr="00B53423">
              <w:rPr>
                <w:rFonts w:cs="Arial"/>
              </w:rPr>
              <w:t>Rs. 200.00 / BHP / month</w:t>
            </w:r>
          </w:p>
        </w:tc>
        <w:tc>
          <w:tcPr>
            <w:tcW w:w="2250" w:type="dxa"/>
          </w:tcPr>
          <w:p w:rsidR="00D94698" w:rsidRPr="00B53423" w:rsidRDefault="00D94698" w:rsidP="0015232B">
            <w:pPr>
              <w:ind w:right="29"/>
              <w:jc w:val="center"/>
              <w:rPr>
                <w:rFonts w:cs="Arial"/>
              </w:rPr>
            </w:pPr>
            <w:r w:rsidRPr="00B53423">
              <w:rPr>
                <w:rFonts w:cs="Arial"/>
              </w:rPr>
              <w:t>Rs. 6.</w:t>
            </w:r>
            <w:r w:rsidRPr="00B53423">
              <w:t>55</w:t>
            </w:r>
            <w:r w:rsidRPr="00B53423">
              <w:rPr>
                <w:rFonts w:cs="Arial"/>
              </w:rPr>
              <w:t xml:space="preserve"> / kWh</w:t>
            </w:r>
          </w:p>
        </w:tc>
      </w:tr>
      <w:tr w:rsidR="00D94698" w:rsidRPr="00B53423" w:rsidTr="00E93F0F">
        <w:tc>
          <w:tcPr>
            <w:tcW w:w="1980" w:type="dxa"/>
          </w:tcPr>
          <w:p w:rsidR="00D94698" w:rsidRPr="00B53423" w:rsidRDefault="00D94698" w:rsidP="0015232B">
            <w:pPr>
              <w:ind w:right="29"/>
              <w:jc w:val="center"/>
              <w:rPr>
                <w:rFonts w:cs="Arial"/>
              </w:rPr>
            </w:pPr>
            <w:r w:rsidRPr="00B53423">
              <w:rPr>
                <w:rFonts w:cs="Arial"/>
              </w:rPr>
              <w:t>Un-metered</w:t>
            </w:r>
          </w:p>
        </w:tc>
        <w:tc>
          <w:tcPr>
            <w:tcW w:w="2610" w:type="dxa"/>
          </w:tcPr>
          <w:p w:rsidR="00D94698" w:rsidRPr="00B53423" w:rsidRDefault="00D94698" w:rsidP="0015232B">
            <w:pPr>
              <w:ind w:right="29"/>
              <w:jc w:val="center"/>
              <w:rPr>
                <w:rFonts w:cs="Arial"/>
              </w:rPr>
            </w:pPr>
            <w:r w:rsidRPr="00B53423">
              <w:rPr>
                <w:rFonts w:cs="Arial"/>
              </w:rPr>
              <w:t>Rs. 1</w:t>
            </w:r>
            <w:r w:rsidRPr="00B53423">
              <w:t>500.00</w:t>
            </w:r>
            <w:r w:rsidRPr="00B53423">
              <w:rPr>
                <w:rFonts w:cs="Arial"/>
              </w:rPr>
              <w:t xml:space="preserve"> / BHP / month</w:t>
            </w:r>
          </w:p>
        </w:tc>
        <w:tc>
          <w:tcPr>
            <w:tcW w:w="2250" w:type="dxa"/>
          </w:tcPr>
          <w:p w:rsidR="00D94698" w:rsidRPr="00B53423" w:rsidRDefault="00D94698" w:rsidP="0015232B">
            <w:pPr>
              <w:ind w:right="29"/>
              <w:jc w:val="center"/>
              <w:rPr>
                <w:rFonts w:cs="Arial"/>
              </w:rPr>
            </w:pPr>
            <w:r w:rsidRPr="00B53423">
              <w:rPr>
                <w:rFonts w:cs="Arial"/>
              </w:rPr>
              <w:t>Nil</w:t>
            </w:r>
          </w:p>
        </w:tc>
      </w:tr>
    </w:tbl>
    <w:p w:rsidR="00D94698" w:rsidRPr="00B53423" w:rsidRDefault="00D94698" w:rsidP="0015232B">
      <w:pPr>
        <w:ind w:right="29"/>
        <w:rPr>
          <w:rFonts w:cs="Arial"/>
          <w:b/>
        </w:rPr>
      </w:pPr>
    </w:p>
    <w:p w:rsidR="00D94698" w:rsidRPr="00B53423" w:rsidRDefault="00D94698" w:rsidP="0015232B">
      <w:pPr>
        <w:ind w:right="29"/>
        <w:rPr>
          <w:rFonts w:cs="Arial"/>
        </w:rPr>
      </w:pPr>
    </w:p>
    <w:p w:rsidR="00D94698" w:rsidRPr="00B53423" w:rsidRDefault="00D94698" w:rsidP="0015232B">
      <w:pPr>
        <w:ind w:right="29"/>
        <w:rPr>
          <w:rFonts w:cs="Arial"/>
        </w:rPr>
      </w:pPr>
    </w:p>
    <w:p w:rsidR="00D94698" w:rsidRPr="00B53423" w:rsidRDefault="00D94698" w:rsidP="0015232B">
      <w:pPr>
        <w:ind w:right="29"/>
        <w:rPr>
          <w:rFonts w:cs="Arial"/>
        </w:rPr>
      </w:pPr>
    </w:p>
    <w:p w:rsidR="00D94698" w:rsidRPr="00B53423" w:rsidRDefault="00D94698" w:rsidP="0015232B">
      <w:pPr>
        <w:ind w:right="29"/>
        <w:rPr>
          <w:rFonts w:cs="Arial"/>
        </w:rPr>
      </w:pPr>
      <w:r w:rsidRPr="00B53423">
        <w:rPr>
          <w:rFonts w:cs="Arial"/>
        </w:rPr>
        <w:tab/>
      </w:r>
      <w:r w:rsidRPr="00B53423">
        <w:rPr>
          <w:rFonts w:cs="Arial"/>
        </w:rPr>
        <w:tab/>
      </w:r>
    </w:p>
    <w:p w:rsidR="00D94698" w:rsidRPr="00B53423" w:rsidRDefault="00D94698" w:rsidP="0015232B">
      <w:pPr>
        <w:tabs>
          <w:tab w:val="left" w:pos="360"/>
        </w:tabs>
        <w:spacing w:before="60"/>
        <w:ind w:left="360" w:right="-151" w:hanging="360"/>
        <w:rPr>
          <w:rFonts w:cs="Arial"/>
          <w:bCs/>
        </w:rPr>
      </w:pPr>
      <w:r w:rsidRPr="00B53423">
        <w:rPr>
          <w:rFonts w:cs="Arial"/>
          <w:b/>
        </w:rPr>
        <w:t>4.</w:t>
      </w:r>
      <w:r w:rsidRPr="00B53423">
        <w:rPr>
          <w:rFonts w:cs="Arial"/>
          <w:b/>
        </w:rPr>
        <w:tab/>
      </w:r>
      <w:r w:rsidRPr="00B53423">
        <w:rPr>
          <w:rFonts w:cs="Arial"/>
          <w:bCs/>
        </w:rPr>
        <w:t xml:space="preserve">For finding out net load during any quarter of the year for this category refer </w:t>
      </w:r>
      <w:r w:rsidR="00BC60A3" w:rsidRPr="00B53423">
        <w:rPr>
          <w:rFonts w:cs="Arial"/>
          <w:b/>
          <w:bCs/>
        </w:rPr>
        <w:t>ANNEXURE</w:t>
      </w:r>
      <w:r w:rsidR="00BC60A3" w:rsidRPr="00B53423">
        <w:rPr>
          <w:rFonts w:cs="Arial"/>
          <w:b/>
        </w:rPr>
        <w:t xml:space="preserve"> </w:t>
      </w:r>
      <w:fldSimple w:instr=" REF _Ref399327077 \r \h  \* MERGEFORMAT ">
        <w:r w:rsidR="00847C1B" w:rsidRPr="00847C1B">
          <w:rPr>
            <w:rFonts w:cs="Arial"/>
            <w:b/>
          </w:rPr>
          <w:t>15.2.3</w:t>
        </w:r>
      </w:fldSimple>
    </w:p>
    <w:p w:rsidR="00D94698" w:rsidRPr="00B53423" w:rsidRDefault="00D94698" w:rsidP="0015232B">
      <w:pPr>
        <w:spacing w:before="60"/>
        <w:ind w:right="-151"/>
        <w:rPr>
          <w:rFonts w:cs="Arial"/>
          <w:b/>
        </w:rPr>
      </w:pPr>
    </w:p>
    <w:p w:rsidR="00D94698" w:rsidRPr="00B53423" w:rsidRDefault="00D94698" w:rsidP="0015232B">
      <w:pPr>
        <w:spacing w:after="200"/>
        <w:jc w:val="left"/>
        <w:rPr>
          <w:rFonts w:cs="Arial"/>
          <w:b/>
        </w:rPr>
      </w:pPr>
      <w:r w:rsidRPr="00B53423">
        <w:rPr>
          <w:rFonts w:cs="Arial"/>
          <w:b/>
        </w:rPr>
        <w:br w:type="page"/>
      </w:r>
    </w:p>
    <w:p w:rsidR="00D94698" w:rsidRPr="00B53423" w:rsidRDefault="00D94698" w:rsidP="0015232B">
      <w:pPr>
        <w:jc w:val="center"/>
        <w:rPr>
          <w:b/>
          <w:caps/>
          <w:u w:val="single"/>
        </w:rPr>
      </w:pPr>
      <w:r w:rsidRPr="00B53423">
        <w:rPr>
          <w:b/>
          <w:caps/>
          <w:u w:val="single"/>
        </w:rPr>
        <w:t>Rate Schedule LMV – 9:</w:t>
      </w:r>
    </w:p>
    <w:p w:rsidR="00D94698" w:rsidRPr="00B53423" w:rsidRDefault="00D94698" w:rsidP="0015232B">
      <w:pPr>
        <w:jc w:val="center"/>
        <w:rPr>
          <w:caps/>
          <w:u w:val="single"/>
        </w:rPr>
      </w:pPr>
    </w:p>
    <w:p w:rsidR="00D94698" w:rsidRPr="00B53423" w:rsidRDefault="00D94698" w:rsidP="0015232B">
      <w:pPr>
        <w:jc w:val="center"/>
        <w:rPr>
          <w:b/>
        </w:rPr>
      </w:pPr>
      <w:r w:rsidRPr="00B53423">
        <w:rPr>
          <w:b/>
        </w:rPr>
        <w:t>TEMPORARY SUPPLY:</w:t>
      </w:r>
    </w:p>
    <w:p w:rsidR="00D94698" w:rsidRPr="00B53423" w:rsidRDefault="00D94698" w:rsidP="0015232B">
      <w:pPr>
        <w:tabs>
          <w:tab w:val="left" w:pos="360"/>
        </w:tabs>
        <w:spacing w:before="100" w:beforeAutospacing="1"/>
        <w:ind w:right="29"/>
        <w:rPr>
          <w:rFonts w:cs="Arial"/>
          <w:b/>
        </w:rPr>
      </w:pPr>
      <w:r w:rsidRPr="00B53423">
        <w:rPr>
          <w:rFonts w:cs="Arial"/>
          <w:b/>
        </w:rPr>
        <w:t>1.</w:t>
      </w:r>
      <w:r w:rsidRPr="00B53423">
        <w:rPr>
          <w:rFonts w:cs="Arial"/>
          <w:b/>
        </w:rPr>
        <w:tab/>
        <w:t>APPLICABILITY:</w:t>
      </w:r>
    </w:p>
    <w:p w:rsidR="00D94698" w:rsidRPr="00B53423" w:rsidRDefault="00D94698" w:rsidP="0015232B">
      <w:pPr>
        <w:pStyle w:val="BodyTextIndent"/>
        <w:spacing w:line="288" w:lineRule="auto"/>
        <w:ind w:left="360" w:right="-58"/>
        <w:rPr>
          <w:rFonts w:ascii="Calibri" w:hAnsi="Calibri" w:cs="Arial"/>
          <w:b/>
        </w:rPr>
      </w:pPr>
      <w:r w:rsidRPr="00B53423">
        <w:rPr>
          <w:rFonts w:ascii="Calibri" w:hAnsi="Calibri" w:cs="Arial"/>
          <w:b/>
          <w:bCs w:val="0"/>
        </w:rPr>
        <w:t>A)</w:t>
      </w:r>
      <w:r w:rsidRPr="00B53423">
        <w:rPr>
          <w:rFonts w:ascii="Calibri" w:hAnsi="Calibri" w:cs="Arial"/>
          <w:b/>
          <w:bCs w:val="0"/>
        </w:rPr>
        <w:tab/>
        <w:t xml:space="preserve">Un-metered Supply for </w:t>
      </w:r>
      <w:r w:rsidRPr="00B53423">
        <w:rPr>
          <w:rFonts w:ascii="Calibri" w:hAnsi="Calibri" w:cs="Arial"/>
          <w:b/>
        </w:rPr>
        <w:t>Illumination/ Public Address/ Temporary Shops in Melas:</w:t>
      </w:r>
    </w:p>
    <w:p w:rsidR="00D94698" w:rsidRPr="00B53423" w:rsidRDefault="00D94698" w:rsidP="0015232B">
      <w:pPr>
        <w:pStyle w:val="BodyTextIndent"/>
        <w:spacing w:line="288" w:lineRule="auto"/>
        <w:ind w:right="-58"/>
        <w:rPr>
          <w:rFonts w:ascii="Calibri" w:hAnsi="Calibri" w:cs="Arial"/>
        </w:rPr>
      </w:pPr>
      <w:r w:rsidRPr="00B53423">
        <w:rPr>
          <w:rFonts w:ascii="Calibri" w:hAnsi="Calibri" w:cs="Arial"/>
        </w:rPr>
        <w:t xml:space="preserve">This schedule shall apply to temporary supply of light, fan &amp; power up to 20 KW, Public address system and illumination loads during functions, ceremonies and festivities and temporary shops, not exceeding three months. </w:t>
      </w:r>
    </w:p>
    <w:p w:rsidR="00D94698" w:rsidRPr="00B53423" w:rsidRDefault="00D94698" w:rsidP="0015232B">
      <w:pPr>
        <w:pStyle w:val="BodyTextIndent"/>
        <w:spacing w:line="288" w:lineRule="auto"/>
        <w:ind w:left="360" w:right="-58"/>
        <w:rPr>
          <w:rFonts w:ascii="Calibri" w:hAnsi="Calibri" w:cs="Arial"/>
          <w:b/>
          <w:bCs w:val="0"/>
        </w:rPr>
      </w:pPr>
      <w:r w:rsidRPr="00B53423">
        <w:rPr>
          <w:rFonts w:ascii="Calibri" w:hAnsi="Calibri" w:cs="Arial"/>
          <w:b/>
          <w:bCs w:val="0"/>
        </w:rPr>
        <w:t>B)</w:t>
      </w:r>
      <w:r w:rsidRPr="00B53423">
        <w:rPr>
          <w:rFonts w:ascii="Calibri" w:hAnsi="Calibri" w:cs="Arial"/>
          <w:b/>
          <w:bCs w:val="0"/>
        </w:rPr>
        <w:tab/>
        <w:t>Metered Supply for all other purposes:</w:t>
      </w:r>
    </w:p>
    <w:p w:rsidR="00D94698" w:rsidRPr="00B53423" w:rsidRDefault="00D94698" w:rsidP="0015232B">
      <w:pPr>
        <w:pStyle w:val="BodyText"/>
        <w:tabs>
          <w:tab w:val="left" w:pos="360"/>
        </w:tabs>
        <w:spacing w:line="288" w:lineRule="auto"/>
        <w:ind w:left="720" w:right="-58"/>
        <w:rPr>
          <w:rFonts w:cs="Arial"/>
        </w:rPr>
      </w:pPr>
      <w:r w:rsidRPr="00B53423">
        <w:rPr>
          <w:rFonts w:cs="Arial"/>
        </w:rPr>
        <w:t xml:space="preserve">This schedule shall apply to all temporary supplies of light, fan and power load for the purpose other than mentioned in (A) above. </w:t>
      </w:r>
    </w:p>
    <w:p w:rsidR="00D94698" w:rsidRPr="00B53423" w:rsidRDefault="00D94698" w:rsidP="0015232B">
      <w:pPr>
        <w:pStyle w:val="BodyTextIndent"/>
        <w:spacing w:before="100" w:beforeAutospacing="1" w:line="288" w:lineRule="auto"/>
        <w:ind w:right="-58"/>
        <w:rPr>
          <w:rFonts w:ascii="Calibri" w:hAnsi="Calibri" w:cs="Arial"/>
        </w:rPr>
      </w:pPr>
      <w:r w:rsidRPr="00B53423">
        <w:rPr>
          <w:rFonts w:ascii="Calibri" w:hAnsi="Calibri" w:cs="Arial"/>
        </w:rPr>
        <w:t>This schedule shall also apply for power taken for construction purposes not exceeding two years, including civil work by all consumers and Govt. Departments.</w:t>
      </w:r>
    </w:p>
    <w:p w:rsidR="00D94698" w:rsidRPr="00B53423" w:rsidRDefault="00D94698" w:rsidP="0015232B"/>
    <w:p w:rsidR="00D94698" w:rsidRPr="00B53423" w:rsidRDefault="00D94698" w:rsidP="0015232B">
      <w:pPr>
        <w:spacing w:before="100" w:beforeAutospacing="1"/>
        <w:ind w:left="360" w:right="29" w:hanging="360"/>
        <w:rPr>
          <w:b/>
        </w:rPr>
      </w:pPr>
      <w:r w:rsidRPr="00B53423">
        <w:rPr>
          <w:b/>
        </w:rPr>
        <w:t>2.</w:t>
      </w:r>
      <w:r w:rsidRPr="00B53423">
        <w:rPr>
          <w:b/>
        </w:rPr>
        <w:tab/>
        <w:t>CHARACTER AND POINT OF SUPPLY:</w:t>
      </w:r>
    </w:p>
    <w:p w:rsidR="00D94698" w:rsidRPr="00B53423" w:rsidRDefault="00D94698" w:rsidP="0015232B">
      <w:pPr>
        <w:spacing w:line="240" w:lineRule="auto"/>
        <w:ind w:left="360" w:right="-58"/>
      </w:pPr>
      <w:proofErr w:type="gramStart"/>
      <w:r w:rsidRPr="00B53423">
        <w:t>As per the applicable provisions of Electricity Supply Code.</w:t>
      </w:r>
      <w:proofErr w:type="gramEnd"/>
    </w:p>
    <w:p w:rsidR="00D94698" w:rsidRPr="00B53423" w:rsidRDefault="00D94698" w:rsidP="0015232B">
      <w:pPr>
        <w:spacing w:line="240" w:lineRule="auto"/>
        <w:ind w:left="360" w:right="-58"/>
        <w:rPr>
          <w:rFonts w:cs="Arial"/>
        </w:rPr>
      </w:pPr>
    </w:p>
    <w:p w:rsidR="00D94698" w:rsidRPr="00B53423" w:rsidRDefault="00D94698" w:rsidP="0015232B">
      <w:pPr>
        <w:spacing w:before="100" w:beforeAutospacing="1"/>
        <w:ind w:left="360" w:right="29" w:hanging="360"/>
        <w:rPr>
          <w:rFonts w:cs="Arial"/>
          <w:b/>
        </w:rPr>
      </w:pPr>
      <w:r w:rsidRPr="00B53423">
        <w:rPr>
          <w:b/>
        </w:rPr>
        <w:t xml:space="preserve"> </w:t>
      </w:r>
      <w:r w:rsidRPr="00B53423">
        <w:rPr>
          <w:rFonts w:cs="Arial"/>
          <w:b/>
        </w:rPr>
        <w:t>3.</w:t>
      </w:r>
      <w:r w:rsidRPr="00B53423">
        <w:rPr>
          <w:rFonts w:cs="Arial"/>
          <w:b/>
        </w:rPr>
        <w:tab/>
        <w:t>RATE (SEPARATELY FOR EACH POINT OF SUPPLY):</w:t>
      </w:r>
    </w:p>
    <w:p w:rsidR="00D94698" w:rsidRPr="00B53423" w:rsidRDefault="00D94698" w:rsidP="0015232B">
      <w:pPr>
        <w:spacing w:before="100" w:beforeAutospacing="1" w:after="120"/>
        <w:ind w:left="360"/>
      </w:pPr>
      <w:r w:rsidRPr="00B53423">
        <w:t xml:space="preserve">Rate gives the fixed and energy charges at which the consumer shall be billed for his consumption during the billing period applicable to the category: </w:t>
      </w:r>
    </w:p>
    <w:p w:rsidR="00D94698" w:rsidRPr="00B53423" w:rsidRDefault="00D94698" w:rsidP="0015232B">
      <w:pPr>
        <w:spacing w:before="100" w:beforeAutospacing="1" w:after="120"/>
        <w:ind w:left="360"/>
      </w:pPr>
      <w:r w:rsidRPr="00B53423">
        <w:rPr>
          <w:rFonts w:cs="Arial"/>
          <w:b/>
          <w:bCs/>
        </w:rPr>
        <w:t>A</w:t>
      </w:r>
      <w:r w:rsidRPr="00B53423">
        <w:rPr>
          <w:rFonts w:cs="Arial"/>
          <w:b/>
        </w:rPr>
        <w:t>.</w:t>
      </w:r>
      <w:r w:rsidRPr="00B53423">
        <w:rPr>
          <w:rFonts w:cs="Arial"/>
          <w:b/>
        </w:rPr>
        <w:tab/>
        <w:t>Un-metered:</w:t>
      </w:r>
    </w:p>
    <w:tbl>
      <w:tblPr>
        <w:tblW w:w="8325" w:type="dxa"/>
        <w:tblInd w:w="87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5895"/>
        <w:gridCol w:w="2430"/>
      </w:tblGrid>
      <w:tr w:rsidR="00D94698" w:rsidRPr="00B53423" w:rsidTr="00E93F0F">
        <w:tc>
          <w:tcPr>
            <w:tcW w:w="5895" w:type="dxa"/>
          </w:tcPr>
          <w:p w:rsidR="00D94698" w:rsidRPr="00B53423" w:rsidRDefault="00D94698" w:rsidP="0015232B">
            <w:pPr>
              <w:spacing w:before="100" w:beforeAutospacing="1"/>
              <w:ind w:left="342" w:right="72" w:hanging="342"/>
              <w:rPr>
                <w:rFonts w:cs="Arial"/>
              </w:rPr>
            </w:pPr>
            <w:r w:rsidRPr="00B53423">
              <w:rPr>
                <w:rFonts w:cs="Arial"/>
              </w:rPr>
              <w:t xml:space="preserve">(i) Fixed charges </w:t>
            </w:r>
            <w:r w:rsidRPr="00B53423">
              <w:rPr>
                <w:rFonts w:cs="Arial"/>
                <w:b/>
                <w:bCs/>
                <w:i/>
                <w:iCs/>
              </w:rPr>
              <w:t>for illumination / public address / ceremonies</w:t>
            </w:r>
            <w:r w:rsidRPr="00B53423">
              <w:rPr>
                <w:rFonts w:cs="Arial"/>
              </w:rPr>
              <w:t xml:space="preserve"> for load up to 20 kW per connection plus Rs. 100 per kW per day for each additional kW.</w:t>
            </w:r>
          </w:p>
        </w:tc>
        <w:tc>
          <w:tcPr>
            <w:tcW w:w="2430" w:type="dxa"/>
          </w:tcPr>
          <w:p w:rsidR="00D94698" w:rsidRPr="00B53423" w:rsidRDefault="00D94698" w:rsidP="0015232B">
            <w:pPr>
              <w:spacing w:before="100" w:beforeAutospacing="1"/>
              <w:ind w:right="27"/>
              <w:rPr>
                <w:rFonts w:cs="Arial"/>
              </w:rPr>
            </w:pPr>
            <w:r w:rsidRPr="00B53423">
              <w:rPr>
                <w:rFonts w:cs="Arial"/>
              </w:rPr>
              <w:t>Rs. 3000.00 / day</w:t>
            </w:r>
          </w:p>
        </w:tc>
      </w:tr>
      <w:tr w:rsidR="00D94698" w:rsidRPr="00B53423" w:rsidTr="00E93F0F">
        <w:tc>
          <w:tcPr>
            <w:tcW w:w="5895" w:type="dxa"/>
          </w:tcPr>
          <w:p w:rsidR="00D94698" w:rsidRPr="00B53423" w:rsidRDefault="00D94698" w:rsidP="0015232B">
            <w:pPr>
              <w:spacing w:before="100" w:beforeAutospacing="1"/>
              <w:ind w:left="342" w:right="162" w:hanging="342"/>
              <w:rPr>
                <w:rFonts w:cs="Arial"/>
              </w:rPr>
            </w:pPr>
            <w:r w:rsidRPr="00B53423">
              <w:rPr>
                <w:rFonts w:cs="Arial"/>
              </w:rPr>
              <w:t xml:space="preserve">(ii)  Fixed charges for </w:t>
            </w:r>
            <w:r w:rsidRPr="00B53423">
              <w:rPr>
                <w:rFonts w:cs="Arial"/>
                <w:b/>
                <w:bCs/>
                <w:i/>
                <w:iCs/>
              </w:rPr>
              <w:t>temporary shops</w:t>
            </w:r>
            <w:r w:rsidRPr="00B53423">
              <w:rPr>
                <w:rFonts w:cs="Arial"/>
              </w:rPr>
              <w:t xml:space="preserve"> set-up during festivals / melas or otherwise and having load up to 2KW</w:t>
            </w:r>
          </w:p>
        </w:tc>
        <w:tc>
          <w:tcPr>
            <w:tcW w:w="2430" w:type="dxa"/>
          </w:tcPr>
          <w:p w:rsidR="00D94698" w:rsidRPr="00B53423" w:rsidRDefault="00D94698" w:rsidP="0015232B">
            <w:pPr>
              <w:spacing w:before="100" w:beforeAutospacing="1"/>
              <w:ind w:right="27"/>
              <w:rPr>
                <w:rFonts w:cs="Arial"/>
              </w:rPr>
            </w:pPr>
            <w:r w:rsidRPr="00B53423">
              <w:rPr>
                <w:rFonts w:cs="Arial"/>
              </w:rPr>
              <w:t xml:space="preserve">Rs. 200.00 / day / shop </w:t>
            </w:r>
          </w:p>
        </w:tc>
      </w:tr>
    </w:tbl>
    <w:p w:rsidR="00D94698" w:rsidRPr="00B53423" w:rsidRDefault="00D94698" w:rsidP="0015232B">
      <w:pPr>
        <w:ind w:firstLine="360"/>
        <w:rPr>
          <w:rFonts w:cs="Arial"/>
          <w:b/>
          <w:bCs/>
        </w:rPr>
      </w:pPr>
    </w:p>
    <w:p w:rsidR="00D94698" w:rsidRPr="00B53423" w:rsidRDefault="00D94698" w:rsidP="0015232B">
      <w:pPr>
        <w:ind w:firstLine="360"/>
        <w:rPr>
          <w:rFonts w:cs="Arial"/>
          <w:b/>
          <w:bCs/>
        </w:rPr>
      </w:pPr>
    </w:p>
    <w:p w:rsidR="00D94698" w:rsidRPr="00B53423" w:rsidRDefault="00D94698" w:rsidP="0015232B">
      <w:pPr>
        <w:ind w:firstLine="360"/>
        <w:rPr>
          <w:rFonts w:cs="Arial"/>
          <w:b/>
          <w:bCs/>
          <w:szCs w:val="22"/>
        </w:rPr>
      </w:pPr>
    </w:p>
    <w:p w:rsidR="00D94698" w:rsidRPr="00B53423" w:rsidRDefault="00D94698" w:rsidP="0015232B">
      <w:pPr>
        <w:ind w:firstLine="360"/>
        <w:rPr>
          <w:rFonts w:cs="Arial"/>
          <w:b/>
          <w:bCs/>
        </w:rPr>
      </w:pPr>
      <w:r w:rsidRPr="00B53423">
        <w:rPr>
          <w:rFonts w:cs="Arial"/>
          <w:b/>
          <w:bCs/>
        </w:rPr>
        <w:t>B.</w:t>
      </w:r>
      <w:r w:rsidRPr="00B53423">
        <w:rPr>
          <w:rFonts w:cs="Arial"/>
          <w:b/>
          <w:bCs/>
        </w:rPr>
        <w:tab/>
        <w:t>Metered:</w:t>
      </w:r>
    </w:p>
    <w:p w:rsidR="00D94698" w:rsidRPr="00B53423" w:rsidRDefault="00D94698" w:rsidP="0015232B">
      <w:pPr>
        <w:ind w:firstLine="360"/>
      </w:pPr>
    </w:p>
    <w:tbl>
      <w:tblPr>
        <w:tblW w:w="8183" w:type="dxa"/>
        <w:tblInd w:w="9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001"/>
        <w:gridCol w:w="2182"/>
        <w:gridCol w:w="2000"/>
      </w:tblGrid>
      <w:tr w:rsidR="00D94698" w:rsidRPr="00B53423" w:rsidTr="00E93F0F">
        <w:trPr>
          <w:trHeight w:val="457"/>
        </w:trPr>
        <w:tc>
          <w:tcPr>
            <w:tcW w:w="4001" w:type="dxa"/>
            <w:shd w:val="pct12" w:color="auto" w:fill="auto"/>
          </w:tcPr>
          <w:p w:rsidR="00D94698" w:rsidRPr="00B53423" w:rsidRDefault="00D94698" w:rsidP="0015232B">
            <w:pPr>
              <w:spacing w:before="100" w:beforeAutospacing="1"/>
              <w:ind w:right="162"/>
              <w:jc w:val="center"/>
              <w:rPr>
                <w:rFonts w:cs="Arial"/>
                <w:b/>
                <w:bCs/>
              </w:rPr>
            </w:pPr>
            <w:r w:rsidRPr="00B53423">
              <w:rPr>
                <w:rFonts w:cs="Arial"/>
                <w:b/>
                <w:bCs/>
              </w:rPr>
              <w:t>Description</w:t>
            </w:r>
          </w:p>
        </w:tc>
        <w:tc>
          <w:tcPr>
            <w:tcW w:w="2182" w:type="dxa"/>
            <w:shd w:val="pct12" w:color="auto" w:fill="auto"/>
            <w:vAlign w:val="center"/>
          </w:tcPr>
          <w:p w:rsidR="00D94698" w:rsidRPr="00B53423" w:rsidRDefault="00D94698" w:rsidP="0015232B">
            <w:pPr>
              <w:spacing w:before="100" w:beforeAutospacing="1"/>
              <w:ind w:right="162"/>
              <w:jc w:val="center"/>
              <w:rPr>
                <w:rFonts w:cs="Arial"/>
                <w:b/>
                <w:bCs/>
              </w:rPr>
            </w:pPr>
            <w:r w:rsidRPr="00B53423">
              <w:rPr>
                <w:rFonts w:cs="Arial"/>
                <w:b/>
                <w:bCs/>
              </w:rPr>
              <w:t>Minimum Charge</w:t>
            </w:r>
          </w:p>
        </w:tc>
        <w:tc>
          <w:tcPr>
            <w:tcW w:w="2000" w:type="dxa"/>
            <w:shd w:val="pct12" w:color="auto" w:fill="auto"/>
          </w:tcPr>
          <w:p w:rsidR="00D94698" w:rsidRPr="00B53423" w:rsidRDefault="00D94698" w:rsidP="0015232B">
            <w:pPr>
              <w:spacing w:before="100" w:beforeAutospacing="1"/>
              <w:ind w:right="162"/>
              <w:jc w:val="center"/>
              <w:rPr>
                <w:rFonts w:cs="Arial"/>
                <w:b/>
                <w:bCs/>
              </w:rPr>
            </w:pPr>
            <w:r w:rsidRPr="00B53423">
              <w:rPr>
                <w:rFonts w:cs="Arial"/>
                <w:b/>
                <w:bCs/>
              </w:rPr>
              <w:t>Energy Charge</w:t>
            </w:r>
          </w:p>
        </w:tc>
      </w:tr>
      <w:tr w:rsidR="00D94698" w:rsidRPr="00B53423" w:rsidTr="00E93F0F">
        <w:trPr>
          <w:trHeight w:val="457"/>
        </w:trPr>
        <w:tc>
          <w:tcPr>
            <w:tcW w:w="4001" w:type="dxa"/>
          </w:tcPr>
          <w:p w:rsidR="00D94698" w:rsidRPr="00B53423" w:rsidRDefault="00D94698" w:rsidP="0015232B">
            <w:pPr>
              <w:spacing w:before="100" w:beforeAutospacing="1"/>
              <w:ind w:right="162"/>
              <w:rPr>
                <w:rFonts w:cs="Arial"/>
                <w:bCs/>
              </w:rPr>
            </w:pPr>
            <w:r w:rsidRPr="00B53423">
              <w:rPr>
                <w:rFonts w:cs="Arial"/>
                <w:bCs/>
              </w:rPr>
              <w:t>Individual Residential construction</w:t>
            </w:r>
          </w:p>
        </w:tc>
        <w:tc>
          <w:tcPr>
            <w:tcW w:w="2182" w:type="dxa"/>
            <w:vMerge w:val="restart"/>
            <w:vAlign w:val="center"/>
          </w:tcPr>
          <w:p w:rsidR="00D94698" w:rsidRPr="00B53423" w:rsidRDefault="00D94698" w:rsidP="0015232B">
            <w:pPr>
              <w:spacing w:before="100" w:beforeAutospacing="1"/>
              <w:ind w:right="162"/>
              <w:jc w:val="center"/>
              <w:rPr>
                <w:rFonts w:cs="Arial"/>
                <w:bCs/>
              </w:rPr>
            </w:pPr>
            <w:r w:rsidRPr="00B53423">
              <w:rPr>
                <w:rFonts w:cs="Arial"/>
                <w:bCs/>
              </w:rPr>
              <w:t xml:space="preserve">Rs. </w:t>
            </w:r>
            <w:r w:rsidRPr="00B53423">
              <w:rPr>
                <w:rFonts w:cs="Arial"/>
              </w:rPr>
              <w:t>1</w:t>
            </w:r>
            <w:r w:rsidRPr="00B53423">
              <w:t xml:space="preserve">50.00 </w:t>
            </w:r>
            <w:r w:rsidRPr="00B53423">
              <w:rPr>
                <w:rFonts w:cs="Arial"/>
                <w:bCs/>
              </w:rPr>
              <w:t>/ kW / week</w:t>
            </w:r>
          </w:p>
        </w:tc>
        <w:tc>
          <w:tcPr>
            <w:tcW w:w="2000" w:type="dxa"/>
          </w:tcPr>
          <w:p w:rsidR="00D94698" w:rsidRPr="00B53423" w:rsidRDefault="00D94698" w:rsidP="0015232B">
            <w:pPr>
              <w:spacing w:before="100" w:beforeAutospacing="1"/>
              <w:ind w:right="162"/>
              <w:rPr>
                <w:rFonts w:cs="Arial"/>
                <w:bCs/>
              </w:rPr>
            </w:pPr>
            <w:r w:rsidRPr="00B53423">
              <w:rPr>
                <w:rFonts w:cs="Arial"/>
                <w:bCs/>
              </w:rPr>
              <w:t xml:space="preserve">Rs. </w:t>
            </w:r>
            <w:r w:rsidRPr="00B53423">
              <w:rPr>
                <w:rFonts w:cs="Arial"/>
              </w:rPr>
              <w:t>6.</w:t>
            </w:r>
            <w:r w:rsidRPr="00B53423">
              <w:t xml:space="preserve">50 </w:t>
            </w:r>
            <w:r w:rsidRPr="00B53423">
              <w:rPr>
                <w:rFonts w:cs="Arial"/>
                <w:bCs/>
              </w:rPr>
              <w:t>/ kWh</w:t>
            </w:r>
          </w:p>
        </w:tc>
      </w:tr>
      <w:tr w:rsidR="00D94698" w:rsidRPr="00B53423" w:rsidTr="00E93F0F">
        <w:trPr>
          <w:trHeight w:val="480"/>
        </w:trPr>
        <w:tc>
          <w:tcPr>
            <w:tcW w:w="4001" w:type="dxa"/>
          </w:tcPr>
          <w:p w:rsidR="00D94698" w:rsidRPr="00B53423" w:rsidRDefault="00D94698" w:rsidP="0015232B">
            <w:pPr>
              <w:spacing w:before="100" w:beforeAutospacing="1"/>
              <w:ind w:right="162"/>
              <w:rPr>
                <w:rFonts w:cs="Arial"/>
                <w:bCs/>
              </w:rPr>
            </w:pPr>
            <w:r w:rsidRPr="00B53423">
              <w:rPr>
                <w:rFonts w:cs="Arial"/>
                <w:bCs/>
              </w:rPr>
              <w:t>Others</w:t>
            </w:r>
          </w:p>
        </w:tc>
        <w:tc>
          <w:tcPr>
            <w:tcW w:w="2182" w:type="dxa"/>
            <w:vMerge/>
            <w:vAlign w:val="center"/>
          </w:tcPr>
          <w:p w:rsidR="00D94698" w:rsidRPr="00B53423" w:rsidRDefault="00D94698" w:rsidP="0015232B">
            <w:pPr>
              <w:spacing w:before="100" w:beforeAutospacing="1"/>
              <w:ind w:right="162"/>
              <w:jc w:val="center"/>
              <w:rPr>
                <w:rFonts w:cs="Arial"/>
                <w:bCs/>
              </w:rPr>
            </w:pPr>
          </w:p>
        </w:tc>
        <w:tc>
          <w:tcPr>
            <w:tcW w:w="2000" w:type="dxa"/>
          </w:tcPr>
          <w:p w:rsidR="00D94698" w:rsidRPr="00B53423" w:rsidRDefault="00D94698" w:rsidP="0015232B">
            <w:pPr>
              <w:spacing w:before="100" w:beforeAutospacing="1"/>
              <w:ind w:right="162"/>
              <w:rPr>
                <w:rFonts w:cs="Arial"/>
                <w:bCs/>
              </w:rPr>
            </w:pPr>
            <w:r w:rsidRPr="00B53423">
              <w:rPr>
                <w:rFonts w:cs="Arial"/>
                <w:bCs/>
              </w:rPr>
              <w:t xml:space="preserve">Rs. </w:t>
            </w:r>
            <w:r w:rsidRPr="00B53423">
              <w:rPr>
                <w:rFonts w:cs="Arial"/>
              </w:rPr>
              <w:t>7.8</w:t>
            </w:r>
            <w:r w:rsidRPr="00B53423">
              <w:t>5</w:t>
            </w:r>
            <w:r w:rsidRPr="00B53423">
              <w:rPr>
                <w:rFonts w:cs="Arial"/>
                <w:bCs/>
              </w:rPr>
              <w:t xml:space="preserve"> / kWh</w:t>
            </w:r>
          </w:p>
        </w:tc>
      </w:tr>
    </w:tbl>
    <w:p w:rsidR="00D94698" w:rsidRPr="00B53423" w:rsidRDefault="00D94698" w:rsidP="0015232B">
      <w:pPr>
        <w:spacing w:before="100" w:beforeAutospacing="1"/>
        <w:ind w:right="-48" w:firstLine="360"/>
        <w:rPr>
          <w:rFonts w:cs="Arial"/>
          <w:b/>
          <w:bCs/>
        </w:rPr>
      </w:pPr>
      <w:r w:rsidRPr="00B53423">
        <w:rPr>
          <w:rFonts w:cs="Arial"/>
          <w:b/>
          <w:bCs/>
        </w:rPr>
        <w:t>Note:</w:t>
      </w:r>
    </w:p>
    <w:p w:rsidR="00D94698" w:rsidRPr="00B53423" w:rsidRDefault="00D94698" w:rsidP="0015232B">
      <w:pPr>
        <w:pStyle w:val="BodyText"/>
        <w:spacing w:line="288" w:lineRule="auto"/>
        <w:ind w:right="11"/>
        <w:jc w:val="center"/>
        <w:rPr>
          <w:rFonts w:cs="Arial"/>
          <w:b/>
          <w:sz w:val="22"/>
          <w:szCs w:val="22"/>
          <w:u w:val="single"/>
        </w:rPr>
      </w:pPr>
      <w:r w:rsidRPr="00B53423">
        <w:rPr>
          <w:szCs w:val="22"/>
        </w:rPr>
        <w:t>Charge as specified at A, shall be paid by the consumer in advance.</w:t>
      </w:r>
    </w:p>
    <w:p w:rsidR="00D94698" w:rsidRPr="00B53423" w:rsidRDefault="00D94698" w:rsidP="0015232B">
      <w:pPr>
        <w:pStyle w:val="BodyText"/>
        <w:spacing w:line="288" w:lineRule="auto"/>
        <w:ind w:right="11"/>
        <w:jc w:val="center"/>
        <w:rPr>
          <w:rFonts w:cs="Arial"/>
          <w:b/>
          <w:sz w:val="22"/>
          <w:szCs w:val="22"/>
          <w:u w:val="single"/>
        </w:rPr>
      </w:pPr>
      <w:r w:rsidRPr="00B53423">
        <w:rPr>
          <w:rFonts w:cs="Arial"/>
          <w:b/>
          <w:sz w:val="22"/>
          <w:szCs w:val="22"/>
          <w:u w:val="single"/>
        </w:rPr>
        <w:br w:type="page"/>
      </w:r>
      <w:r w:rsidRPr="00B53423">
        <w:rPr>
          <w:rFonts w:cs="Arial"/>
          <w:b/>
          <w:szCs w:val="22"/>
          <w:u w:val="single"/>
        </w:rPr>
        <w:t>RATE SCHEDULE LMV– 10:</w:t>
      </w:r>
    </w:p>
    <w:p w:rsidR="00D94698" w:rsidRPr="00B53423" w:rsidRDefault="00D94698" w:rsidP="0015232B">
      <w:pPr>
        <w:spacing w:before="240"/>
        <w:ind w:right="29"/>
        <w:jc w:val="center"/>
        <w:rPr>
          <w:rFonts w:cs="Arial"/>
          <w:b/>
        </w:rPr>
      </w:pPr>
      <w:r w:rsidRPr="00B53423">
        <w:rPr>
          <w:rFonts w:cs="Arial"/>
          <w:b/>
        </w:rPr>
        <w:t>DEPARTMENTAL EMPLOYEES AND PENSIONERS:</w:t>
      </w:r>
    </w:p>
    <w:p w:rsidR="00D94698" w:rsidRPr="00B53423" w:rsidRDefault="00D94698" w:rsidP="000174C0">
      <w:pPr>
        <w:numPr>
          <w:ilvl w:val="0"/>
          <w:numId w:val="89"/>
        </w:numPr>
        <w:tabs>
          <w:tab w:val="left" w:pos="0"/>
        </w:tabs>
        <w:spacing w:before="100" w:beforeAutospacing="1" w:line="288" w:lineRule="auto"/>
        <w:ind w:right="1440"/>
        <w:rPr>
          <w:rFonts w:cs="Arial"/>
          <w:b/>
        </w:rPr>
      </w:pPr>
      <w:r w:rsidRPr="00B53423">
        <w:rPr>
          <w:rFonts w:cs="Arial"/>
          <w:b/>
        </w:rPr>
        <w:t>APPLICABILITY:</w:t>
      </w:r>
    </w:p>
    <w:p w:rsidR="00D94698" w:rsidRPr="00B53423" w:rsidRDefault="00D94698" w:rsidP="0015232B">
      <w:pPr>
        <w:spacing w:before="100"/>
        <w:ind w:left="360" w:right="29"/>
      </w:pPr>
      <w:r w:rsidRPr="00B53423">
        <w:t xml:space="preserve">This schedule shall apply only to such employees (including the cases of </w:t>
      </w:r>
      <w:r w:rsidRPr="00B53423">
        <w:rPr>
          <w:rFonts w:cs="Calibri"/>
        </w:rPr>
        <w:t>retired / voluntary retired or deemed retired</w:t>
      </w:r>
      <w:r w:rsidRPr="00B53423">
        <w:t>) of Licensees / successor entities of erstwhile Uttar Pradesh State Electricity Board (UPSEB), who own</w:t>
      </w:r>
    </w:p>
    <w:p w:rsidR="00D94698" w:rsidRPr="00B53423" w:rsidRDefault="00D94698" w:rsidP="0015232B">
      <w:pPr>
        <w:spacing w:before="100"/>
        <w:ind w:left="360" w:right="29"/>
      </w:pPr>
      <w:r w:rsidRPr="00B53423">
        <w:t xml:space="preserve"> electricity connection in their own name and opt for the same for their own use for light, fan and power for domestic appliances, where the energy is being fed directly from Licensee mains. The Schedule shall also apply to spouse of </w:t>
      </w:r>
      <w:r w:rsidRPr="00B53423">
        <w:rPr>
          <w:rFonts w:cs="Calibri"/>
        </w:rPr>
        <w:t>employees served under Licensees / successor entities of erstwhile UPSEB.</w:t>
      </w:r>
    </w:p>
    <w:p w:rsidR="00D94698" w:rsidRPr="00B53423" w:rsidRDefault="00D94698" w:rsidP="000174C0">
      <w:pPr>
        <w:numPr>
          <w:ilvl w:val="0"/>
          <w:numId w:val="89"/>
        </w:numPr>
        <w:tabs>
          <w:tab w:val="left" w:pos="0"/>
        </w:tabs>
        <w:spacing w:before="100" w:beforeAutospacing="1" w:line="288" w:lineRule="auto"/>
        <w:ind w:left="0" w:right="1440" w:firstLine="0"/>
        <w:rPr>
          <w:rFonts w:cs="Arial"/>
          <w:b/>
        </w:rPr>
      </w:pPr>
      <w:r w:rsidRPr="00B53423">
        <w:rPr>
          <w:rFonts w:cs="Arial"/>
          <w:b/>
        </w:rPr>
        <w:t>RATE:</w:t>
      </w:r>
    </w:p>
    <w:p w:rsidR="00D94698" w:rsidRPr="00B53423" w:rsidRDefault="00D94698" w:rsidP="0015232B">
      <w:pPr>
        <w:spacing w:after="120"/>
        <w:ind w:left="360"/>
      </w:pPr>
      <w:r w:rsidRPr="00B53423">
        <w:rPr>
          <w:b/>
          <w:bCs/>
        </w:rPr>
        <w:t xml:space="preserve">Un-metered: </w:t>
      </w:r>
      <w:r w:rsidRPr="00B53423">
        <w:t>Rate, gives the fixed and energy charges at which the consumer shall be billed for his consumption during the billing period applicable to the category:</w:t>
      </w:r>
    </w:p>
    <w:tbl>
      <w:tblPr>
        <w:tblW w:w="8696" w:type="dxa"/>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tblPr>
      <w:tblGrid>
        <w:gridCol w:w="4770"/>
        <w:gridCol w:w="1890"/>
        <w:gridCol w:w="2036"/>
      </w:tblGrid>
      <w:tr w:rsidR="00D94698" w:rsidRPr="00B53423" w:rsidTr="00E93F0F">
        <w:trPr>
          <w:trHeight w:val="111"/>
        </w:trPr>
        <w:tc>
          <w:tcPr>
            <w:tcW w:w="4770" w:type="dxa"/>
            <w:shd w:val="pct12" w:color="auto" w:fill="auto"/>
          </w:tcPr>
          <w:p w:rsidR="00D94698" w:rsidRPr="00B53423" w:rsidRDefault="00D94698" w:rsidP="0015232B">
            <w:pPr>
              <w:ind w:right="-108"/>
              <w:jc w:val="center"/>
              <w:rPr>
                <w:rFonts w:cs="Arial"/>
                <w:b/>
              </w:rPr>
            </w:pPr>
            <w:r w:rsidRPr="00B53423">
              <w:rPr>
                <w:rFonts w:cs="Arial"/>
                <w:b/>
              </w:rPr>
              <w:t>Category</w:t>
            </w:r>
          </w:p>
        </w:tc>
        <w:tc>
          <w:tcPr>
            <w:tcW w:w="1890" w:type="dxa"/>
            <w:shd w:val="pct12" w:color="auto" w:fill="auto"/>
          </w:tcPr>
          <w:p w:rsidR="00D94698" w:rsidRPr="00B53423" w:rsidRDefault="00D94698" w:rsidP="0015232B">
            <w:pPr>
              <w:ind w:right="-108"/>
              <w:jc w:val="center"/>
              <w:rPr>
                <w:rFonts w:cs="Arial"/>
                <w:b/>
              </w:rPr>
            </w:pPr>
            <w:r w:rsidRPr="00B53423">
              <w:rPr>
                <w:rFonts w:cs="Arial"/>
                <w:b/>
              </w:rPr>
              <w:t>Fixed charge / month</w:t>
            </w:r>
          </w:p>
        </w:tc>
        <w:tc>
          <w:tcPr>
            <w:tcW w:w="2036" w:type="dxa"/>
            <w:shd w:val="pct12" w:color="auto" w:fill="auto"/>
          </w:tcPr>
          <w:p w:rsidR="00D94698" w:rsidRPr="00B53423" w:rsidRDefault="00D94698" w:rsidP="0015232B">
            <w:pPr>
              <w:ind w:right="-108"/>
              <w:jc w:val="center"/>
              <w:rPr>
                <w:rFonts w:cs="Arial"/>
                <w:b/>
              </w:rPr>
            </w:pPr>
            <w:r w:rsidRPr="00B53423">
              <w:rPr>
                <w:rFonts w:cs="Arial"/>
                <w:b/>
              </w:rPr>
              <w:t>Fixed Monthly Energy Charge</w:t>
            </w:r>
          </w:p>
        </w:tc>
      </w:tr>
      <w:tr w:rsidR="00D94698" w:rsidRPr="00B53423" w:rsidTr="00E93F0F">
        <w:trPr>
          <w:trHeight w:val="192"/>
        </w:trPr>
        <w:tc>
          <w:tcPr>
            <w:tcW w:w="4770" w:type="dxa"/>
            <w:tcBorders>
              <w:left w:val="single" w:sz="4" w:space="0" w:color="auto"/>
              <w:bottom w:val="single" w:sz="4" w:space="0" w:color="auto"/>
            </w:tcBorders>
          </w:tcPr>
          <w:p w:rsidR="00D94698" w:rsidRPr="00B53423" w:rsidRDefault="00D94698" w:rsidP="0015232B">
            <w:pPr>
              <w:pStyle w:val="BodyText"/>
              <w:spacing w:before="80" w:after="80"/>
              <w:ind w:right="-108"/>
              <w:jc w:val="left"/>
              <w:rPr>
                <w:rFonts w:cs="Arial"/>
              </w:rPr>
            </w:pPr>
            <w:r w:rsidRPr="00B53423">
              <w:rPr>
                <w:rFonts w:cs="Arial"/>
              </w:rPr>
              <w:t xml:space="preserve">Class IV employees / Operating staff </w:t>
            </w:r>
          </w:p>
        </w:tc>
        <w:tc>
          <w:tcPr>
            <w:tcW w:w="1890" w:type="dxa"/>
            <w:tcBorders>
              <w:bottom w:val="single" w:sz="4" w:space="0" w:color="auto"/>
            </w:tcBorders>
          </w:tcPr>
          <w:p w:rsidR="00D94698" w:rsidRPr="00B53423" w:rsidRDefault="00D94698" w:rsidP="0015232B">
            <w:pPr>
              <w:pStyle w:val="BodyText"/>
              <w:spacing w:before="80" w:after="80"/>
              <w:ind w:right="-108"/>
              <w:jc w:val="center"/>
              <w:rPr>
                <w:rFonts w:cs="Arial"/>
              </w:rPr>
            </w:pPr>
            <w:r w:rsidRPr="00B53423">
              <w:rPr>
                <w:rFonts w:cs="Arial"/>
                <w:lang w:val="en-US"/>
              </w:rPr>
              <w:t xml:space="preserve">Rs. </w:t>
            </w:r>
            <w:r w:rsidRPr="00B53423">
              <w:rPr>
                <w:rFonts w:cs="Arial"/>
              </w:rPr>
              <w:t>140.00</w:t>
            </w:r>
          </w:p>
        </w:tc>
        <w:tc>
          <w:tcPr>
            <w:tcW w:w="2036" w:type="dxa"/>
            <w:tcBorders>
              <w:bottom w:val="single" w:sz="4" w:space="0" w:color="auto"/>
            </w:tcBorders>
          </w:tcPr>
          <w:p w:rsidR="00D94698" w:rsidRPr="00B53423" w:rsidRDefault="00D94698" w:rsidP="0015232B">
            <w:pPr>
              <w:pStyle w:val="BodyText"/>
              <w:ind w:right="-108"/>
              <w:jc w:val="center"/>
              <w:rPr>
                <w:rFonts w:cs="Arial"/>
              </w:rPr>
            </w:pPr>
            <w:r w:rsidRPr="00B53423">
              <w:rPr>
                <w:rFonts w:cs="Arial"/>
                <w:lang w:val="en-US"/>
              </w:rPr>
              <w:t xml:space="preserve">Rs. </w:t>
            </w:r>
            <w:r w:rsidRPr="00B53423">
              <w:rPr>
                <w:rFonts w:cs="Arial"/>
              </w:rPr>
              <w:t>160.00</w:t>
            </w:r>
          </w:p>
        </w:tc>
      </w:tr>
      <w:tr w:rsidR="00D94698" w:rsidRPr="00B53423" w:rsidTr="00E93F0F">
        <w:trPr>
          <w:trHeight w:val="206"/>
        </w:trPr>
        <w:tc>
          <w:tcPr>
            <w:tcW w:w="4770" w:type="dxa"/>
            <w:tcBorders>
              <w:top w:val="single" w:sz="4" w:space="0" w:color="auto"/>
              <w:left w:val="single" w:sz="4" w:space="0" w:color="auto"/>
              <w:bottom w:val="single" w:sz="4" w:space="0" w:color="auto"/>
            </w:tcBorders>
          </w:tcPr>
          <w:p w:rsidR="00D94698" w:rsidRPr="00B53423" w:rsidRDefault="00D94698" w:rsidP="0015232B">
            <w:pPr>
              <w:pStyle w:val="BodyText"/>
              <w:spacing w:before="80" w:after="80"/>
              <w:ind w:right="-108"/>
              <w:jc w:val="left"/>
              <w:rPr>
                <w:rFonts w:cs="Arial"/>
              </w:rPr>
            </w:pPr>
            <w:r w:rsidRPr="00B53423">
              <w:rPr>
                <w:rFonts w:cs="Arial"/>
              </w:rPr>
              <w:t xml:space="preserve">Class III employees </w:t>
            </w:r>
          </w:p>
        </w:tc>
        <w:tc>
          <w:tcPr>
            <w:tcW w:w="1890" w:type="dxa"/>
            <w:tcBorders>
              <w:top w:val="single" w:sz="4" w:space="0" w:color="auto"/>
              <w:bottom w:val="single" w:sz="4" w:space="0" w:color="auto"/>
            </w:tcBorders>
          </w:tcPr>
          <w:p w:rsidR="00D94698" w:rsidRPr="00B53423" w:rsidRDefault="00D94698" w:rsidP="0015232B">
            <w:pPr>
              <w:pStyle w:val="BodyText"/>
              <w:spacing w:before="80" w:after="80"/>
              <w:ind w:right="-108"/>
              <w:jc w:val="center"/>
              <w:rPr>
                <w:rFonts w:cs="Arial"/>
              </w:rPr>
            </w:pPr>
            <w:r w:rsidRPr="00B53423">
              <w:rPr>
                <w:rFonts w:cs="Arial"/>
                <w:lang w:val="en-US"/>
              </w:rPr>
              <w:t xml:space="preserve">Rs. </w:t>
            </w:r>
            <w:r w:rsidRPr="00B53423">
              <w:rPr>
                <w:rFonts w:cs="Arial"/>
              </w:rPr>
              <w:t>170.00</w:t>
            </w:r>
          </w:p>
        </w:tc>
        <w:tc>
          <w:tcPr>
            <w:tcW w:w="2036" w:type="dxa"/>
            <w:tcBorders>
              <w:top w:val="single" w:sz="4" w:space="0" w:color="auto"/>
              <w:bottom w:val="single" w:sz="4" w:space="0" w:color="auto"/>
            </w:tcBorders>
          </w:tcPr>
          <w:p w:rsidR="00D94698" w:rsidRPr="00B53423" w:rsidRDefault="00D94698" w:rsidP="0015232B">
            <w:pPr>
              <w:pStyle w:val="BodyText"/>
              <w:ind w:right="-108"/>
              <w:jc w:val="center"/>
              <w:rPr>
                <w:rFonts w:cs="Arial"/>
              </w:rPr>
            </w:pPr>
            <w:r w:rsidRPr="00B53423">
              <w:rPr>
                <w:rFonts w:cs="Arial"/>
                <w:lang w:val="en-US"/>
              </w:rPr>
              <w:t xml:space="preserve">Rs. </w:t>
            </w:r>
            <w:r w:rsidRPr="00B53423">
              <w:rPr>
                <w:rFonts w:cs="Arial"/>
              </w:rPr>
              <w:t>200.00</w:t>
            </w:r>
          </w:p>
        </w:tc>
      </w:tr>
      <w:tr w:rsidR="00D94698" w:rsidRPr="00B53423" w:rsidTr="00E93F0F">
        <w:trPr>
          <w:trHeight w:val="195"/>
        </w:trPr>
        <w:tc>
          <w:tcPr>
            <w:tcW w:w="4770" w:type="dxa"/>
            <w:tcBorders>
              <w:top w:val="single" w:sz="4" w:space="0" w:color="auto"/>
              <w:left w:val="single" w:sz="4" w:space="0" w:color="auto"/>
              <w:bottom w:val="single" w:sz="4" w:space="0" w:color="auto"/>
            </w:tcBorders>
          </w:tcPr>
          <w:p w:rsidR="00D94698" w:rsidRPr="00B53423" w:rsidRDefault="00D94698" w:rsidP="0015232B">
            <w:pPr>
              <w:pStyle w:val="BodyText"/>
              <w:spacing w:before="80" w:after="80"/>
              <w:ind w:right="-108"/>
              <w:jc w:val="left"/>
              <w:rPr>
                <w:rFonts w:cs="Arial"/>
              </w:rPr>
            </w:pPr>
            <w:r w:rsidRPr="00B53423">
              <w:rPr>
                <w:rFonts w:cs="Arial"/>
              </w:rPr>
              <w:t>Junior Engineers &amp; equivalent posts</w:t>
            </w:r>
          </w:p>
        </w:tc>
        <w:tc>
          <w:tcPr>
            <w:tcW w:w="1890" w:type="dxa"/>
            <w:tcBorders>
              <w:top w:val="single" w:sz="4" w:space="0" w:color="auto"/>
              <w:bottom w:val="single" w:sz="4" w:space="0" w:color="auto"/>
            </w:tcBorders>
          </w:tcPr>
          <w:p w:rsidR="00D94698" w:rsidRPr="00B53423" w:rsidRDefault="00D94698" w:rsidP="0015232B">
            <w:pPr>
              <w:pStyle w:val="BodyText"/>
              <w:spacing w:before="80" w:after="80"/>
              <w:ind w:right="-108"/>
              <w:jc w:val="center"/>
              <w:rPr>
                <w:rFonts w:cs="Arial"/>
              </w:rPr>
            </w:pPr>
            <w:r w:rsidRPr="00B53423">
              <w:rPr>
                <w:rFonts w:cs="Arial"/>
                <w:lang w:val="en-US"/>
              </w:rPr>
              <w:t xml:space="preserve">Rs. </w:t>
            </w:r>
            <w:r w:rsidRPr="00B53423">
              <w:rPr>
                <w:rFonts w:cs="Arial"/>
              </w:rPr>
              <w:t>230.00</w:t>
            </w:r>
          </w:p>
        </w:tc>
        <w:tc>
          <w:tcPr>
            <w:tcW w:w="2036" w:type="dxa"/>
            <w:tcBorders>
              <w:top w:val="single" w:sz="4" w:space="0" w:color="auto"/>
              <w:bottom w:val="single" w:sz="4" w:space="0" w:color="auto"/>
            </w:tcBorders>
          </w:tcPr>
          <w:p w:rsidR="00D94698" w:rsidRPr="00B53423" w:rsidRDefault="00D94698" w:rsidP="0015232B">
            <w:pPr>
              <w:pStyle w:val="BodyText"/>
              <w:ind w:right="-108"/>
              <w:jc w:val="center"/>
              <w:rPr>
                <w:rFonts w:cs="Arial"/>
              </w:rPr>
            </w:pPr>
            <w:r w:rsidRPr="00B53423">
              <w:rPr>
                <w:rFonts w:cs="Arial"/>
                <w:lang w:val="en-US"/>
              </w:rPr>
              <w:t xml:space="preserve">Rs. </w:t>
            </w:r>
            <w:r w:rsidRPr="00B53423">
              <w:rPr>
                <w:rFonts w:cs="Arial"/>
              </w:rPr>
              <w:t>370.00</w:t>
            </w:r>
          </w:p>
        </w:tc>
      </w:tr>
      <w:tr w:rsidR="00D94698" w:rsidRPr="00B53423" w:rsidTr="00E93F0F">
        <w:trPr>
          <w:trHeight w:val="197"/>
        </w:trPr>
        <w:tc>
          <w:tcPr>
            <w:tcW w:w="4770" w:type="dxa"/>
            <w:tcBorders>
              <w:top w:val="single" w:sz="4" w:space="0" w:color="auto"/>
              <w:left w:val="single" w:sz="4" w:space="0" w:color="auto"/>
              <w:bottom w:val="single" w:sz="4" w:space="0" w:color="auto"/>
            </w:tcBorders>
          </w:tcPr>
          <w:p w:rsidR="00D94698" w:rsidRPr="00B53423" w:rsidRDefault="00D94698" w:rsidP="0015232B">
            <w:pPr>
              <w:pStyle w:val="BodyText"/>
              <w:spacing w:before="80" w:after="80"/>
              <w:ind w:right="-108"/>
              <w:jc w:val="left"/>
              <w:rPr>
                <w:rFonts w:cs="Arial"/>
              </w:rPr>
            </w:pPr>
            <w:r w:rsidRPr="00B53423">
              <w:rPr>
                <w:rFonts w:cs="Arial"/>
              </w:rPr>
              <w:t>Assistant Engineers &amp; equivalent posts</w:t>
            </w:r>
          </w:p>
        </w:tc>
        <w:tc>
          <w:tcPr>
            <w:tcW w:w="1890" w:type="dxa"/>
            <w:tcBorders>
              <w:top w:val="single" w:sz="4" w:space="0" w:color="auto"/>
              <w:bottom w:val="single" w:sz="4" w:space="0" w:color="auto"/>
            </w:tcBorders>
          </w:tcPr>
          <w:p w:rsidR="00D94698" w:rsidRPr="00B53423" w:rsidRDefault="00D94698" w:rsidP="0015232B">
            <w:pPr>
              <w:pStyle w:val="BodyText"/>
              <w:spacing w:before="80" w:after="80"/>
              <w:ind w:right="-108"/>
              <w:jc w:val="center"/>
              <w:rPr>
                <w:rFonts w:cs="Arial"/>
              </w:rPr>
            </w:pPr>
            <w:r w:rsidRPr="00B53423">
              <w:rPr>
                <w:rFonts w:cs="Arial"/>
                <w:lang w:val="en-US"/>
              </w:rPr>
              <w:t xml:space="preserve">Rs. </w:t>
            </w:r>
            <w:r w:rsidRPr="00B53423">
              <w:rPr>
                <w:rFonts w:cs="Arial"/>
              </w:rPr>
              <w:t>260.00</w:t>
            </w:r>
          </w:p>
        </w:tc>
        <w:tc>
          <w:tcPr>
            <w:tcW w:w="2036" w:type="dxa"/>
            <w:tcBorders>
              <w:top w:val="single" w:sz="4" w:space="0" w:color="auto"/>
              <w:bottom w:val="single" w:sz="4" w:space="0" w:color="auto"/>
            </w:tcBorders>
          </w:tcPr>
          <w:p w:rsidR="00D94698" w:rsidRPr="00B53423" w:rsidRDefault="00D94698" w:rsidP="0015232B">
            <w:pPr>
              <w:pStyle w:val="BodyText"/>
              <w:ind w:right="-108"/>
              <w:jc w:val="center"/>
              <w:rPr>
                <w:rFonts w:cs="Arial"/>
              </w:rPr>
            </w:pPr>
            <w:r w:rsidRPr="00B53423">
              <w:rPr>
                <w:rFonts w:cs="Arial"/>
                <w:lang w:val="en-US"/>
              </w:rPr>
              <w:t xml:space="preserve">Rs. </w:t>
            </w:r>
            <w:r w:rsidRPr="00B53423">
              <w:t>5</w:t>
            </w:r>
            <w:r w:rsidRPr="00B53423">
              <w:rPr>
                <w:rFonts w:cs="Arial"/>
              </w:rPr>
              <w:t>20.00</w:t>
            </w:r>
          </w:p>
        </w:tc>
      </w:tr>
      <w:tr w:rsidR="00D94698" w:rsidRPr="00B53423" w:rsidTr="00E93F0F">
        <w:trPr>
          <w:trHeight w:val="269"/>
        </w:trPr>
        <w:tc>
          <w:tcPr>
            <w:tcW w:w="4770" w:type="dxa"/>
            <w:tcBorders>
              <w:top w:val="single" w:sz="4" w:space="0" w:color="auto"/>
              <w:left w:val="single" w:sz="4" w:space="0" w:color="auto"/>
              <w:bottom w:val="single" w:sz="4" w:space="0" w:color="auto"/>
            </w:tcBorders>
          </w:tcPr>
          <w:p w:rsidR="00D94698" w:rsidRPr="00B53423" w:rsidRDefault="00D94698" w:rsidP="0015232B">
            <w:pPr>
              <w:pStyle w:val="BodyText"/>
              <w:spacing w:before="80" w:after="80"/>
              <w:ind w:right="-108"/>
              <w:jc w:val="left"/>
              <w:rPr>
                <w:rFonts w:cs="Arial"/>
              </w:rPr>
            </w:pPr>
            <w:r w:rsidRPr="00B53423">
              <w:rPr>
                <w:rFonts w:cs="Arial"/>
              </w:rPr>
              <w:t xml:space="preserve">Executive Engineers &amp; equivalent posts </w:t>
            </w:r>
          </w:p>
        </w:tc>
        <w:tc>
          <w:tcPr>
            <w:tcW w:w="1890" w:type="dxa"/>
            <w:tcBorders>
              <w:top w:val="single" w:sz="4" w:space="0" w:color="auto"/>
              <w:bottom w:val="single" w:sz="4" w:space="0" w:color="auto"/>
            </w:tcBorders>
          </w:tcPr>
          <w:p w:rsidR="00D94698" w:rsidRPr="00B53423" w:rsidRDefault="00D94698" w:rsidP="0015232B">
            <w:pPr>
              <w:pStyle w:val="BodyText"/>
              <w:spacing w:before="80" w:after="80"/>
              <w:ind w:right="-108"/>
              <w:jc w:val="center"/>
              <w:rPr>
                <w:rFonts w:cs="Arial"/>
              </w:rPr>
            </w:pPr>
            <w:r w:rsidRPr="00B53423">
              <w:rPr>
                <w:rFonts w:cs="Arial"/>
                <w:lang w:val="en-US"/>
              </w:rPr>
              <w:t xml:space="preserve">Rs. </w:t>
            </w:r>
            <w:r w:rsidRPr="00B53423">
              <w:rPr>
                <w:rFonts w:cs="Arial"/>
              </w:rPr>
              <w:t>280.00</w:t>
            </w:r>
          </w:p>
        </w:tc>
        <w:tc>
          <w:tcPr>
            <w:tcW w:w="2036" w:type="dxa"/>
            <w:tcBorders>
              <w:top w:val="single" w:sz="4" w:space="0" w:color="auto"/>
              <w:bottom w:val="single" w:sz="4" w:space="0" w:color="auto"/>
            </w:tcBorders>
          </w:tcPr>
          <w:p w:rsidR="00D94698" w:rsidRPr="00B53423" w:rsidRDefault="00D94698" w:rsidP="0015232B">
            <w:pPr>
              <w:pStyle w:val="BodyText"/>
              <w:ind w:right="-108"/>
              <w:jc w:val="center"/>
              <w:rPr>
                <w:rFonts w:cs="Arial"/>
              </w:rPr>
            </w:pPr>
            <w:r w:rsidRPr="00B53423">
              <w:rPr>
                <w:rFonts w:cs="Arial"/>
                <w:lang w:val="en-US"/>
              </w:rPr>
              <w:t xml:space="preserve">Rs. </w:t>
            </w:r>
            <w:r w:rsidRPr="00B53423">
              <w:t>550.00</w:t>
            </w:r>
          </w:p>
        </w:tc>
      </w:tr>
      <w:tr w:rsidR="00D94698" w:rsidRPr="00B53423" w:rsidTr="00E93F0F">
        <w:trPr>
          <w:trHeight w:val="811"/>
        </w:trPr>
        <w:tc>
          <w:tcPr>
            <w:tcW w:w="4770" w:type="dxa"/>
            <w:tcBorders>
              <w:top w:val="single" w:sz="4" w:space="0" w:color="auto"/>
              <w:left w:val="single" w:sz="4" w:space="0" w:color="auto"/>
              <w:bottom w:val="single" w:sz="4" w:space="0" w:color="auto"/>
            </w:tcBorders>
          </w:tcPr>
          <w:p w:rsidR="00D94698" w:rsidRPr="00B53423" w:rsidRDefault="00D94698" w:rsidP="0015232B">
            <w:pPr>
              <w:pStyle w:val="BodyText"/>
              <w:spacing w:before="80" w:after="80"/>
              <w:ind w:right="-108"/>
              <w:jc w:val="left"/>
              <w:rPr>
                <w:rFonts w:cs="Arial"/>
              </w:rPr>
            </w:pPr>
            <w:r w:rsidRPr="00B53423">
              <w:rPr>
                <w:rFonts w:cs="Arial"/>
              </w:rPr>
              <w:t xml:space="preserve">Superintending Engineers / Deputy General Managers &amp; equivalent posts </w:t>
            </w:r>
          </w:p>
        </w:tc>
        <w:tc>
          <w:tcPr>
            <w:tcW w:w="1890" w:type="dxa"/>
            <w:tcBorders>
              <w:top w:val="single" w:sz="4" w:space="0" w:color="auto"/>
              <w:bottom w:val="single" w:sz="4" w:space="0" w:color="auto"/>
            </w:tcBorders>
          </w:tcPr>
          <w:p w:rsidR="00D94698" w:rsidRPr="00B53423" w:rsidRDefault="00D94698" w:rsidP="0015232B">
            <w:pPr>
              <w:pStyle w:val="BodyText"/>
              <w:spacing w:before="80" w:after="80"/>
              <w:ind w:right="-108"/>
              <w:jc w:val="center"/>
              <w:rPr>
                <w:rFonts w:cs="Arial"/>
              </w:rPr>
            </w:pPr>
            <w:r w:rsidRPr="00B53423">
              <w:rPr>
                <w:rFonts w:cs="Arial"/>
                <w:lang w:val="en-US"/>
              </w:rPr>
              <w:t xml:space="preserve">Rs. </w:t>
            </w:r>
            <w:r w:rsidRPr="00B53423">
              <w:t>5</w:t>
            </w:r>
            <w:r w:rsidRPr="00B53423">
              <w:rPr>
                <w:rFonts w:cs="Arial"/>
              </w:rPr>
              <w:t>10.00</w:t>
            </w:r>
          </w:p>
        </w:tc>
        <w:tc>
          <w:tcPr>
            <w:tcW w:w="2036" w:type="dxa"/>
            <w:tcBorders>
              <w:top w:val="single" w:sz="4" w:space="0" w:color="auto"/>
              <w:bottom w:val="single" w:sz="4" w:space="0" w:color="auto"/>
            </w:tcBorders>
          </w:tcPr>
          <w:p w:rsidR="00D94698" w:rsidRPr="00B53423" w:rsidRDefault="00D94698" w:rsidP="0015232B">
            <w:pPr>
              <w:pStyle w:val="BodyText"/>
              <w:ind w:right="-108"/>
              <w:jc w:val="center"/>
              <w:rPr>
                <w:rFonts w:cs="Arial"/>
              </w:rPr>
            </w:pPr>
            <w:r w:rsidRPr="00B53423">
              <w:rPr>
                <w:rFonts w:cs="Arial"/>
                <w:lang w:val="en-US"/>
              </w:rPr>
              <w:t xml:space="preserve">Rs. </w:t>
            </w:r>
            <w:r w:rsidRPr="00B53423">
              <w:rPr>
                <w:rFonts w:cs="Arial"/>
              </w:rPr>
              <w:t>6</w:t>
            </w:r>
            <w:r w:rsidRPr="00B53423">
              <w:t>50.00</w:t>
            </w:r>
          </w:p>
        </w:tc>
      </w:tr>
      <w:tr w:rsidR="00D94698" w:rsidRPr="00B53423" w:rsidTr="00E93F0F">
        <w:trPr>
          <w:trHeight w:val="583"/>
        </w:trPr>
        <w:tc>
          <w:tcPr>
            <w:tcW w:w="4770" w:type="dxa"/>
            <w:tcBorders>
              <w:top w:val="single" w:sz="4" w:space="0" w:color="auto"/>
              <w:left w:val="single" w:sz="4" w:space="0" w:color="auto"/>
              <w:bottom w:val="single" w:sz="4" w:space="0" w:color="auto"/>
            </w:tcBorders>
          </w:tcPr>
          <w:p w:rsidR="00D94698" w:rsidRPr="00B53423" w:rsidRDefault="00D94698" w:rsidP="0015232B">
            <w:pPr>
              <w:pStyle w:val="BodyText"/>
              <w:spacing w:before="80" w:after="80"/>
              <w:ind w:right="-108"/>
              <w:jc w:val="left"/>
              <w:rPr>
                <w:rFonts w:cs="Arial"/>
              </w:rPr>
            </w:pPr>
            <w:r w:rsidRPr="00B53423">
              <w:rPr>
                <w:rFonts w:cs="Arial"/>
              </w:rPr>
              <w:t>Chief Engineers (I &amp; II) / General Managers and above</w:t>
            </w:r>
          </w:p>
        </w:tc>
        <w:tc>
          <w:tcPr>
            <w:tcW w:w="1890" w:type="dxa"/>
            <w:tcBorders>
              <w:top w:val="single" w:sz="4" w:space="0" w:color="auto"/>
              <w:bottom w:val="single" w:sz="4" w:space="0" w:color="auto"/>
            </w:tcBorders>
          </w:tcPr>
          <w:p w:rsidR="00D94698" w:rsidRPr="00B53423" w:rsidRDefault="00D94698" w:rsidP="0015232B">
            <w:pPr>
              <w:pStyle w:val="BodyText"/>
              <w:spacing w:before="80" w:after="80"/>
              <w:ind w:right="-108"/>
              <w:jc w:val="center"/>
              <w:rPr>
                <w:rFonts w:cs="Arial"/>
              </w:rPr>
            </w:pPr>
            <w:r w:rsidRPr="00B53423">
              <w:rPr>
                <w:rFonts w:cs="Arial"/>
                <w:lang w:val="en-US"/>
              </w:rPr>
              <w:t xml:space="preserve">Rs. </w:t>
            </w:r>
            <w:r w:rsidRPr="00B53423">
              <w:t>550.00</w:t>
            </w:r>
          </w:p>
        </w:tc>
        <w:tc>
          <w:tcPr>
            <w:tcW w:w="2036" w:type="dxa"/>
            <w:tcBorders>
              <w:top w:val="single" w:sz="4" w:space="0" w:color="auto"/>
              <w:bottom w:val="single" w:sz="4" w:space="0" w:color="auto"/>
            </w:tcBorders>
          </w:tcPr>
          <w:p w:rsidR="00D94698" w:rsidRPr="00B53423" w:rsidRDefault="00D94698" w:rsidP="0015232B">
            <w:pPr>
              <w:pStyle w:val="BodyText"/>
              <w:ind w:right="-108"/>
              <w:jc w:val="center"/>
              <w:rPr>
                <w:rFonts w:cs="Arial"/>
              </w:rPr>
            </w:pPr>
            <w:r w:rsidRPr="00B53423">
              <w:rPr>
                <w:rFonts w:cs="Arial"/>
                <w:lang w:val="en-US"/>
              </w:rPr>
              <w:t xml:space="preserve">Rs. </w:t>
            </w:r>
            <w:r w:rsidRPr="00B53423">
              <w:rPr>
                <w:rFonts w:cs="Arial"/>
              </w:rPr>
              <w:t>7</w:t>
            </w:r>
            <w:r w:rsidRPr="00B53423">
              <w:t>50.00</w:t>
            </w:r>
          </w:p>
        </w:tc>
      </w:tr>
      <w:tr w:rsidR="00D94698" w:rsidRPr="00B53423" w:rsidTr="00E93F0F">
        <w:trPr>
          <w:trHeight w:val="539"/>
        </w:trPr>
        <w:tc>
          <w:tcPr>
            <w:tcW w:w="4770" w:type="dxa"/>
            <w:tcBorders>
              <w:top w:val="single" w:sz="4" w:space="0" w:color="auto"/>
              <w:left w:val="single" w:sz="4" w:space="0" w:color="auto"/>
              <w:bottom w:val="single" w:sz="4" w:space="0" w:color="auto"/>
            </w:tcBorders>
          </w:tcPr>
          <w:p w:rsidR="00D94698" w:rsidRPr="00B53423" w:rsidRDefault="00D94698" w:rsidP="0015232B">
            <w:pPr>
              <w:pStyle w:val="BodyText"/>
              <w:spacing w:before="80" w:after="80"/>
              <w:ind w:right="-108"/>
              <w:jc w:val="left"/>
              <w:rPr>
                <w:rFonts w:cs="Arial"/>
              </w:rPr>
            </w:pPr>
            <w:r w:rsidRPr="00B53423">
              <w:rPr>
                <w:rFonts w:cs="Arial"/>
              </w:rPr>
              <w:t>Additional charge for employees using Air Conditioners.</w:t>
            </w:r>
          </w:p>
        </w:tc>
        <w:tc>
          <w:tcPr>
            <w:tcW w:w="3926" w:type="dxa"/>
            <w:gridSpan w:val="2"/>
            <w:tcBorders>
              <w:top w:val="single" w:sz="4" w:space="0" w:color="auto"/>
              <w:bottom w:val="single" w:sz="4" w:space="0" w:color="auto"/>
            </w:tcBorders>
          </w:tcPr>
          <w:p w:rsidR="00D94698" w:rsidRPr="00B53423" w:rsidRDefault="00D94698" w:rsidP="0015232B">
            <w:pPr>
              <w:pStyle w:val="BodyText"/>
              <w:spacing w:before="80" w:after="80"/>
              <w:ind w:right="-108"/>
              <w:jc w:val="center"/>
              <w:rPr>
                <w:rFonts w:cs="Arial"/>
              </w:rPr>
            </w:pPr>
            <w:r w:rsidRPr="00B53423">
              <w:rPr>
                <w:rFonts w:cs="Arial"/>
              </w:rPr>
              <w:t xml:space="preserve">Rs. </w:t>
            </w:r>
            <w:r w:rsidRPr="00B53423">
              <w:t>550.00</w:t>
            </w:r>
            <w:r w:rsidRPr="00B53423">
              <w:rPr>
                <w:rFonts w:cs="Arial"/>
              </w:rPr>
              <w:t xml:space="preserve"> per month per Air conditioner</w:t>
            </w:r>
          </w:p>
        </w:tc>
      </w:tr>
    </w:tbl>
    <w:p w:rsidR="00D94698" w:rsidRPr="00B53423" w:rsidRDefault="00D94698" w:rsidP="0015232B">
      <w:pPr>
        <w:spacing w:before="100" w:beforeAutospacing="1" w:after="40"/>
        <w:ind w:left="360" w:right="-58"/>
        <w:rPr>
          <w:rFonts w:cs="Arial"/>
          <w:bCs/>
        </w:rPr>
      </w:pPr>
      <w:r w:rsidRPr="00B53423">
        <w:rPr>
          <w:rFonts w:cs="Arial"/>
          <w:b/>
        </w:rPr>
        <w:t xml:space="preserve">Metered: </w:t>
      </w:r>
      <w:r w:rsidRPr="00B53423">
        <w:rPr>
          <w:rFonts w:cs="Arial"/>
          <w:bCs/>
        </w:rPr>
        <w:t xml:space="preserve">Metered consumers under this category shall be given 50% rebate on rate of charge applicable to “other metered consumers” under LMV-1 category. </w:t>
      </w:r>
    </w:p>
    <w:p w:rsidR="00D94698" w:rsidRPr="00B53423" w:rsidRDefault="00D94698" w:rsidP="000174C0">
      <w:pPr>
        <w:numPr>
          <w:ilvl w:val="0"/>
          <w:numId w:val="89"/>
        </w:numPr>
        <w:spacing w:before="100" w:beforeAutospacing="1" w:after="40" w:line="288" w:lineRule="auto"/>
        <w:ind w:right="-58"/>
        <w:rPr>
          <w:rFonts w:cs="Arial"/>
          <w:b/>
        </w:rPr>
      </w:pPr>
      <w:r w:rsidRPr="00B53423">
        <w:rPr>
          <w:rFonts w:cs="Arial"/>
          <w:b/>
        </w:rPr>
        <w:t xml:space="preserve">ELECTRICITY DUTY: </w:t>
      </w:r>
    </w:p>
    <w:p w:rsidR="00D94698" w:rsidRPr="00B53423" w:rsidRDefault="00D94698" w:rsidP="0015232B">
      <w:pPr>
        <w:tabs>
          <w:tab w:val="left" w:pos="360"/>
        </w:tabs>
        <w:spacing w:before="100" w:beforeAutospacing="1" w:after="40"/>
        <w:ind w:left="360" w:right="-58"/>
        <w:rPr>
          <w:rFonts w:cs="Arial"/>
          <w:bCs/>
        </w:rPr>
      </w:pPr>
      <w:r w:rsidRPr="00B53423">
        <w:rPr>
          <w:rFonts w:cs="Arial"/>
          <w:bCs/>
        </w:rPr>
        <w:t>Electricity duty on the above shall be levied in addition at the rates as may be notified by the State Government from time to time.</w:t>
      </w:r>
    </w:p>
    <w:p w:rsidR="00D94698" w:rsidRPr="00B53423" w:rsidRDefault="00D94698" w:rsidP="0015232B">
      <w:pPr>
        <w:spacing w:before="100" w:beforeAutospacing="1" w:after="40"/>
        <w:ind w:left="360" w:right="-58"/>
        <w:rPr>
          <w:rFonts w:cs="Arial"/>
          <w:b/>
        </w:rPr>
      </w:pPr>
      <w:r w:rsidRPr="00B53423">
        <w:rPr>
          <w:rFonts w:cs="Arial"/>
          <w:b/>
        </w:rPr>
        <w:t xml:space="preserve">Note: </w:t>
      </w:r>
      <w:r w:rsidRPr="00B53423">
        <w:rPr>
          <w:rFonts w:cs="Arial"/>
        </w:rPr>
        <w:t xml:space="preserve">In case of </w:t>
      </w:r>
      <w:r w:rsidRPr="00B53423">
        <w:rPr>
          <w:rFonts w:cs="Calibri"/>
        </w:rPr>
        <w:t>retired / voluntary retired or deemed retired</w:t>
      </w:r>
      <w:r w:rsidRPr="00B53423">
        <w:rPr>
          <w:rFonts w:cs="Arial"/>
        </w:rPr>
        <w:t xml:space="preserve"> employees, the rate shall be the same as applicable to the post from which he / she has retired.</w:t>
      </w:r>
    </w:p>
    <w:p w:rsidR="00D94698" w:rsidRPr="00B53423" w:rsidRDefault="00D94698" w:rsidP="0015232B">
      <w:pPr>
        <w:tabs>
          <w:tab w:val="left" w:pos="360"/>
        </w:tabs>
        <w:spacing w:before="100" w:beforeAutospacing="1" w:after="40"/>
        <w:ind w:left="360" w:right="-58" w:hanging="360"/>
      </w:pPr>
      <w:r w:rsidRPr="00B53423">
        <w:rPr>
          <w:rFonts w:cs="Arial"/>
          <w:b/>
        </w:rPr>
        <w:t>4.</w:t>
      </w:r>
      <w:r w:rsidRPr="00B53423">
        <w:rPr>
          <w:rFonts w:cs="Arial"/>
          <w:b/>
        </w:rPr>
        <w:tab/>
      </w:r>
      <w:r w:rsidRPr="00B53423">
        <w:rPr>
          <w:rFonts w:cs="Arial"/>
          <w:bCs/>
        </w:rPr>
        <w:t xml:space="preserve">For ‘Other Provisions’ and ‘Mode of Payment’ for Departmental Employees refer </w:t>
      </w:r>
      <w:r w:rsidR="00BC60A3" w:rsidRPr="00B53423">
        <w:rPr>
          <w:rFonts w:cs="Arial"/>
          <w:b/>
          <w:bCs/>
        </w:rPr>
        <w:t xml:space="preserve">ANNEXURE </w:t>
      </w:r>
      <w:fldSimple w:instr=" REF _Ref399327220 \r \h  \* MERGEFORMAT ">
        <w:r w:rsidR="00847C1B" w:rsidRPr="00847C1B">
          <w:rPr>
            <w:rFonts w:cs="Arial"/>
            <w:b/>
            <w:bCs/>
          </w:rPr>
          <w:t>15.2.1</w:t>
        </w:r>
      </w:fldSimple>
      <w:r w:rsidRPr="00B53423">
        <w:rPr>
          <w:rFonts w:cs="Arial"/>
          <w:bCs/>
        </w:rPr>
        <w:t>.</w:t>
      </w:r>
    </w:p>
    <w:p w:rsidR="00D94698" w:rsidRPr="00B53423" w:rsidRDefault="00D94698" w:rsidP="0015232B">
      <w:pPr>
        <w:tabs>
          <w:tab w:val="left" w:pos="360"/>
        </w:tabs>
        <w:spacing w:before="100" w:beforeAutospacing="1" w:after="40"/>
        <w:ind w:left="360" w:right="-58" w:hanging="360"/>
        <w:rPr>
          <w:rFonts w:cs="Arial"/>
          <w:bCs/>
          <w:strike/>
        </w:rPr>
      </w:pPr>
    </w:p>
    <w:p w:rsidR="00D94698" w:rsidRPr="00B53423" w:rsidRDefault="005D68E7" w:rsidP="0015232B">
      <w:pPr>
        <w:spacing w:before="100" w:beforeAutospacing="1" w:after="40"/>
        <w:ind w:left="360" w:right="-58"/>
      </w:pPr>
      <w:r w:rsidRPr="005D68E7">
        <w:rPr>
          <w:i/>
          <w:lang w:val="en-US"/>
        </w:rPr>
        <w:pict>
          <v:line id="_x0000_s1026" style="position:absolute;left:0;text-align:left;z-index:251660288;visibility:visible" from="16.65pt,1.05pt" to="439.6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3LHgIAADg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"/>
        </w:pict>
      </w:r>
      <w:r w:rsidR="00D94698" w:rsidRPr="00B53423">
        <w:rPr>
          <w:rFonts w:cs="Arial"/>
          <w:bCs/>
          <w:i/>
          <w:iCs/>
        </w:rPr>
        <w:t>Section 23 (7) of Electricity Reforms Act, 1999 provides that “terms and condition of service of the personnel shall not be less favourable to the terms and condition which were applicable to them before the transfer”.  The same spirit has been echoed under first proviso of section 133 (2) of the Electricity Act, 2003. The benefits for employees / pensioners as provided in section 12 (b) (ii) of the Uttar Pradesh Reform Transfer Scheme, 2000 include “concessional rate of electricity”, which means concession in rate of electricity to the extent it is not inferior to what was existing before 14</w:t>
      </w:r>
      <w:r w:rsidR="00D94698" w:rsidRPr="00B53423">
        <w:rPr>
          <w:rFonts w:cs="Arial"/>
          <w:bCs/>
          <w:i/>
          <w:iCs/>
          <w:vertAlign w:val="superscript"/>
        </w:rPr>
        <w:t>th</w:t>
      </w:r>
      <w:r w:rsidR="00D94698" w:rsidRPr="00B53423">
        <w:rPr>
          <w:rFonts w:cs="Arial"/>
          <w:bCs/>
          <w:i/>
          <w:iCs/>
        </w:rPr>
        <w:t xml:space="preserve"> January, 2000.  The rates and charges indicated above for this category are strictly in adherence of above statutory provisions.   </w:t>
      </w:r>
    </w:p>
    <w:p w:rsidR="00D94698" w:rsidRPr="00B53423" w:rsidRDefault="00D94698" w:rsidP="0015232B">
      <w:pPr>
        <w:pStyle w:val="BodyText"/>
        <w:spacing w:before="100" w:beforeAutospacing="1" w:after="100" w:afterAutospacing="1" w:line="288" w:lineRule="auto"/>
        <w:ind w:right="-61"/>
        <w:jc w:val="center"/>
        <w:rPr>
          <w:rFonts w:cs="Arial"/>
          <w:b/>
          <w:szCs w:val="22"/>
          <w:u w:val="single"/>
        </w:rPr>
      </w:pPr>
      <w:r w:rsidRPr="00B53423">
        <w:rPr>
          <w:rFonts w:cs="Arial"/>
          <w:b/>
          <w:sz w:val="22"/>
          <w:szCs w:val="22"/>
          <w:u w:val="single"/>
        </w:rPr>
        <w:br w:type="page"/>
      </w:r>
      <w:r w:rsidRPr="00B53423">
        <w:rPr>
          <w:rFonts w:cs="Arial"/>
          <w:b/>
          <w:szCs w:val="22"/>
          <w:u w:val="single"/>
        </w:rPr>
        <w:t>RATE SCHEDULE HV– 1:</w:t>
      </w:r>
    </w:p>
    <w:p w:rsidR="00D94698" w:rsidRPr="00B53423" w:rsidRDefault="00D94698" w:rsidP="0015232B">
      <w:pPr>
        <w:tabs>
          <w:tab w:val="left" w:pos="540"/>
        </w:tabs>
        <w:ind w:left="540" w:right="29" w:hanging="540"/>
        <w:jc w:val="center"/>
        <w:rPr>
          <w:b/>
          <w:bCs/>
        </w:rPr>
      </w:pPr>
      <w:r w:rsidRPr="00B53423">
        <w:rPr>
          <w:b/>
          <w:bCs/>
        </w:rPr>
        <w:t>NON INDUSTRIAL BULK LOADS:</w:t>
      </w:r>
    </w:p>
    <w:p w:rsidR="00D94698" w:rsidRPr="00B53423" w:rsidRDefault="00D94698" w:rsidP="000174C0">
      <w:pPr>
        <w:numPr>
          <w:ilvl w:val="0"/>
          <w:numId w:val="93"/>
        </w:numPr>
        <w:spacing w:before="100" w:beforeAutospacing="1" w:after="100" w:afterAutospacing="1" w:line="288" w:lineRule="auto"/>
        <w:ind w:left="357" w:right="28"/>
        <w:rPr>
          <w:rFonts w:cs="Arial"/>
          <w:b/>
        </w:rPr>
      </w:pPr>
      <w:r w:rsidRPr="00B53423">
        <w:rPr>
          <w:rFonts w:cs="Arial"/>
          <w:b/>
        </w:rPr>
        <w:t>APPLICABILITY:</w:t>
      </w:r>
    </w:p>
    <w:p w:rsidR="00D94698" w:rsidRPr="00B53423" w:rsidRDefault="00D94698" w:rsidP="0015232B">
      <w:pPr>
        <w:spacing w:before="100" w:beforeAutospacing="1" w:after="100" w:afterAutospacing="1"/>
        <w:ind w:left="360" w:right="29"/>
        <w:rPr>
          <w:bCs/>
        </w:rPr>
      </w:pPr>
      <w:r w:rsidRPr="00B53423">
        <w:rPr>
          <w:bCs/>
        </w:rPr>
        <w:t xml:space="preserve">This rate schedule shall apply to: </w:t>
      </w:r>
    </w:p>
    <w:p w:rsidR="00D94698" w:rsidRPr="00B53423" w:rsidRDefault="00D94698" w:rsidP="000174C0">
      <w:pPr>
        <w:numPr>
          <w:ilvl w:val="2"/>
          <w:numId w:val="93"/>
        </w:numPr>
        <w:tabs>
          <w:tab w:val="clear" w:pos="2340"/>
        </w:tabs>
        <w:spacing w:before="100" w:beforeAutospacing="1" w:after="100" w:afterAutospacing="1" w:line="288" w:lineRule="auto"/>
        <w:ind w:left="900" w:right="28" w:hanging="540"/>
        <w:rPr>
          <w:bCs/>
        </w:rPr>
      </w:pPr>
      <w:r w:rsidRPr="00B53423">
        <w:rPr>
          <w:bCs/>
        </w:rPr>
        <w:t xml:space="preserve">Commercial loads (as defined within the meaning of LMV-2) with contracted load of 75 kW &amp; above and getting supply at single point on 11 kV &amp; above voltage levels. </w:t>
      </w:r>
    </w:p>
    <w:p w:rsidR="00D94698" w:rsidRPr="00B53423" w:rsidRDefault="00D94698" w:rsidP="000174C0">
      <w:pPr>
        <w:numPr>
          <w:ilvl w:val="2"/>
          <w:numId w:val="93"/>
        </w:numPr>
        <w:tabs>
          <w:tab w:val="clear" w:pos="2340"/>
        </w:tabs>
        <w:spacing w:before="100" w:beforeAutospacing="1" w:after="100" w:afterAutospacing="1" w:line="288" w:lineRule="auto"/>
        <w:ind w:left="900" w:right="28" w:hanging="540"/>
        <w:rPr>
          <w:bCs/>
        </w:rPr>
      </w:pPr>
      <w:r w:rsidRPr="00B53423">
        <w:rPr>
          <w:bCs/>
        </w:rPr>
        <w:t xml:space="preserve">Private institutions (as defined within the meaning of LMV-4 (b)) with contracted load of 75 kW &amp; above and getting supply at single point on 11 kV &amp; above voltage levels. </w:t>
      </w:r>
    </w:p>
    <w:p w:rsidR="00D94698" w:rsidRPr="00B53423" w:rsidRDefault="00D94698" w:rsidP="000174C0">
      <w:pPr>
        <w:numPr>
          <w:ilvl w:val="2"/>
          <w:numId w:val="93"/>
        </w:numPr>
        <w:tabs>
          <w:tab w:val="clear" w:pos="2340"/>
        </w:tabs>
        <w:spacing w:before="100" w:beforeAutospacing="1" w:after="100" w:afterAutospacing="1" w:line="288" w:lineRule="auto"/>
        <w:ind w:left="900" w:right="28" w:hanging="540"/>
        <w:rPr>
          <w:bCs/>
        </w:rPr>
      </w:pPr>
      <w:r w:rsidRPr="00B53423">
        <w:rPr>
          <w:bCs/>
        </w:rPr>
        <w:t xml:space="preserve">Non domestic bulk power consumer (other than industrial loads covered under HV-2) with contracted load 75 kW &amp; above and getting supply at single point on 11 kV &amp; above voltage levels and feeding multiple individuals (owners / occupiers / tenants of some area within the larger premises of the bulk power consumer) through its own network and also responsible for maintaining distribution network. </w:t>
      </w:r>
    </w:p>
    <w:p w:rsidR="00D94698" w:rsidRPr="00B53423" w:rsidRDefault="00D94698" w:rsidP="000174C0">
      <w:pPr>
        <w:numPr>
          <w:ilvl w:val="2"/>
          <w:numId w:val="93"/>
        </w:numPr>
        <w:tabs>
          <w:tab w:val="clear" w:pos="2340"/>
        </w:tabs>
        <w:spacing w:before="100" w:beforeAutospacing="1" w:after="100" w:afterAutospacing="1" w:line="288" w:lineRule="auto"/>
        <w:ind w:left="900" w:right="28" w:hanging="540"/>
        <w:rPr>
          <w:bCs/>
        </w:rPr>
      </w:pPr>
      <w:r w:rsidRPr="00B53423">
        <w:rPr>
          <w:bCs/>
        </w:rPr>
        <w:t>Public institutions (as defined within the meaning of LMV-4 (a)) with contracted load of 75 kW &amp; above and getting supply at single point on 11 kV &amp; above voltage levels. The institution / consumer seeking the supply at Single point for non-industrial bulk loads under this category shall be considered as a deemed franchisee of the Licensee.</w:t>
      </w:r>
    </w:p>
    <w:p w:rsidR="00D94698" w:rsidRPr="00B53423" w:rsidRDefault="00D94698" w:rsidP="000174C0">
      <w:pPr>
        <w:numPr>
          <w:ilvl w:val="2"/>
          <w:numId w:val="93"/>
        </w:numPr>
        <w:tabs>
          <w:tab w:val="clear" w:pos="2340"/>
        </w:tabs>
        <w:spacing w:before="100" w:beforeAutospacing="1" w:after="100" w:afterAutospacing="1" w:line="288" w:lineRule="auto"/>
        <w:ind w:left="900" w:right="28" w:hanging="540"/>
        <w:rPr>
          <w:bCs/>
        </w:rPr>
      </w:pPr>
      <w:r w:rsidRPr="00B53423">
        <w:t>Registered Societies, Residential Colonies / Townships, Residential Multi-Storied Buildings with mixed loads (getting supply at single point)</w:t>
      </w:r>
      <w:r w:rsidRPr="00B53423">
        <w:rPr>
          <w:bCs/>
        </w:rPr>
        <w:t xml:space="preserve"> with contracted load 75 kW &amp; above and getting supply at single point on 11 kV &amp; above voltage levels</w:t>
      </w:r>
      <w:r w:rsidRPr="00B53423">
        <w:t xml:space="preserve"> and having less than 70% of the total contracted load exclusively for the purposes of domestic light, fan and power. Figure of  70%, shall also include the load required for lifts, water pumps and common lighting, </w:t>
      </w:r>
    </w:p>
    <w:p w:rsidR="00D94698" w:rsidRPr="00B53423" w:rsidRDefault="00D94698" w:rsidP="000174C0">
      <w:pPr>
        <w:numPr>
          <w:ilvl w:val="2"/>
          <w:numId w:val="93"/>
        </w:numPr>
        <w:tabs>
          <w:tab w:val="clear" w:pos="2340"/>
        </w:tabs>
        <w:spacing w:before="100" w:beforeAutospacing="1" w:after="100" w:afterAutospacing="1" w:line="288" w:lineRule="auto"/>
        <w:ind w:left="900" w:right="28" w:hanging="540"/>
        <w:rPr>
          <w:bCs/>
        </w:rPr>
      </w:pPr>
      <w:r w:rsidRPr="00B53423">
        <w:rPr>
          <w:bCs/>
        </w:rPr>
        <w:t>For Offices / Buildings / Guesthouses of UPPCL / UPRVUNL / UPJVNL / UPPTCL / Distribution Licensees having loads above 75 kW and getting supply at 11 kV &amp; above voltages.</w:t>
      </w:r>
    </w:p>
    <w:p w:rsidR="00D94698" w:rsidRPr="00B53423" w:rsidRDefault="00D94698" w:rsidP="0015232B">
      <w:pPr>
        <w:spacing w:before="100" w:beforeAutospacing="1" w:after="100" w:afterAutospacing="1" w:line="288" w:lineRule="auto"/>
        <w:ind w:left="900" w:right="28"/>
        <w:rPr>
          <w:bCs/>
        </w:rPr>
      </w:pPr>
    </w:p>
    <w:p w:rsidR="00D94698" w:rsidRPr="00B53423" w:rsidRDefault="00D94698" w:rsidP="000174C0">
      <w:pPr>
        <w:numPr>
          <w:ilvl w:val="0"/>
          <w:numId w:val="93"/>
        </w:numPr>
        <w:spacing w:before="100" w:after="100" w:line="288" w:lineRule="auto"/>
        <w:ind w:left="720" w:right="28" w:hanging="723"/>
        <w:rPr>
          <w:b/>
        </w:rPr>
      </w:pPr>
      <w:r w:rsidRPr="00B53423">
        <w:rPr>
          <w:b/>
        </w:rPr>
        <w:t>CHARACTER AND POINT OF SUPPLY:</w:t>
      </w:r>
    </w:p>
    <w:p w:rsidR="00D94698" w:rsidRPr="00B53423" w:rsidRDefault="00D94698" w:rsidP="0015232B">
      <w:pPr>
        <w:spacing w:line="240" w:lineRule="auto"/>
        <w:ind w:left="360" w:right="-58"/>
        <w:rPr>
          <w:rFonts w:cs="Arial"/>
        </w:rPr>
      </w:pPr>
      <w:proofErr w:type="gramStart"/>
      <w:r w:rsidRPr="00B53423">
        <w:t>As per the applicable provisions of Electricity Supply Code.</w:t>
      </w:r>
      <w:proofErr w:type="gramEnd"/>
    </w:p>
    <w:p w:rsidR="00D94698" w:rsidRPr="00B53423" w:rsidRDefault="00D94698" w:rsidP="000174C0">
      <w:pPr>
        <w:pStyle w:val="BodyText"/>
        <w:numPr>
          <w:ilvl w:val="0"/>
          <w:numId w:val="93"/>
        </w:numPr>
        <w:spacing w:before="100" w:beforeAutospacing="1" w:after="0" w:line="288" w:lineRule="auto"/>
        <w:ind w:left="0" w:right="29" w:firstLine="0"/>
        <w:rPr>
          <w:rFonts w:cs="Arial"/>
          <w:b/>
        </w:rPr>
      </w:pPr>
      <w:r w:rsidRPr="00B53423">
        <w:rPr>
          <w:rFonts w:cs="Arial"/>
          <w:b/>
        </w:rPr>
        <w:t xml:space="preserve">RATE: </w:t>
      </w:r>
    </w:p>
    <w:p w:rsidR="00D94698" w:rsidRPr="00B53423" w:rsidRDefault="00D94698" w:rsidP="0015232B">
      <w:r w:rsidRPr="00B53423">
        <w:t>Rate, gives the demand and energy charges at which the consumer shall be billed for consumption during the billing period applicable to the category:</w:t>
      </w:r>
    </w:p>
    <w:p w:rsidR="00D94698" w:rsidRPr="00B53423" w:rsidRDefault="00D94698" w:rsidP="0015232B"/>
    <w:p w:rsidR="00D94698" w:rsidRPr="00B53423" w:rsidRDefault="00D94698" w:rsidP="000174C0">
      <w:pPr>
        <w:pStyle w:val="BodyText"/>
        <w:numPr>
          <w:ilvl w:val="0"/>
          <w:numId w:val="102"/>
        </w:numPr>
        <w:spacing w:before="0" w:after="0" w:line="240" w:lineRule="auto"/>
        <w:ind w:right="-58"/>
        <w:rPr>
          <w:b/>
          <w:bCs/>
        </w:rPr>
      </w:pPr>
      <w:r w:rsidRPr="00B53423">
        <w:rPr>
          <w:rFonts w:cs="Arial"/>
          <w:b/>
        </w:rPr>
        <w:t>Commercial Loads / Private Institutions /</w:t>
      </w:r>
      <w:r w:rsidRPr="00B53423">
        <w:rPr>
          <w:b/>
          <w:bCs/>
        </w:rPr>
        <w:t xml:space="preserve"> Non domestic bulk power consumer with contracted load 75 kW &amp; above and getting supply at Single Point on 11 kV &amp; above: </w:t>
      </w:r>
    </w:p>
    <w:tbl>
      <w:tblPr>
        <w:tblpPr w:leftFromText="180" w:rightFromText="180" w:vertAnchor="text" w:horzAnchor="page" w:tblpX="2674" w:tblpY="140"/>
        <w:tblW w:w="7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430"/>
        <w:gridCol w:w="3150"/>
      </w:tblGrid>
      <w:tr w:rsidR="00D94698" w:rsidRPr="00B53423" w:rsidTr="00E93F0F">
        <w:trPr>
          <w:trHeight w:val="350"/>
          <w:tblHeader/>
        </w:trPr>
        <w:tc>
          <w:tcPr>
            <w:tcW w:w="2268" w:type="dxa"/>
            <w:shd w:val="pct12" w:color="auto" w:fill="auto"/>
          </w:tcPr>
          <w:p w:rsidR="00D94698" w:rsidRPr="00B53423" w:rsidRDefault="00D94698" w:rsidP="0015232B">
            <w:pPr>
              <w:ind w:right="-105"/>
              <w:rPr>
                <w:rFonts w:cs="Arial"/>
              </w:rPr>
            </w:pPr>
          </w:p>
        </w:tc>
        <w:tc>
          <w:tcPr>
            <w:tcW w:w="2430" w:type="dxa"/>
            <w:shd w:val="pct12" w:color="auto" w:fill="auto"/>
          </w:tcPr>
          <w:p w:rsidR="00D94698" w:rsidRPr="00B53423" w:rsidRDefault="00D94698" w:rsidP="0015232B">
            <w:pPr>
              <w:ind w:right="-105"/>
              <w:rPr>
                <w:rFonts w:cs="Arial"/>
                <w:b/>
              </w:rPr>
            </w:pPr>
            <w:r w:rsidRPr="00B53423">
              <w:rPr>
                <w:rFonts w:cs="Arial"/>
                <w:b/>
              </w:rPr>
              <w:t>For supply at 11kV</w:t>
            </w:r>
          </w:p>
        </w:tc>
        <w:tc>
          <w:tcPr>
            <w:tcW w:w="3150" w:type="dxa"/>
            <w:shd w:val="pct12" w:color="auto" w:fill="auto"/>
          </w:tcPr>
          <w:p w:rsidR="00D94698" w:rsidRPr="00B53423" w:rsidRDefault="00D94698" w:rsidP="0015232B">
            <w:pPr>
              <w:rPr>
                <w:rFonts w:cs="Arial"/>
                <w:b/>
              </w:rPr>
            </w:pPr>
            <w:r w:rsidRPr="00B53423">
              <w:rPr>
                <w:rFonts w:cs="Arial"/>
                <w:b/>
              </w:rPr>
              <w:t>For supply at 33 kV &amp; above</w:t>
            </w:r>
          </w:p>
        </w:tc>
      </w:tr>
      <w:tr w:rsidR="00D94698" w:rsidRPr="00B53423" w:rsidTr="00E93F0F">
        <w:trPr>
          <w:tblHeader/>
        </w:trPr>
        <w:tc>
          <w:tcPr>
            <w:tcW w:w="2268" w:type="dxa"/>
          </w:tcPr>
          <w:p w:rsidR="00D94698" w:rsidRPr="00B53423" w:rsidRDefault="00D94698" w:rsidP="0015232B">
            <w:pPr>
              <w:ind w:right="-105"/>
              <w:rPr>
                <w:rFonts w:cs="Arial"/>
              </w:rPr>
            </w:pPr>
            <w:r w:rsidRPr="00B53423">
              <w:rPr>
                <w:rFonts w:cs="Arial"/>
              </w:rPr>
              <w:t xml:space="preserve">Demand Charges </w:t>
            </w:r>
          </w:p>
        </w:tc>
        <w:tc>
          <w:tcPr>
            <w:tcW w:w="2430" w:type="dxa"/>
          </w:tcPr>
          <w:p w:rsidR="00D94698" w:rsidRPr="00B53423" w:rsidRDefault="00D94698" w:rsidP="0015232B">
            <w:pPr>
              <w:ind w:right="-105"/>
              <w:jc w:val="center"/>
              <w:rPr>
                <w:rFonts w:cs="Arial"/>
              </w:rPr>
            </w:pPr>
            <w:r w:rsidRPr="00B53423">
              <w:rPr>
                <w:rFonts w:cs="Arial"/>
              </w:rPr>
              <w:t>Rs. 270.00 / kVA / month</w:t>
            </w:r>
          </w:p>
        </w:tc>
        <w:tc>
          <w:tcPr>
            <w:tcW w:w="3150" w:type="dxa"/>
          </w:tcPr>
          <w:p w:rsidR="00D94698" w:rsidRPr="00B53423" w:rsidRDefault="00D94698" w:rsidP="0015232B">
            <w:pPr>
              <w:ind w:right="-105"/>
              <w:jc w:val="center"/>
              <w:rPr>
                <w:rFonts w:cs="Arial"/>
              </w:rPr>
            </w:pPr>
            <w:r w:rsidRPr="00B53423">
              <w:rPr>
                <w:rFonts w:cs="Arial"/>
              </w:rPr>
              <w:t>Rs. 2</w:t>
            </w:r>
            <w:r w:rsidRPr="00B53423">
              <w:t>50.00</w:t>
            </w:r>
            <w:r w:rsidRPr="00B53423">
              <w:rPr>
                <w:rFonts w:cs="Arial"/>
              </w:rPr>
              <w:t xml:space="preserve"> / kVA / month</w:t>
            </w:r>
          </w:p>
        </w:tc>
      </w:tr>
      <w:tr w:rsidR="00D94698" w:rsidRPr="00B53423" w:rsidTr="00E93F0F">
        <w:trPr>
          <w:tblHeader/>
        </w:trPr>
        <w:tc>
          <w:tcPr>
            <w:tcW w:w="2268" w:type="dxa"/>
          </w:tcPr>
          <w:p w:rsidR="00D94698" w:rsidRPr="00B53423" w:rsidRDefault="00D94698" w:rsidP="0015232B">
            <w:pPr>
              <w:ind w:right="-105"/>
              <w:rPr>
                <w:rFonts w:cs="Arial"/>
              </w:rPr>
            </w:pPr>
            <w:r w:rsidRPr="00B53423">
              <w:rPr>
                <w:rFonts w:cs="Arial"/>
              </w:rPr>
              <w:t xml:space="preserve">Energy Charges </w:t>
            </w:r>
          </w:p>
        </w:tc>
        <w:tc>
          <w:tcPr>
            <w:tcW w:w="2430" w:type="dxa"/>
          </w:tcPr>
          <w:p w:rsidR="00D94698" w:rsidRPr="00B53423" w:rsidRDefault="00D94698" w:rsidP="0015232B">
            <w:pPr>
              <w:ind w:right="-105"/>
              <w:jc w:val="center"/>
              <w:rPr>
                <w:rFonts w:cs="Arial"/>
              </w:rPr>
            </w:pPr>
            <w:r w:rsidRPr="00B53423">
              <w:rPr>
                <w:rFonts w:cs="Arial"/>
              </w:rPr>
              <w:t>Rs. 6.80 / kVAh</w:t>
            </w:r>
          </w:p>
        </w:tc>
        <w:tc>
          <w:tcPr>
            <w:tcW w:w="3150" w:type="dxa"/>
          </w:tcPr>
          <w:p w:rsidR="00D94698" w:rsidRPr="00B53423" w:rsidRDefault="00D94698" w:rsidP="0015232B">
            <w:pPr>
              <w:ind w:right="-105"/>
              <w:jc w:val="center"/>
              <w:rPr>
                <w:rFonts w:cs="Arial"/>
              </w:rPr>
            </w:pPr>
            <w:r w:rsidRPr="00B53423">
              <w:rPr>
                <w:rFonts w:cs="Arial"/>
              </w:rPr>
              <w:t>Rs. 6.60 / kVAh</w:t>
            </w:r>
          </w:p>
        </w:tc>
      </w:tr>
    </w:tbl>
    <w:p w:rsidR="00D94698" w:rsidRPr="00B53423" w:rsidRDefault="00D94698" w:rsidP="0015232B">
      <w:pPr>
        <w:pStyle w:val="BodyText"/>
        <w:spacing w:before="100" w:beforeAutospacing="1" w:line="288" w:lineRule="auto"/>
        <w:ind w:left="360" w:right="29"/>
        <w:rPr>
          <w:rFonts w:cs="Arial"/>
          <w:b/>
        </w:rPr>
      </w:pPr>
    </w:p>
    <w:p w:rsidR="00D94698" w:rsidRPr="00B53423" w:rsidRDefault="00D94698" w:rsidP="0015232B">
      <w:pPr>
        <w:pStyle w:val="BodyText"/>
        <w:spacing w:before="100" w:beforeAutospacing="1" w:line="288" w:lineRule="auto"/>
        <w:ind w:left="360" w:right="29"/>
        <w:rPr>
          <w:rFonts w:cs="Arial"/>
          <w:b/>
        </w:rPr>
      </w:pPr>
    </w:p>
    <w:p w:rsidR="00D94698" w:rsidRPr="00B53423" w:rsidRDefault="00D94698" w:rsidP="0015232B">
      <w:pPr>
        <w:pStyle w:val="BodyText"/>
        <w:spacing w:line="240" w:lineRule="auto"/>
        <w:ind w:left="360" w:right="-58"/>
        <w:rPr>
          <w:rFonts w:cs="Arial"/>
          <w:b/>
        </w:rPr>
      </w:pPr>
    </w:p>
    <w:p w:rsidR="00D94698" w:rsidRPr="00B53423" w:rsidRDefault="00D94698" w:rsidP="0015232B">
      <w:pPr>
        <w:pStyle w:val="BodyText"/>
        <w:spacing w:line="240" w:lineRule="auto"/>
        <w:ind w:left="360" w:right="-58"/>
        <w:rPr>
          <w:rFonts w:cs="Arial"/>
          <w:b/>
        </w:rPr>
      </w:pPr>
    </w:p>
    <w:p w:rsidR="005B31C0" w:rsidRPr="00B53423" w:rsidRDefault="005B31C0" w:rsidP="0015232B">
      <w:pPr>
        <w:pStyle w:val="BodyText"/>
        <w:spacing w:before="0" w:after="0" w:line="240" w:lineRule="auto"/>
        <w:ind w:left="1080" w:right="-58"/>
        <w:rPr>
          <w:rFonts w:cs="Arial"/>
          <w:b/>
        </w:rPr>
      </w:pPr>
    </w:p>
    <w:p w:rsidR="00D94698" w:rsidRPr="00B53423" w:rsidRDefault="00D94698" w:rsidP="000174C0">
      <w:pPr>
        <w:pStyle w:val="BodyText"/>
        <w:numPr>
          <w:ilvl w:val="0"/>
          <w:numId w:val="102"/>
        </w:numPr>
        <w:spacing w:before="0" w:after="0" w:line="240" w:lineRule="auto"/>
        <w:ind w:right="-58"/>
        <w:rPr>
          <w:rFonts w:cs="Arial"/>
          <w:b/>
        </w:rPr>
      </w:pPr>
      <w:r w:rsidRPr="00B53423">
        <w:rPr>
          <w:rFonts w:cs="Arial"/>
          <w:b/>
        </w:rPr>
        <w:t xml:space="preserve">Public Institutions, </w:t>
      </w:r>
      <w:r w:rsidRPr="00B53423">
        <w:rPr>
          <w:b/>
          <w:szCs w:val="22"/>
        </w:rPr>
        <w:t>Registered Societies, Residential Colonies / Townships, Residential Multi-Storied Buildings</w:t>
      </w:r>
      <w:r w:rsidRPr="00B53423">
        <w:rPr>
          <w:rFonts w:cs="Arial"/>
          <w:b/>
        </w:rPr>
        <w:t xml:space="preserve"> including </w:t>
      </w:r>
      <w:r w:rsidRPr="00B53423">
        <w:rPr>
          <w:b/>
          <w:bCs/>
        </w:rPr>
        <w:t>Residential Multi-Storied Buildings</w:t>
      </w:r>
      <w:r w:rsidRPr="00B53423" w:rsidDel="00F03799">
        <w:rPr>
          <w:rFonts w:cs="Arial"/>
          <w:b/>
        </w:rPr>
        <w:t xml:space="preserve"> </w:t>
      </w:r>
      <w:r w:rsidRPr="00B53423">
        <w:rPr>
          <w:rFonts w:cs="Arial"/>
          <w:b/>
        </w:rPr>
        <w:t>with contracted load 75 kW &amp; above and getting supply at Single Point on 11 kV &amp; above voltage levels:</w:t>
      </w:r>
    </w:p>
    <w:tbl>
      <w:tblPr>
        <w:tblpPr w:leftFromText="180" w:rightFromText="180" w:vertAnchor="text" w:horzAnchor="page" w:tblpX="2674" w:tblpY="140"/>
        <w:tblW w:w="7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430"/>
        <w:gridCol w:w="2970"/>
      </w:tblGrid>
      <w:tr w:rsidR="00D94698" w:rsidRPr="00B53423" w:rsidTr="00E93F0F">
        <w:trPr>
          <w:trHeight w:val="350"/>
        </w:trPr>
        <w:tc>
          <w:tcPr>
            <w:tcW w:w="2268" w:type="dxa"/>
            <w:shd w:val="pct12" w:color="auto" w:fill="auto"/>
          </w:tcPr>
          <w:p w:rsidR="00D94698" w:rsidRPr="00B53423" w:rsidRDefault="00D94698" w:rsidP="0015232B">
            <w:pPr>
              <w:ind w:right="-105"/>
              <w:rPr>
                <w:rFonts w:cs="Arial"/>
              </w:rPr>
            </w:pPr>
          </w:p>
        </w:tc>
        <w:tc>
          <w:tcPr>
            <w:tcW w:w="2430" w:type="dxa"/>
            <w:shd w:val="pct12" w:color="auto" w:fill="auto"/>
          </w:tcPr>
          <w:p w:rsidR="00D94698" w:rsidRPr="00B53423" w:rsidRDefault="00D94698" w:rsidP="0015232B">
            <w:pPr>
              <w:ind w:right="-105"/>
              <w:rPr>
                <w:rFonts w:cs="Arial"/>
                <w:b/>
              </w:rPr>
            </w:pPr>
            <w:r w:rsidRPr="00B53423">
              <w:rPr>
                <w:rFonts w:cs="Arial"/>
                <w:b/>
              </w:rPr>
              <w:t>For supply at 11kV</w:t>
            </w:r>
          </w:p>
        </w:tc>
        <w:tc>
          <w:tcPr>
            <w:tcW w:w="2970" w:type="dxa"/>
            <w:shd w:val="pct12" w:color="auto" w:fill="auto"/>
          </w:tcPr>
          <w:p w:rsidR="00D94698" w:rsidRPr="00B53423" w:rsidRDefault="00D94698" w:rsidP="0015232B">
            <w:pPr>
              <w:ind w:right="-105"/>
              <w:rPr>
                <w:rFonts w:cs="Arial"/>
                <w:b/>
              </w:rPr>
            </w:pPr>
            <w:r w:rsidRPr="00B53423">
              <w:rPr>
                <w:rFonts w:cs="Arial"/>
                <w:b/>
              </w:rPr>
              <w:t>For supply at 33 kV &amp; above</w:t>
            </w:r>
          </w:p>
        </w:tc>
      </w:tr>
      <w:tr w:rsidR="00D94698" w:rsidRPr="00B53423" w:rsidTr="00E93F0F">
        <w:tc>
          <w:tcPr>
            <w:tcW w:w="2268" w:type="dxa"/>
          </w:tcPr>
          <w:p w:rsidR="00D94698" w:rsidRPr="00B53423" w:rsidRDefault="00D94698" w:rsidP="0015232B">
            <w:pPr>
              <w:ind w:right="-105"/>
              <w:rPr>
                <w:rFonts w:cs="Arial"/>
              </w:rPr>
            </w:pPr>
            <w:r w:rsidRPr="00B53423">
              <w:rPr>
                <w:rFonts w:cs="Arial"/>
              </w:rPr>
              <w:t xml:space="preserve">Demand Charges </w:t>
            </w:r>
          </w:p>
        </w:tc>
        <w:tc>
          <w:tcPr>
            <w:tcW w:w="2430" w:type="dxa"/>
          </w:tcPr>
          <w:p w:rsidR="00D94698" w:rsidRPr="00B53423" w:rsidRDefault="00D94698" w:rsidP="0015232B">
            <w:pPr>
              <w:ind w:right="-105"/>
              <w:jc w:val="center"/>
              <w:rPr>
                <w:rFonts w:cs="Arial"/>
              </w:rPr>
            </w:pPr>
            <w:r w:rsidRPr="00B53423">
              <w:rPr>
                <w:rFonts w:cs="Arial"/>
              </w:rPr>
              <w:t>Rs. 2</w:t>
            </w:r>
            <w:r w:rsidRPr="00B53423">
              <w:t>50.00</w:t>
            </w:r>
            <w:r w:rsidRPr="00B53423">
              <w:rPr>
                <w:rFonts w:cs="Arial"/>
              </w:rPr>
              <w:t xml:space="preserve"> / kVA / month</w:t>
            </w:r>
          </w:p>
        </w:tc>
        <w:tc>
          <w:tcPr>
            <w:tcW w:w="2970" w:type="dxa"/>
          </w:tcPr>
          <w:p w:rsidR="00D94698" w:rsidRPr="00B53423" w:rsidRDefault="00D94698" w:rsidP="0015232B">
            <w:pPr>
              <w:ind w:right="-105"/>
              <w:jc w:val="center"/>
              <w:rPr>
                <w:rFonts w:cs="Arial"/>
              </w:rPr>
            </w:pPr>
            <w:r w:rsidRPr="00B53423">
              <w:rPr>
                <w:rFonts w:cs="Arial"/>
              </w:rPr>
              <w:t>Rs. 240.00 / kVA / month</w:t>
            </w:r>
          </w:p>
        </w:tc>
      </w:tr>
      <w:tr w:rsidR="00D94698" w:rsidRPr="00B53423" w:rsidTr="00E93F0F">
        <w:tc>
          <w:tcPr>
            <w:tcW w:w="2268" w:type="dxa"/>
          </w:tcPr>
          <w:p w:rsidR="00D94698" w:rsidRPr="00B53423" w:rsidRDefault="00D94698" w:rsidP="0015232B">
            <w:pPr>
              <w:ind w:right="-105"/>
              <w:rPr>
                <w:rFonts w:cs="Arial"/>
              </w:rPr>
            </w:pPr>
            <w:r w:rsidRPr="00B53423">
              <w:rPr>
                <w:rFonts w:cs="Arial"/>
              </w:rPr>
              <w:t xml:space="preserve">Energy Charges </w:t>
            </w:r>
          </w:p>
        </w:tc>
        <w:tc>
          <w:tcPr>
            <w:tcW w:w="2430" w:type="dxa"/>
          </w:tcPr>
          <w:p w:rsidR="00D94698" w:rsidRPr="00B53423" w:rsidRDefault="00D94698" w:rsidP="0015232B">
            <w:pPr>
              <w:ind w:right="-105"/>
              <w:jc w:val="center"/>
              <w:rPr>
                <w:rFonts w:cs="Arial"/>
              </w:rPr>
            </w:pPr>
            <w:r w:rsidRPr="00B53423">
              <w:rPr>
                <w:rFonts w:cs="Arial"/>
              </w:rPr>
              <w:t>Rs. 6.60 / kVAh</w:t>
            </w:r>
          </w:p>
        </w:tc>
        <w:tc>
          <w:tcPr>
            <w:tcW w:w="2970" w:type="dxa"/>
          </w:tcPr>
          <w:p w:rsidR="00D94698" w:rsidRPr="00B53423" w:rsidRDefault="00D94698" w:rsidP="0015232B">
            <w:pPr>
              <w:ind w:right="-105"/>
              <w:jc w:val="center"/>
              <w:rPr>
                <w:rFonts w:cs="Arial"/>
              </w:rPr>
            </w:pPr>
            <w:r w:rsidRPr="00B53423">
              <w:rPr>
                <w:rFonts w:cs="Arial"/>
              </w:rPr>
              <w:t>Rs. 6.40 / kVAh</w:t>
            </w:r>
          </w:p>
        </w:tc>
      </w:tr>
    </w:tbl>
    <w:p w:rsidR="00D94698" w:rsidRPr="00B53423" w:rsidRDefault="00D94698" w:rsidP="0015232B">
      <w:pPr>
        <w:pStyle w:val="BodyText"/>
        <w:spacing w:before="100" w:beforeAutospacing="1" w:after="100" w:afterAutospacing="1" w:line="288" w:lineRule="auto"/>
        <w:ind w:right="-61"/>
        <w:jc w:val="left"/>
        <w:rPr>
          <w:rFonts w:cs="Arial"/>
          <w:b/>
        </w:rPr>
      </w:pPr>
    </w:p>
    <w:p w:rsidR="00D94698" w:rsidRPr="00B53423" w:rsidRDefault="00D94698" w:rsidP="0015232B">
      <w:pPr>
        <w:pStyle w:val="BodyText"/>
        <w:spacing w:before="100" w:beforeAutospacing="1" w:after="100" w:afterAutospacing="1" w:line="288" w:lineRule="auto"/>
        <w:ind w:right="-61"/>
        <w:jc w:val="left"/>
        <w:rPr>
          <w:rFonts w:cs="Arial"/>
          <w:b/>
        </w:rPr>
      </w:pPr>
    </w:p>
    <w:p w:rsidR="00D94698" w:rsidRPr="00B53423" w:rsidRDefault="00D94698" w:rsidP="0015232B">
      <w:pPr>
        <w:pStyle w:val="BodyText"/>
        <w:spacing w:before="100" w:beforeAutospacing="1" w:after="100" w:afterAutospacing="1" w:line="288" w:lineRule="auto"/>
        <w:ind w:right="-61"/>
        <w:jc w:val="center"/>
        <w:rPr>
          <w:rFonts w:cs="Arial"/>
          <w:b/>
        </w:rPr>
      </w:pPr>
    </w:p>
    <w:p w:rsidR="00D94698" w:rsidRPr="00B53423" w:rsidRDefault="00D94698" w:rsidP="0015232B">
      <w:pPr>
        <w:pStyle w:val="BodyText"/>
        <w:spacing w:before="100" w:beforeAutospacing="1" w:after="100" w:afterAutospacing="1" w:line="288" w:lineRule="auto"/>
        <w:ind w:right="-61"/>
        <w:jc w:val="center"/>
        <w:rPr>
          <w:rFonts w:cs="Arial"/>
          <w:b/>
        </w:rPr>
      </w:pPr>
    </w:p>
    <w:p w:rsidR="00D94698" w:rsidRPr="00B53423" w:rsidRDefault="00D94698" w:rsidP="0015232B">
      <w:pPr>
        <w:ind w:left="450"/>
      </w:pPr>
      <w:r w:rsidRPr="00B53423">
        <w:t>The body seeking the supply at Single point for bulk loads under this category shall be considered as a deemed franchisee of the Licensee. Such body shall charge not more than 10% additional charge on the above specified Rate from its end consumers apart from other applicable charges such as Regulatory Surcharge, Penalty, Rebate and Electricity Duty on actual basis.</w:t>
      </w:r>
    </w:p>
    <w:p w:rsidR="00D94698" w:rsidRPr="00B53423" w:rsidRDefault="00D94698" w:rsidP="0015232B">
      <w:pPr>
        <w:pStyle w:val="BodyText"/>
        <w:spacing w:before="100" w:beforeAutospacing="1" w:after="100" w:afterAutospacing="1" w:line="288" w:lineRule="auto"/>
        <w:ind w:right="-61"/>
        <w:jc w:val="center"/>
        <w:rPr>
          <w:rFonts w:cs="Arial"/>
          <w:b/>
          <w:szCs w:val="22"/>
          <w:u w:val="single"/>
        </w:rPr>
      </w:pPr>
      <w:r w:rsidRPr="00B53423">
        <w:rPr>
          <w:rFonts w:cs="Arial"/>
          <w:b/>
        </w:rPr>
        <w:br w:type="page"/>
      </w:r>
      <w:r w:rsidRPr="00B53423">
        <w:rPr>
          <w:rFonts w:cs="Arial"/>
          <w:b/>
          <w:szCs w:val="22"/>
          <w:u w:val="single"/>
        </w:rPr>
        <w:t>RATE SCHEDULE HV– 2:</w:t>
      </w:r>
    </w:p>
    <w:p w:rsidR="00D94698" w:rsidRPr="00B53423" w:rsidRDefault="00D94698" w:rsidP="0015232B">
      <w:pPr>
        <w:spacing w:before="100" w:beforeAutospacing="1" w:after="100" w:afterAutospacing="1"/>
        <w:ind w:right="29"/>
        <w:jc w:val="center"/>
        <w:rPr>
          <w:rFonts w:cs="Arial"/>
          <w:b/>
        </w:rPr>
      </w:pPr>
      <w:r w:rsidRPr="00B53423">
        <w:rPr>
          <w:rFonts w:cs="Arial"/>
          <w:b/>
        </w:rPr>
        <w:t>LARGE AND HEAVY POWER:</w:t>
      </w:r>
    </w:p>
    <w:p w:rsidR="00D94698" w:rsidRPr="00B53423" w:rsidRDefault="00D94698" w:rsidP="000174C0">
      <w:pPr>
        <w:numPr>
          <w:ilvl w:val="0"/>
          <w:numId w:val="101"/>
        </w:numPr>
        <w:tabs>
          <w:tab w:val="clear" w:pos="720"/>
          <w:tab w:val="left" w:pos="360"/>
        </w:tabs>
        <w:spacing w:before="100" w:beforeAutospacing="1" w:after="100" w:afterAutospacing="1" w:line="288" w:lineRule="auto"/>
        <w:ind w:right="28" w:hanging="720"/>
        <w:rPr>
          <w:rFonts w:cs="Arial"/>
          <w:b/>
        </w:rPr>
      </w:pPr>
      <w:r w:rsidRPr="00B53423">
        <w:rPr>
          <w:rFonts w:cs="Arial"/>
          <w:b/>
        </w:rPr>
        <w:t>APPLICABILITY:</w:t>
      </w:r>
    </w:p>
    <w:p w:rsidR="00D94698" w:rsidRPr="00B53423" w:rsidRDefault="00D94698" w:rsidP="0015232B">
      <w:pPr>
        <w:tabs>
          <w:tab w:val="left" w:pos="360"/>
        </w:tabs>
        <w:spacing w:before="100" w:after="120"/>
        <w:ind w:left="360" w:right="28"/>
      </w:pPr>
      <w:r w:rsidRPr="00B53423">
        <w:t xml:space="preserve">This rate schedule shall apply to all consumers having contracted load above 75 kW (100 BHP) for industrial and / or processing purposes as well as to Arc / induction furnaces, rolling / re-rolling mills, mini-steel plants and floriculture &amp; farming units and to any other HT consumer not covered under any other rate schedule. </w:t>
      </w:r>
    </w:p>
    <w:p w:rsidR="00D94698" w:rsidRPr="00B53423" w:rsidRDefault="00D94698" w:rsidP="0015232B">
      <w:pPr>
        <w:tabs>
          <w:tab w:val="left" w:pos="360"/>
        </w:tabs>
        <w:spacing w:before="100" w:after="120"/>
        <w:ind w:left="360" w:right="28"/>
      </w:pPr>
      <w:r w:rsidRPr="00B53423">
        <w:t xml:space="preserve">Supply to Induction and Arc furnaces shall be made available only after ensuring that the loads sanctioned are corresponding to the load requirement of tonnage of furnaces. The minimum load of one-ton furnace shall in no case be less than 400 kVA and all loads will be determined on this basis. No supply will be given on loads below this norm. </w:t>
      </w:r>
    </w:p>
    <w:p w:rsidR="00D94698" w:rsidRPr="00B53423" w:rsidRDefault="00D94698" w:rsidP="0015232B">
      <w:pPr>
        <w:tabs>
          <w:tab w:val="left" w:pos="360"/>
        </w:tabs>
        <w:spacing w:before="100"/>
        <w:ind w:left="360" w:right="-61"/>
      </w:pPr>
      <w:r w:rsidRPr="00B53423">
        <w:t>For all HV-2 consumers, conditions of supply, apart from the rates, as agreed between the Licensee and the consumer shall continue to prevail as long as they are in line with the existing Regulations &amp; Acts.</w:t>
      </w:r>
    </w:p>
    <w:p w:rsidR="00D94698" w:rsidRPr="00B53423" w:rsidRDefault="00D94698" w:rsidP="0015232B">
      <w:pPr>
        <w:tabs>
          <w:tab w:val="left" w:pos="360"/>
        </w:tabs>
        <w:spacing w:before="100"/>
        <w:ind w:left="360" w:right="-61"/>
      </w:pPr>
    </w:p>
    <w:p w:rsidR="00D94698" w:rsidRPr="00B53423" w:rsidRDefault="00D94698" w:rsidP="000174C0">
      <w:pPr>
        <w:numPr>
          <w:ilvl w:val="0"/>
          <w:numId w:val="101"/>
        </w:numPr>
        <w:tabs>
          <w:tab w:val="clear" w:pos="720"/>
        </w:tabs>
        <w:spacing w:before="100" w:after="100" w:line="288" w:lineRule="auto"/>
        <w:ind w:left="360" w:right="28" w:hanging="363"/>
        <w:rPr>
          <w:b/>
        </w:rPr>
      </w:pPr>
      <w:r w:rsidRPr="00B53423">
        <w:rPr>
          <w:b/>
        </w:rPr>
        <w:t xml:space="preserve">CHARACTER AND POINT OF SUPPLY: </w:t>
      </w:r>
    </w:p>
    <w:p w:rsidR="00D94698" w:rsidRPr="00B53423" w:rsidRDefault="00D94698" w:rsidP="0015232B">
      <w:pPr>
        <w:spacing w:line="240" w:lineRule="auto"/>
        <w:ind w:right="-58" w:firstLine="360"/>
      </w:pPr>
      <w:proofErr w:type="gramStart"/>
      <w:r w:rsidRPr="00B53423">
        <w:t>As per the applicable provisions of Electricity Supply Code.</w:t>
      </w:r>
      <w:proofErr w:type="gramEnd"/>
    </w:p>
    <w:p w:rsidR="00D94698" w:rsidRPr="00B53423" w:rsidRDefault="00D94698" w:rsidP="0015232B">
      <w:pPr>
        <w:spacing w:line="240" w:lineRule="auto"/>
        <w:ind w:right="-58" w:firstLine="360"/>
        <w:rPr>
          <w:rFonts w:cs="Arial"/>
        </w:rPr>
      </w:pPr>
    </w:p>
    <w:p w:rsidR="00D94698" w:rsidRPr="00B53423" w:rsidRDefault="00D94698" w:rsidP="000174C0">
      <w:pPr>
        <w:pStyle w:val="BodyText"/>
        <w:numPr>
          <w:ilvl w:val="0"/>
          <w:numId w:val="101"/>
        </w:numPr>
        <w:tabs>
          <w:tab w:val="clear" w:pos="720"/>
        </w:tabs>
        <w:spacing w:before="100" w:beforeAutospacing="1" w:after="0" w:line="288" w:lineRule="auto"/>
        <w:ind w:left="360" w:right="29" w:hanging="363"/>
        <w:rPr>
          <w:rFonts w:cs="Arial"/>
          <w:b/>
        </w:rPr>
      </w:pPr>
      <w:r w:rsidRPr="00B53423">
        <w:rPr>
          <w:rFonts w:cs="Arial"/>
          <w:b/>
        </w:rPr>
        <w:t>RATE:</w:t>
      </w:r>
    </w:p>
    <w:p w:rsidR="00D94698" w:rsidRPr="00B53423" w:rsidRDefault="00D94698" w:rsidP="0015232B">
      <w:pPr>
        <w:ind w:left="360" w:right="29"/>
      </w:pPr>
      <w:r w:rsidRPr="00B53423">
        <w:t>Rate, gives the demand and energy charges (including the TOD rates as applicable to the hour of operation) at which the consumer shall be billed for his consumption during the billing period applicable to the category:</w:t>
      </w:r>
    </w:p>
    <w:p w:rsidR="00D94698" w:rsidRPr="00B53423" w:rsidRDefault="00D94698" w:rsidP="0015232B">
      <w:pPr>
        <w:spacing w:line="240" w:lineRule="auto"/>
        <w:jc w:val="left"/>
      </w:pPr>
      <w:r w:rsidRPr="00B53423">
        <w:br w:type="page"/>
      </w:r>
    </w:p>
    <w:p w:rsidR="00D94698" w:rsidRPr="00B53423" w:rsidRDefault="00D94698" w:rsidP="0015232B">
      <w:pPr>
        <w:tabs>
          <w:tab w:val="left" w:pos="540"/>
        </w:tabs>
        <w:ind w:left="360" w:right="29"/>
        <w:rPr>
          <w:b/>
          <w:bCs/>
          <w:u w:val="single"/>
        </w:rPr>
      </w:pPr>
      <w:r w:rsidRPr="00B53423">
        <w:rPr>
          <w:b/>
          <w:bCs/>
        </w:rPr>
        <w:t>(A)</w:t>
      </w:r>
      <w:r w:rsidRPr="00B53423">
        <w:rPr>
          <w:b/>
          <w:bCs/>
        </w:rPr>
        <w:tab/>
        <w:t>Urban Schedule: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94"/>
        <w:gridCol w:w="1503"/>
        <w:gridCol w:w="1653"/>
        <w:gridCol w:w="1954"/>
        <w:gridCol w:w="1952"/>
      </w:tblGrid>
      <w:tr w:rsidR="00D94698" w:rsidRPr="00B53423" w:rsidTr="00E93F0F">
        <w:trPr>
          <w:trHeight w:val="710"/>
          <w:tblHeader/>
        </w:trPr>
        <w:tc>
          <w:tcPr>
            <w:tcW w:w="1057" w:type="pct"/>
            <w:shd w:val="pct12" w:color="auto" w:fill="auto"/>
          </w:tcPr>
          <w:p w:rsidR="00D94698" w:rsidRPr="00B53423" w:rsidRDefault="00D94698" w:rsidP="0015232B">
            <w:pPr>
              <w:ind w:right="-105"/>
              <w:jc w:val="center"/>
              <w:rPr>
                <w:b/>
                <w:bCs/>
              </w:rPr>
            </w:pPr>
          </w:p>
        </w:tc>
        <w:tc>
          <w:tcPr>
            <w:tcW w:w="839" w:type="pct"/>
            <w:shd w:val="pct12" w:color="auto" w:fill="auto"/>
          </w:tcPr>
          <w:p w:rsidR="00D94698" w:rsidRPr="00B53423" w:rsidRDefault="00D94698" w:rsidP="0015232B">
            <w:pPr>
              <w:ind w:right="-105"/>
              <w:jc w:val="center"/>
              <w:rPr>
                <w:b/>
                <w:bCs/>
              </w:rPr>
            </w:pPr>
            <w:r w:rsidRPr="00B53423">
              <w:rPr>
                <w:rFonts w:cs="Arial"/>
                <w:b/>
                <w:bCs/>
              </w:rPr>
              <w:t>For supply at 11 kV</w:t>
            </w:r>
          </w:p>
        </w:tc>
        <w:tc>
          <w:tcPr>
            <w:tcW w:w="923" w:type="pct"/>
            <w:shd w:val="pct12" w:color="auto" w:fill="auto"/>
          </w:tcPr>
          <w:p w:rsidR="00D94698" w:rsidRPr="00B53423" w:rsidRDefault="00D94698" w:rsidP="0015232B">
            <w:pPr>
              <w:ind w:right="72"/>
              <w:jc w:val="center"/>
              <w:rPr>
                <w:b/>
                <w:bCs/>
              </w:rPr>
            </w:pPr>
            <w:r w:rsidRPr="00B53423">
              <w:rPr>
                <w:rFonts w:cs="Arial"/>
                <w:b/>
                <w:bCs/>
              </w:rPr>
              <w:t>For supply above 11 kV and up to &amp; including 66 kV</w:t>
            </w:r>
          </w:p>
        </w:tc>
        <w:tc>
          <w:tcPr>
            <w:tcW w:w="1091" w:type="pct"/>
            <w:shd w:val="pct12" w:color="auto" w:fill="auto"/>
          </w:tcPr>
          <w:p w:rsidR="00D94698" w:rsidRPr="00B53423" w:rsidRDefault="00D94698" w:rsidP="0015232B">
            <w:pPr>
              <w:ind w:right="72"/>
              <w:jc w:val="center"/>
              <w:rPr>
                <w:b/>
                <w:bCs/>
              </w:rPr>
            </w:pPr>
            <w:r w:rsidRPr="00B53423">
              <w:rPr>
                <w:rFonts w:cs="Arial"/>
                <w:b/>
                <w:bCs/>
              </w:rPr>
              <w:t>For supply above 66 kV and up to &amp; including 132 kV</w:t>
            </w:r>
          </w:p>
        </w:tc>
        <w:tc>
          <w:tcPr>
            <w:tcW w:w="1090" w:type="pct"/>
            <w:shd w:val="pct12" w:color="auto" w:fill="auto"/>
          </w:tcPr>
          <w:p w:rsidR="00D94698" w:rsidRPr="00B53423" w:rsidRDefault="00D94698" w:rsidP="0015232B">
            <w:pPr>
              <w:ind w:right="72"/>
              <w:jc w:val="center"/>
              <w:rPr>
                <w:rFonts w:cs="Arial"/>
                <w:b/>
                <w:bCs/>
              </w:rPr>
            </w:pPr>
            <w:r w:rsidRPr="00B53423">
              <w:rPr>
                <w:rFonts w:cs="Arial"/>
                <w:b/>
                <w:bCs/>
              </w:rPr>
              <w:t xml:space="preserve">For supply above 132 kV </w:t>
            </w:r>
          </w:p>
        </w:tc>
      </w:tr>
      <w:tr w:rsidR="00D94698" w:rsidRPr="00B53423" w:rsidTr="00E93F0F">
        <w:tc>
          <w:tcPr>
            <w:tcW w:w="3910" w:type="pct"/>
            <w:gridSpan w:val="4"/>
          </w:tcPr>
          <w:p w:rsidR="00D94698" w:rsidRPr="00B53423" w:rsidRDefault="00D94698" w:rsidP="0015232B">
            <w:pPr>
              <w:ind w:right="-105"/>
              <w:rPr>
                <w:rFonts w:cs="Arial"/>
                <w:b/>
                <w:bCs/>
              </w:rPr>
            </w:pPr>
            <w:r w:rsidRPr="00B53423">
              <w:rPr>
                <w:b/>
                <w:bCs/>
              </w:rPr>
              <w:t>BASE RATE</w:t>
            </w:r>
          </w:p>
        </w:tc>
        <w:tc>
          <w:tcPr>
            <w:tcW w:w="1090" w:type="pct"/>
          </w:tcPr>
          <w:p w:rsidR="005B31C0" w:rsidRPr="00B53423" w:rsidRDefault="005B31C0" w:rsidP="0015232B">
            <w:pPr>
              <w:ind w:right="-105"/>
              <w:jc w:val="center"/>
              <w:rPr>
                <w:b/>
                <w:bCs/>
              </w:rPr>
            </w:pPr>
          </w:p>
        </w:tc>
      </w:tr>
      <w:tr w:rsidR="00D94698" w:rsidRPr="00B53423" w:rsidTr="00E93F0F">
        <w:tc>
          <w:tcPr>
            <w:tcW w:w="1057" w:type="pct"/>
          </w:tcPr>
          <w:p w:rsidR="00D94698" w:rsidRPr="00B53423" w:rsidRDefault="00D94698" w:rsidP="0015232B">
            <w:pPr>
              <w:ind w:right="-105"/>
            </w:pPr>
            <w:r w:rsidRPr="00B53423">
              <w:t xml:space="preserve">Demand Charges </w:t>
            </w:r>
          </w:p>
        </w:tc>
        <w:tc>
          <w:tcPr>
            <w:tcW w:w="839" w:type="pct"/>
          </w:tcPr>
          <w:p w:rsidR="00D94698" w:rsidRPr="00B53423" w:rsidRDefault="00D94698" w:rsidP="0015232B">
            <w:pPr>
              <w:ind w:right="-105"/>
              <w:jc w:val="center"/>
            </w:pPr>
            <w:r w:rsidRPr="00B53423">
              <w:rPr>
                <w:rFonts w:cs="Arial"/>
              </w:rPr>
              <w:t>Rs. 2</w:t>
            </w:r>
            <w:r w:rsidRPr="00B53423">
              <w:t>50.00</w:t>
            </w:r>
            <w:r w:rsidRPr="00B53423">
              <w:rPr>
                <w:rFonts w:cs="Arial"/>
              </w:rPr>
              <w:t xml:space="preserve"> / kVA / month</w:t>
            </w:r>
          </w:p>
        </w:tc>
        <w:tc>
          <w:tcPr>
            <w:tcW w:w="923" w:type="pct"/>
          </w:tcPr>
          <w:p w:rsidR="00D94698" w:rsidRPr="00B53423" w:rsidRDefault="00D94698" w:rsidP="0015232B">
            <w:pPr>
              <w:ind w:right="-105"/>
              <w:jc w:val="center"/>
            </w:pPr>
            <w:r w:rsidRPr="00B53423">
              <w:rPr>
                <w:rFonts w:cs="Arial"/>
              </w:rPr>
              <w:t>Rs. 240.00 / kVA / month</w:t>
            </w:r>
          </w:p>
        </w:tc>
        <w:tc>
          <w:tcPr>
            <w:tcW w:w="1091" w:type="pct"/>
          </w:tcPr>
          <w:p w:rsidR="00D94698" w:rsidRPr="00B53423" w:rsidRDefault="00D94698" w:rsidP="0015232B">
            <w:pPr>
              <w:ind w:right="-105"/>
              <w:jc w:val="center"/>
            </w:pPr>
            <w:r w:rsidRPr="00B53423">
              <w:rPr>
                <w:rFonts w:cs="Arial"/>
              </w:rPr>
              <w:t>Rs. 220.00 / kVA / month</w:t>
            </w:r>
          </w:p>
        </w:tc>
        <w:tc>
          <w:tcPr>
            <w:tcW w:w="1090" w:type="pct"/>
          </w:tcPr>
          <w:p w:rsidR="00D94698" w:rsidRPr="00B53423" w:rsidRDefault="00D94698" w:rsidP="0015232B">
            <w:pPr>
              <w:ind w:right="-105"/>
              <w:jc w:val="center"/>
            </w:pPr>
            <w:r w:rsidRPr="00B53423">
              <w:rPr>
                <w:rFonts w:cs="Arial"/>
              </w:rPr>
              <w:t>Rs. 220.00 / kVA / month</w:t>
            </w:r>
          </w:p>
        </w:tc>
      </w:tr>
      <w:tr w:rsidR="00D94698" w:rsidRPr="00B53423" w:rsidTr="00E93F0F">
        <w:tc>
          <w:tcPr>
            <w:tcW w:w="1057" w:type="pct"/>
          </w:tcPr>
          <w:p w:rsidR="00D94698" w:rsidRPr="00B53423" w:rsidRDefault="00D94698" w:rsidP="0015232B">
            <w:pPr>
              <w:ind w:right="-105"/>
            </w:pPr>
            <w:r w:rsidRPr="00B53423">
              <w:t xml:space="preserve">Energy Charges </w:t>
            </w:r>
          </w:p>
        </w:tc>
        <w:tc>
          <w:tcPr>
            <w:tcW w:w="839" w:type="pct"/>
          </w:tcPr>
          <w:p w:rsidR="00D94698" w:rsidRPr="00B53423" w:rsidRDefault="00D94698" w:rsidP="0015232B">
            <w:pPr>
              <w:ind w:right="-105"/>
              <w:jc w:val="center"/>
            </w:pPr>
            <w:r w:rsidRPr="00B53423">
              <w:rPr>
                <w:rFonts w:cs="Arial"/>
              </w:rPr>
              <w:t>Rs. 6.30 / kVAh</w:t>
            </w:r>
          </w:p>
        </w:tc>
        <w:tc>
          <w:tcPr>
            <w:tcW w:w="923" w:type="pct"/>
          </w:tcPr>
          <w:p w:rsidR="00D94698" w:rsidRPr="00B53423" w:rsidRDefault="00D94698" w:rsidP="0015232B">
            <w:pPr>
              <w:ind w:right="-105"/>
              <w:jc w:val="center"/>
            </w:pPr>
            <w:r w:rsidRPr="00B53423">
              <w:rPr>
                <w:rFonts w:cs="Arial"/>
              </w:rPr>
              <w:t>Rs. 6.00 / kVAh</w:t>
            </w:r>
          </w:p>
        </w:tc>
        <w:tc>
          <w:tcPr>
            <w:tcW w:w="1091" w:type="pct"/>
          </w:tcPr>
          <w:p w:rsidR="00D94698" w:rsidRPr="00B53423" w:rsidRDefault="00D94698" w:rsidP="0015232B">
            <w:pPr>
              <w:ind w:right="-105"/>
              <w:jc w:val="center"/>
            </w:pPr>
            <w:r w:rsidRPr="00B53423">
              <w:rPr>
                <w:rFonts w:cs="Arial"/>
              </w:rPr>
              <w:t xml:space="preserve">Rs. </w:t>
            </w:r>
            <w:r w:rsidRPr="00B53423">
              <w:t>5</w:t>
            </w:r>
            <w:r w:rsidRPr="00B53423">
              <w:rPr>
                <w:rFonts w:cs="Arial"/>
              </w:rPr>
              <w:t>.80 / kVAh</w:t>
            </w:r>
          </w:p>
        </w:tc>
        <w:tc>
          <w:tcPr>
            <w:tcW w:w="1090" w:type="pct"/>
          </w:tcPr>
          <w:p w:rsidR="00D94698" w:rsidRPr="00B53423" w:rsidRDefault="00D94698" w:rsidP="0015232B">
            <w:pPr>
              <w:ind w:right="-105"/>
              <w:jc w:val="center"/>
            </w:pPr>
            <w:r w:rsidRPr="00B53423">
              <w:rPr>
                <w:rFonts w:cs="Arial"/>
              </w:rPr>
              <w:t xml:space="preserve">Rs. </w:t>
            </w:r>
            <w:r w:rsidRPr="00B53423">
              <w:t>5</w:t>
            </w:r>
            <w:r w:rsidRPr="00B53423">
              <w:rPr>
                <w:rFonts w:cs="Arial"/>
              </w:rPr>
              <w:t>.60 / kVAh</w:t>
            </w:r>
          </w:p>
        </w:tc>
      </w:tr>
      <w:tr w:rsidR="00D94698" w:rsidRPr="00B53423" w:rsidTr="00E93F0F">
        <w:tc>
          <w:tcPr>
            <w:tcW w:w="5000" w:type="pct"/>
            <w:gridSpan w:val="5"/>
          </w:tcPr>
          <w:p w:rsidR="00D94698" w:rsidRPr="00B53423" w:rsidRDefault="00D94698" w:rsidP="0015232B">
            <w:pPr>
              <w:ind w:right="-105"/>
              <w:jc w:val="left"/>
              <w:rPr>
                <w:rFonts w:cs="Arial"/>
              </w:rPr>
            </w:pPr>
            <w:r w:rsidRPr="00B53423">
              <w:rPr>
                <w:b/>
                <w:bCs/>
              </w:rPr>
              <w:t xml:space="preserve">TOD RATE </w:t>
            </w:r>
          </w:p>
        </w:tc>
      </w:tr>
      <w:tr w:rsidR="00D94698" w:rsidRPr="00B53423" w:rsidTr="00E93F0F">
        <w:tc>
          <w:tcPr>
            <w:tcW w:w="1057" w:type="pct"/>
          </w:tcPr>
          <w:p w:rsidR="00D94698" w:rsidRPr="00B53423" w:rsidRDefault="00D94698" w:rsidP="0015232B">
            <w:pPr>
              <w:ind w:right="-105"/>
            </w:pPr>
            <w:r w:rsidRPr="00B53423">
              <w:rPr>
                <w:rFonts w:cs="Arial"/>
                <w:bCs/>
              </w:rPr>
              <w:t>22:00 hrs – 06:00 hrs</w:t>
            </w:r>
          </w:p>
        </w:tc>
        <w:tc>
          <w:tcPr>
            <w:tcW w:w="839" w:type="pct"/>
          </w:tcPr>
          <w:p w:rsidR="00D94698" w:rsidRPr="00B53423" w:rsidRDefault="00D94698" w:rsidP="0015232B">
            <w:pPr>
              <w:ind w:right="-105"/>
              <w:jc w:val="center"/>
              <w:rPr>
                <w:rFonts w:cs="Arial"/>
              </w:rPr>
            </w:pPr>
            <w:r w:rsidRPr="00B53423">
              <w:rPr>
                <w:rFonts w:cs="Arial"/>
                <w:bCs/>
              </w:rPr>
              <w:t>(-) 7.5%</w:t>
            </w:r>
          </w:p>
        </w:tc>
        <w:tc>
          <w:tcPr>
            <w:tcW w:w="923" w:type="pct"/>
          </w:tcPr>
          <w:p w:rsidR="00D94698" w:rsidRPr="00B53423" w:rsidRDefault="00D94698" w:rsidP="0015232B">
            <w:pPr>
              <w:ind w:right="-105"/>
              <w:jc w:val="center"/>
              <w:rPr>
                <w:rFonts w:cs="Arial"/>
              </w:rPr>
            </w:pPr>
            <w:r w:rsidRPr="00B53423">
              <w:rPr>
                <w:rFonts w:cs="Arial"/>
                <w:bCs/>
              </w:rPr>
              <w:t>(-) 7.5%</w:t>
            </w:r>
          </w:p>
        </w:tc>
        <w:tc>
          <w:tcPr>
            <w:tcW w:w="1091" w:type="pct"/>
          </w:tcPr>
          <w:p w:rsidR="00D94698" w:rsidRPr="00B53423" w:rsidRDefault="00D94698" w:rsidP="0015232B">
            <w:pPr>
              <w:ind w:right="-105"/>
              <w:jc w:val="center"/>
              <w:rPr>
                <w:rFonts w:cs="Arial"/>
              </w:rPr>
            </w:pPr>
            <w:r w:rsidRPr="00B53423">
              <w:rPr>
                <w:rFonts w:cs="Arial"/>
                <w:bCs/>
              </w:rPr>
              <w:t>(-) 7.5%</w:t>
            </w:r>
          </w:p>
        </w:tc>
        <w:tc>
          <w:tcPr>
            <w:tcW w:w="1090" w:type="pct"/>
          </w:tcPr>
          <w:p w:rsidR="00D94698" w:rsidRPr="00B53423" w:rsidRDefault="00D94698" w:rsidP="0015232B">
            <w:pPr>
              <w:ind w:right="-105"/>
              <w:jc w:val="center"/>
              <w:rPr>
                <w:rFonts w:cs="Arial"/>
              </w:rPr>
            </w:pPr>
            <w:r w:rsidRPr="00B53423">
              <w:rPr>
                <w:rFonts w:cs="Arial"/>
                <w:bCs/>
              </w:rPr>
              <w:t>(-) 7.5%</w:t>
            </w:r>
          </w:p>
        </w:tc>
      </w:tr>
      <w:tr w:rsidR="00D94698" w:rsidRPr="00B53423" w:rsidTr="00E93F0F">
        <w:tc>
          <w:tcPr>
            <w:tcW w:w="1057" w:type="pct"/>
          </w:tcPr>
          <w:p w:rsidR="00D94698" w:rsidRPr="00B53423" w:rsidRDefault="00D94698" w:rsidP="0015232B">
            <w:pPr>
              <w:ind w:right="-105"/>
            </w:pPr>
            <w:r w:rsidRPr="00B53423">
              <w:rPr>
                <w:rFonts w:cs="Arial"/>
                <w:bCs/>
              </w:rPr>
              <w:t>06:00 hrs – 17:00 hrs</w:t>
            </w:r>
          </w:p>
        </w:tc>
        <w:tc>
          <w:tcPr>
            <w:tcW w:w="839" w:type="pct"/>
          </w:tcPr>
          <w:p w:rsidR="00D94698" w:rsidRPr="00B53423" w:rsidRDefault="00D94698" w:rsidP="0015232B">
            <w:pPr>
              <w:ind w:right="-105"/>
              <w:jc w:val="center"/>
              <w:rPr>
                <w:rFonts w:cs="Arial"/>
              </w:rPr>
            </w:pPr>
            <w:r w:rsidRPr="00B53423">
              <w:rPr>
                <w:rFonts w:cs="Arial"/>
                <w:bCs/>
              </w:rPr>
              <w:t>0%</w:t>
            </w:r>
          </w:p>
        </w:tc>
        <w:tc>
          <w:tcPr>
            <w:tcW w:w="923" w:type="pct"/>
          </w:tcPr>
          <w:p w:rsidR="00D94698" w:rsidRPr="00B53423" w:rsidRDefault="00D94698" w:rsidP="0015232B">
            <w:pPr>
              <w:ind w:right="-105"/>
              <w:jc w:val="center"/>
              <w:rPr>
                <w:rFonts w:cs="Arial"/>
              </w:rPr>
            </w:pPr>
            <w:r w:rsidRPr="00B53423">
              <w:rPr>
                <w:rFonts w:cs="Arial"/>
                <w:bCs/>
              </w:rPr>
              <w:t>0%</w:t>
            </w:r>
          </w:p>
        </w:tc>
        <w:tc>
          <w:tcPr>
            <w:tcW w:w="1091" w:type="pct"/>
          </w:tcPr>
          <w:p w:rsidR="00D94698" w:rsidRPr="00B53423" w:rsidRDefault="00D94698" w:rsidP="0015232B">
            <w:pPr>
              <w:ind w:right="-105"/>
              <w:jc w:val="center"/>
              <w:rPr>
                <w:rFonts w:cs="Arial"/>
              </w:rPr>
            </w:pPr>
            <w:r w:rsidRPr="00B53423">
              <w:rPr>
                <w:rFonts w:cs="Arial"/>
                <w:bCs/>
              </w:rPr>
              <w:t>0%</w:t>
            </w:r>
          </w:p>
        </w:tc>
        <w:tc>
          <w:tcPr>
            <w:tcW w:w="1090" w:type="pct"/>
          </w:tcPr>
          <w:p w:rsidR="00D94698" w:rsidRPr="00B53423" w:rsidRDefault="00D94698" w:rsidP="0015232B">
            <w:pPr>
              <w:ind w:right="-105"/>
              <w:jc w:val="center"/>
              <w:rPr>
                <w:rFonts w:cs="Arial"/>
              </w:rPr>
            </w:pPr>
            <w:r w:rsidRPr="00B53423">
              <w:rPr>
                <w:rFonts w:cs="Arial"/>
                <w:bCs/>
              </w:rPr>
              <w:t>0%</w:t>
            </w:r>
          </w:p>
        </w:tc>
      </w:tr>
      <w:tr w:rsidR="00D94698" w:rsidRPr="00B53423" w:rsidTr="00E93F0F">
        <w:tc>
          <w:tcPr>
            <w:tcW w:w="1057" w:type="pct"/>
          </w:tcPr>
          <w:p w:rsidR="00D94698" w:rsidRPr="00B53423" w:rsidRDefault="00D94698" w:rsidP="0015232B">
            <w:pPr>
              <w:ind w:right="-105"/>
            </w:pPr>
            <w:r w:rsidRPr="00B53423">
              <w:rPr>
                <w:rFonts w:cs="Arial"/>
                <w:bCs/>
              </w:rPr>
              <w:t>17:00 hrs – 22:00 hrs</w:t>
            </w:r>
          </w:p>
        </w:tc>
        <w:tc>
          <w:tcPr>
            <w:tcW w:w="839" w:type="pct"/>
          </w:tcPr>
          <w:p w:rsidR="00D94698" w:rsidRPr="00B53423" w:rsidRDefault="00D94698" w:rsidP="0015232B">
            <w:pPr>
              <w:ind w:right="-105"/>
              <w:jc w:val="center"/>
              <w:rPr>
                <w:rFonts w:cs="Arial"/>
              </w:rPr>
            </w:pPr>
            <w:r w:rsidRPr="00B53423">
              <w:rPr>
                <w:rFonts w:cs="Arial"/>
                <w:bCs/>
              </w:rPr>
              <w:t>(+) 15%</w:t>
            </w:r>
          </w:p>
        </w:tc>
        <w:tc>
          <w:tcPr>
            <w:tcW w:w="923" w:type="pct"/>
          </w:tcPr>
          <w:p w:rsidR="00D94698" w:rsidRPr="00B53423" w:rsidRDefault="00D94698" w:rsidP="0015232B">
            <w:pPr>
              <w:ind w:right="-105"/>
              <w:jc w:val="center"/>
              <w:rPr>
                <w:rFonts w:cs="Arial"/>
              </w:rPr>
            </w:pPr>
            <w:r w:rsidRPr="00B53423">
              <w:rPr>
                <w:rFonts w:cs="Arial"/>
                <w:bCs/>
              </w:rPr>
              <w:t>(+) 15%</w:t>
            </w:r>
          </w:p>
        </w:tc>
        <w:tc>
          <w:tcPr>
            <w:tcW w:w="1091" w:type="pct"/>
          </w:tcPr>
          <w:p w:rsidR="00D94698" w:rsidRPr="00B53423" w:rsidRDefault="00D94698" w:rsidP="0015232B">
            <w:pPr>
              <w:ind w:right="-105"/>
              <w:jc w:val="center"/>
              <w:rPr>
                <w:rFonts w:cs="Arial"/>
              </w:rPr>
            </w:pPr>
            <w:r w:rsidRPr="00B53423">
              <w:rPr>
                <w:rFonts w:cs="Arial"/>
                <w:bCs/>
              </w:rPr>
              <w:t>(+) 15%</w:t>
            </w:r>
          </w:p>
        </w:tc>
        <w:tc>
          <w:tcPr>
            <w:tcW w:w="1090" w:type="pct"/>
          </w:tcPr>
          <w:p w:rsidR="00D94698" w:rsidRPr="00B53423" w:rsidRDefault="00D94698" w:rsidP="0015232B">
            <w:pPr>
              <w:ind w:right="-105"/>
              <w:jc w:val="center"/>
              <w:rPr>
                <w:rFonts w:cs="Arial"/>
              </w:rPr>
            </w:pPr>
            <w:r w:rsidRPr="00B53423">
              <w:rPr>
                <w:rFonts w:cs="Arial"/>
                <w:bCs/>
              </w:rPr>
              <w:t>(+) 15%</w:t>
            </w:r>
          </w:p>
        </w:tc>
      </w:tr>
    </w:tbl>
    <w:p w:rsidR="00D94698" w:rsidRPr="00B53423" w:rsidRDefault="00D94698" w:rsidP="0015232B">
      <w:pPr>
        <w:tabs>
          <w:tab w:val="left" w:pos="360"/>
        </w:tabs>
        <w:spacing w:before="60" w:after="120"/>
        <w:ind w:right="29"/>
        <w:jc w:val="center"/>
        <w:rPr>
          <w:b/>
          <w:bCs/>
        </w:rPr>
      </w:pPr>
    </w:p>
    <w:p w:rsidR="00D94698" w:rsidRPr="00B53423" w:rsidRDefault="00D94698" w:rsidP="0015232B">
      <w:pPr>
        <w:tabs>
          <w:tab w:val="left" w:pos="540"/>
        </w:tabs>
        <w:ind w:left="540" w:right="29"/>
        <w:rPr>
          <w:b/>
          <w:bCs/>
        </w:rPr>
      </w:pPr>
    </w:p>
    <w:p w:rsidR="00D94698" w:rsidRPr="00B53423" w:rsidRDefault="00D94698" w:rsidP="0015232B">
      <w:pPr>
        <w:spacing w:before="0" w:after="200"/>
        <w:jc w:val="left"/>
        <w:rPr>
          <w:b/>
          <w:bCs/>
        </w:rPr>
      </w:pPr>
      <w:r w:rsidRPr="00B53423">
        <w:rPr>
          <w:b/>
          <w:bCs/>
        </w:rPr>
        <w:br w:type="page"/>
      </w:r>
    </w:p>
    <w:p w:rsidR="00D94698" w:rsidRPr="00B53423" w:rsidRDefault="00D94698" w:rsidP="0015232B">
      <w:pPr>
        <w:tabs>
          <w:tab w:val="left" w:pos="540"/>
        </w:tabs>
        <w:ind w:left="540" w:right="29"/>
        <w:rPr>
          <w:b/>
          <w:bCs/>
          <w:u w:val="single"/>
        </w:rPr>
      </w:pPr>
      <w:r w:rsidRPr="00B53423">
        <w:rPr>
          <w:b/>
          <w:bCs/>
        </w:rPr>
        <w:t>(B)  Rural Schedule:</w:t>
      </w:r>
    </w:p>
    <w:p w:rsidR="00D94698" w:rsidRPr="00B53423" w:rsidRDefault="00D94698" w:rsidP="0015232B">
      <w:pPr>
        <w:tabs>
          <w:tab w:val="left" w:pos="540"/>
        </w:tabs>
        <w:ind w:left="540" w:right="29"/>
        <w:rPr>
          <w:bCs/>
        </w:rPr>
      </w:pPr>
      <w:r w:rsidRPr="00B53423">
        <w:rPr>
          <w:bCs/>
        </w:rPr>
        <w:t>This schedule shall be applicable only to consumers getting supply up to 11 kV as per ‘Rural Schedule’. The consumer under this category shall be entitled to a rebate of 7.5% on demand &amp; energy charges as given for 11 kV consumers under urban schedule without TOD rates.</w:t>
      </w:r>
    </w:p>
    <w:p w:rsidR="00D94698" w:rsidRPr="00B53423" w:rsidRDefault="00D94698" w:rsidP="0015232B">
      <w:pPr>
        <w:tabs>
          <w:tab w:val="left" w:pos="540"/>
        </w:tabs>
        <w:ind w:left="540" w:right="29" w:hanging="540"/>
        <w:rPr>
          <w:b/>
          <w:bCs/>
          <w:i/>
          <w:iCs/>
        </w:rPr>
      </w:pPr>
      <w:r w:rsidRPr="00B53423" w:rsidDel="00A956BC">
        <w:rPr>
          <w:b/>
          <w:bCs/>
          <w:i/>
          <w:iCs/>
        </w:rPr>
        <w:t xml:space="preserve"> </w:t>
      </w:r>
    </w:p>
    <w:p w:rsidR="00D94698" w:rsidRPr="00B53423" w:rsidRDefault="00D94698" w:rsidP="0015232B">
      <w:pPr>
        <w:tabs>
          <w:tab w:val="left" w:pos="540"/>
        </w:tabs>
        <w:ind w:left="1080" w:right="29" w:hanging="540"/>
        <w:rPr>
          <w:b/>
          <w:bCs/>
        </w:rPr>
      </w:pPr>
      <w:r w:rsidRPr="00B53423">
        <w:rPr>
          <w:b/>
          <w:bCs/>
        </w:rPr>
        <w:t>(C)</w:t>
      </w:r>
      <w:r w:rsidRPr="00B53423">
        <w:rPr>
          <w:b/>
          <w:bCs/>
        </w:rPr>
        <w:tab/>
        <w:t>Consumers already existing under HV-2 category with metering arrangement at low voltage:</w:t>
      </w:r>
    </w:p>
    <w:p w:rsidR="00D94698" w:rsidRPr="00B53423" w:rsidRDefault="00D94698" w:rsidP="0015232B">
      <w:pPr>
        <w:tabs>
          <w:tab w:val="left" w:pos="540"/>
        </w:tabs>
        <w:ind w:left="540" w:right="29" w:hanging="540"/>
        <w:rPr>
          <w:bCs/>
        </w:rPr>
      </w:pPr>
      <w:r w:rsidRPr="00B53423">
        <w:rPr>
          <w:b/>
          <w:bCs/>
        </w:rPr>
        <w:tab/>
      </w:r>
      <w:r w:rsidRPr="00B53423">
        <w:rPr>
          <w:rFonts w:cs="Arial"/>
        </w:rPr>
        <w:t xml:space="preserve">Existing consumer under HV-2 with metering at 0.4 kV shall be required to pay as per schedule applicable to 11 kV consumers under HV-2 category. </w:t>
      </w:r>
    </w:p>
    <w:p w:rsidR="00D94698" w:rsidRPr="00B53423" w:rsidRDefault="00D94698" w:rsidP="0015232B">
      <w:pPr>
        <w:spacing w:line="240" w:lineRule="auto"/>
        <w:jc w:val="left"/>
        <w:rPr>
          <w:bCs/>
        </w:rPr>
      </w:pPr>
    </w:p>
    <w:p w:rsidR="00D94698" w:rsidRPr="00B53423" w:rsidRDefault="00D94698" w:rsidP="0015232B">
      <w:pPr>
        <w:tabs>
          <w:tab w:val="left" w:pos="540"/>
        </w:tabs>
        <w:ind w:right="29"/>
        <w:rPr>
          <w:b/>
        </w:rPr>
      </w:pPr>
      <w:r w:rsidRPr="00B53423">
        <w:rPr>
          <w:b/>
        </w:rPr>
        <w:t>4.</w:t>
      </w:r>
      <w:r w:rsidRPr="00B53423">
        <w:rPr>
          <w:b/>
        </w:rPr>
        <w:tab/>
        <w:t xml:space="preserve">PROVISIONS RELATED TO SEASONAL INDUSTRIES: </w:t>
      </w:r>
    </w:p>
    <w:p w:rsidR="00D94698" w:rsidRPr="00B53423" w:rsidRDefault="00D94698" w:rsidP="0015232B">
      <w:pPr>
        <w:spacing w:before="60"/>
        <w:ind w:left="540" w:right="29"/>
      </w:pPr>
      <w:r w:rsidRPr="00B53423">
        <w:t>Seasonal industries will be determined in accordance with the criteria laid down below. No exhaustive list can be provided but some examples of industries exhibiting such characteristics are sugar, ice, rice mill and cold storage. The industries which operate during certain period of the year, i.e. have seasonality of operation, can avail the benefits of seasonal industries provided:</w:t>
      </w:r>
    </w:p>
    <w:p w:rsidR="00D94698" w:rsidRPr="00B53423" w:rsidRDefault="00D94698" w:rsidP="000174C0">
      <w:pPr>
        <w:numPr>
          <w:ilvl w:val="0"/>
          <w:numId w:val="100"/>
        </w:numPr>
        <w:spacing w:before="60" w:line="288" w:lineRule="auto"/>
        <w:ind w:right="29"/>
      </w:pPr>
      <w:r w:rsidRPr="00B53423">
        <w:t xml:space="preserve">The continuous period of operation of such industries shall be at least 4 (four) months but not more than 9 (nine) months in a financial year. </w:t>
      </w:r>
    </w:p>
    <w:p w:rsidR="00D94698" w:rsidRPr="00B53423" w:rsidRDefault="00D94698" w:rsidP="000174C0">
      <w:pPr>
        <w:numPr>
          <w:ilvl w:val="0"/>
          <w:numId w:val="100"/>
        </w:numPr>
        <w:spacing w:before="60" w:line="288" w:lineRule="auto"/>
        <w:ind w:right="29"/>
      </w:pPr>
      <w:r w:rsidRPr="00B53423">
        <w:t xml:space="preserve">Any prospective consumer, desirous of availing the seasonal benefit, shall specifically declare his season at the time of submission of declaration / execution of agreement mentioning the period of operation unambiguously. </w:t>
      </w:r>
    </w:p>
    <w:p w:rsidR="00D94698" w:rsidRPr="00B53423" w:rsidRDefault="00D94698" w:rsidP="000174C0">
      <w:pPr>
        <w:numPr>
          <w:ilvl w:val="0"/>
          <w:numId w:val="100"/>
        </w:numPr>
        <w:spacing w:before="60" w:line="288" w:lineRule="auto"/>
        <w:ind w:right="29"/>
      </w:pPr>
      <w:r w:rsidRPr="00B53423">
        <w:t>The seasonal period once notified cannot be reduced during the next consecutive 12 months. The off-season tariff is not applicable to composite units having seasonal and other category loads.</w:t>
      </w:r>
    </w:p>
    <w:p w:rsidR="00D94698" w:rsidRPr="00B53423" w:rsidRDefault="00D94698" w:rsidP="000174C0">
      <w:pPr>
        <w:numPr>
          <w:ilvl w:val="0"/>
          <w:numId w:val="100"/>
        </w:numPr>
        <w:spacing w:before="60" w:line="288" w:lineRule="auto"/>
        <w:ind w:right="29"/>
      </w:pPr>
      <w:r w:rsidRPr="00B53423">
        <w:t xml:space="preserve">The off-season tariff is also not available to those units who have captive generation exclusively for process during season and who avail Licensees supply for miscellaneous loads and other non-process loads.  </w:t>
      </w:r>
    </w:p>
    <w:p w:rsidR="00D94698" w:rsidRPr="00B53423" w:rsidRDefault="00D94698" w:rsidP="000174C0">
      <w:pPr>
        <w:numPr>
          <w:ilvl w:val="0"/>
          <w:numId w:val="100"/>
        </w:numPr>
        <w:spacing w:before="60" w:line="288" w:lineRule="auto"/>
        <w:ind w:right="29"/>
      </w:pPr>
      <w:r w:rsidRPr="00B53423">
        <w:t>The consumer opting for seasonal benefit has a flexibility to declare his off seasonal maximum demand subject to a maximum of 25% of the contracted demand.  The tariff rates (demand charge per kW / kVA and energy charge per kWh / kVAh) for such industries during off-season period will be the same as for normal period.  Further, during the off season fixed charges shall be levied on the basis of maximum demand recorded by the meter (not on normal billable demand or on percentage contracted demand). Rates for the energy charges shall however be the same as during the operational season.  Further, first violation in the season would attract full billable demand charges and energy charges calculated at the unit rate 50% higher than the applicable tariff during normal period but only for the month in which the consumer has defaulted. However, on second default the consumer will forfeit the benefit of seasonal rates for the entire season.</w:t>
      </w:r>
    </w:p>
    <w:p w:rsidR="00D94698" w:rsidRPr="00B53423" w:rsidRDefault="00D94698" w:rsidP="0015232B">
      <w:pPr>
        <w:spacing w:line="240" w:lineRule="auto"/>
        <w:jc w:val="left"/>
      </w:pPr>
    </w:p>
    <w:p w:rsidR="005B31C0" w:rsidRPr="00B53423" w:rsidRDefault="00704C79" w:rsidP="0015232B">
      <w:pPr>
        <w:tabs>
          <w:tab w:val="left" w:pos="540"/>
        </w:tabs>
        <w:ind w:right="29"/>
        <w:rPr>
          <w:b/>
        </w:rPr>
      </w:pPr>
      <w:r w:rsidRPr="00B53423">
        <w:rPr>
          <w:b/>
        </w:rPr>
        <w:tab/>
        <w:t xml:space="preserve">5. </w:t>
      </w:r>
      <w:r w:rsidR="00D94698" w:rsidRPr="00B53423">
        <w:rPr>
          <w:b/>
        </w:rPr>
        <w:t xml:space="preserve">FACTORY LIGHTING: </w:t>
      </w:r>
    </w:p>
    <w:p w:rsidR="00D94698" w:rsidRPr="00B53423" w:rsidRDefault="00D94698" w:rsidP="0015232B">
      <w:pPr>
        <w:tabs>
          <w:tab w:val="left" w:pos="360"/>
        </w:tabs>
        <w:spacing w:before="100" w:beforeAutospacing="1" w:after="100" w:afterAutospacing="1"/>
        <w:ind w:left="720" w:right="29"/>
      </w:pPr>
      <w:r w:rsidRPr="00B53423">
        <w:t>The electrical energy supplied shall also be utilized in the factory premises for lights, fans, coolers, etc. which shall mean and include all energy consumed for factory lighting in the offices, the main factory building, stores, time keeper’s office, canteen, staff club, library, crèche, dispensary, staff welfare centres, compound lighting, etc. No separate connection for the same shall be provided.</w:t>
      </w:r>
    </w:p>
    <w:p w:rsidR="00D94698" w:rsidRPr="00B53423" w:rsidRDefault="00D94698" w:rsidP="0015232B">
      <w:pPr>
        <w:tabs>
          <w:tab w:val="left" w:pos="360"/>
        </w:tabs>
        <w:spacing w:before="100" w:beforeAutospacing="1" w:after="100" w:afterAutospacing="1"/>
        <w:ind w:left="720" w:right="29"/>
      </w:pPr>
    </w:p>
    <w:p w:rsidR="00D94698" w:rsidRPr="00B53423" w:rsidRDefault="00D94698" w:rsidP="0015232B">
      <w:pPr>
        <w:spacing w:before="0" w:after="200"/>
        <w:jc w:val="left"/>
      </w:pPr>
      <w:r w:rsidRPr="00B53423">
        <w:br w:type="page"/>
      </w:r>
    </w:p>
    <w:p w:rsidR="00D94698" w:rsidRPr="00B53423" w:rsidRDefault="00D94698" w:rsidP="0015232B">
      <w:pPr>
        <w:tabs>
          <w:tab w:val="left" w:pos="360"/>
        </w:tabs>
        <w:spacing w:before="240" w:after="100" w:afterAutospacing="1"/>
        <w:ind w:left="720" w:right="28"/>
        <w:jc w:val="center"/>
        <w:rPr>
          <w:b/>
          <w:bCs/>
          <w:u w:val="single"/>
        </w:rPr>
      </w:pPr>
      <w:r w:rsidRPr="00B53423">
        <w:rPr>
          <w:b/>
          <w:bCs/>
          <w:u w:val="single"/>
        </w:rPr>
        <w:t>RATE SCHEDULE HV – 3:</w:t>
      </w:r>
    </w:p>
    <w:p w:rsidR="00D94698" w:rsidRPr="00B53423" w:rsidRDefault="00D94698" w:rsidP="0015232B">
      <w:pPr>
        <w:spacing w:before="100" w:beforeAutospacing="1" w:after="100" w:afterAutospacing="1"/>
        <w:ind w:right="29"/>
        <w:jc w:val="left"/>
        <w:rPr>
          <w:rFonts w:cs="Arial"/>
          <w:b/>
        </w:rPr>
      </w:pPr>
    </w:p>
    <w:p w:rsidR="00D94698" w:rsidRPr="00B53423" w:rsidRDefault="00D94698" w:rsidP="0015232B">
      <w:pPr>
        <w:spacing w:before="100" w:beforeAutospacing="1" w:after="100" w:afterAutospacing="1"/>
        <w:ind w:right="29"/>
        <w:jc w:val="left"/>
        <w:rPr>
          <w:rFonts w:cs="Arial"/>
          <w:b/>
        </w:rPr>
      </w:pPr>
      <w:r w:rsidRPr="00B53423">
        <w:rPr>
          <w:rFonts w:cs="Arial"/>
          <w:b/>
        </w:rPr>
        <w:t>A:  RAILWAY TRACTION:</w:t>
      </w:r>
    </w:p>
    <w:p w:rsidR="00D94698" w:rsidRPr="00B53423" w:rsidRDefault="00D94698" w:rsidP="0015232B">
      <w:pPr>
        <w:tabs>
          <w:tab w:val="left" w:pos="360"/>
        </w:tabs>
        <w:spacing w:before="100" w:beforeAutospacing="1" w:after="100" w:afterAutospacing="1"/>
        <w:ind w:right="29"/>
        <w:rPr>
          <w:rFonts w:cs="Arial"/>
          <w:b/>
        </w:rPr>
      </w:pPr>
      <w:r w:rsidRPr="00B53423">
        <w:rPr>
          <w:rFonts w:cs="Arial"/>
          <w:b/>
        </w:rPr>
        <w:t>1.</w:t>
      </w:r>
      <w:r w:rsidRPr="00B53423">
        <w:rPr>
          <w:rFonts w:cs="Arial"/>
          <w:b/>
        </w:rPr>
        <w:tab/>
        <w:t>APPLICABILITY:</w:t>
      </w:r>
    </w:p>
    <w:p w:rsidR="00D94698" w:rsidRPr="00B53423" w:rsidRDefault="00D94698" w:rsidP="0015232B">
      <w:pPr>
        <w:tabs>
          <w:tab w:val="left" w:pos="360"/>
        </w:tabs>
        <w:spacing w:before="100" w:beforeAutospacing="1"/>
        <w:ind w:left="360" w:right="11"/>
        <w:rPr>
          <w:rFonts w:cs="Arial"/>
        </w:rPr>
      </w:pPr>
      <w:r w:rsidRPr="00B53423">
        <w:rPr>
          <w:rFonts w:cs="Arial"/>
        </w:rPr>
        <w:t xml:space="preserve">This schedule shall apply to the Railways for Traction loads only. </w:t>
      </w:r>
    </w:p>
    <w:p w:rsidR="00D94698" w:rsidRPr="00B53423" w:rsidRDefault="00D94698" w:rsidP="0015232B"/>
    <w:p w:rsidR="00D94698" w:rsidRPr="00B53423" w:rsidRDefault="00D94698" w:rsidP="0015232B">
      <w:pPr>
        <w:pStyle w:val="BodyText"/>
        <w:tabs>
          <w:tab w:val="left" w:pos="360"/>
        </w:tabs>
        <w:spacing w:line="288" w:lineRule="auto"/>
      </w:pPr>
      <w:r w:rsidRPr="00B53423">
        <w:rPr>
          <w:b/>
          <w:snapToGrid w:val="0"/>
        </w:rPr>
        <w:t>2.</w:t>
      </w:r>
      <w:r w:rsidRPr="00B53423">
        <w:rPr>
          <w:b/>
          <w:snapToGrid w:val="0"/>
        </w:rPr>
        <w:tab/>
      </w:r>
      <w:r w:rsidRPr="00B53423">
        <w:rPr>
          <w:rFonts w:cs="Arial"/>
          <w:b/>
        </w:rPr>
        <w:t>CHARACTER OF SERVICE AND POINT OF SUPPLY:</w:t>
      </w:r>
    </w:p>
    <w:p w:rsidR="00D94698" w:rsidRPr="00B53423" w:rsidRDefault="00D94698" w:rsidP="0015232B">
      <w:pPr>
        <w:tabs>
          <w:tab w:val="left" w:pos="360"/>
        </w:tabs>
        <w:spacing w:before="100"/>
        <w:ind w:left="360" w:right="11"/>
      </w:pPr>
      <w:r w:rsidRPr="00B53423">
        <w:t>Alternating Current, single phase, two phase or three phase, 50 cycles, 132 kV or below depending on the availability of voltage of supply and the sole discretion of the Licensee. The supply at each sub-station shall be separately metered and charged.</w:t>
      </w:r>
    </w:p>
    <w:p w:rsidR="00D94698" w:rsidRPr="00B53423" w:rsidRDefault="00D94698" w:rsidP="0015232B">
      <w:pPr>
        <w:pStyle w:val="BodyText"/>
        <w:tabs>
          <w:tab w:val="left" w:pos="360"/>
        </w:tabs>
        <w:spacing w:before="100" w:beforeAutospacing="1" w:line="288" w:lineRule="auto"/>
        <w:ind w:right="29"/>
        <w:rPr>
          <w:rFonts w:cs="Arial"/>
          <w:b/>
        </w:rPr>
      </w:pPr>
      <w:r w:rsidRPr="00B53423">
        <w:rPr>
          <w:rFonts w:cs="Arial"/>
          <w:b/>
        </w:rPr>
        <w:t>3.</w:t>
      </w:r>
      <w:r w:rsidRPr="00B53423">
        <w:rPr>
          <w:rFonts w:cs="Arial"/>
          <w:b/>
        </w:rPr>
        <w:tab/>
        <w:t>RATE:</w:t>
      </w:r>
    </w:p>
    <w:p w:rsidR="00D94698" w:rsidRPr="00B53423" w:rsidRDefault="00D94698" w:rsidP="0015232B">
      <w:pPr>
        <w:spacing w:before="100" w:beforeAutospacing="1" w:after="240"/>
        <w:ind w:left="360" w:right="14"/>
      </w:pPr>
      <w:r w:rsidRPr="00B53423">
        <w:t>Rate, gives the demand and energy charges at which the consumer shall be billed for consumption during the billing period applicable to the category:</w:t>
      </w:r>
    </w:p>
    <w:p w:rsidR="00D94698" w:rsidRPr="00B53423" w:rsidRDefault="00D94698" w:rsidP="0015232B"/>
    <w:tbl>
      <w:tblPr>
        <w:tblW w:w="8067" w:type="dxa"/>
        <w:tblInd w:w="77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5097"/>
        <w:gridCol w:w="2970"/>
      </w:tblGrid>
      <w:tr w:rsidR="00D94698" w:rsidRPr="00B53423" w:rsidTr="00E93F0F">
        <w:tc>
          <w:tcPr>
            <w:tcW w:w="5097" w:type="dxa"/>
            <w:shd w:val="pct12" w:color="auto" w:fill="auto"/>
          </w:tcPr>
          <w:p w:rsidR="00D94698" w:rsidRPr="00B53423" w:rsidRDefault="00D94698" w:rsidP="0015232B">
            <w:pPr>
              <w:pStyle w:val="BodyText"/>
              <w:spacing w:line="288" w:lineRule="auto"/>
              <w:jc w:val="center"/>
              <w:rPr>
                <w:rFonts w:cs="Arial"/>
                <w:b/>
              </w:rPr>
            </w:pPr>
            <w:r w:rsidRPr="00B53423">
              <w:rPr>
                <w:rFonts w:cs="Arial"/>
                <w:b/>
              </w:rPr>
              <w:t>Description</w:t>
            </w:r>
          </w:p>
        </w:tc>
        <w:tc>
          <w:tcPr>
            <w:tcW w:w="2970" w:type="dxa"/>
            <w:shd w:val="pct12" w:color="auto" w:fill="auto"/>
          </w:tcPr>
          <w:p w:rsidR="00D94698" w:rsidRPr="00B53423" w:rsidRDefault="00D94698" w:rsidP="0015232B">
            <w:pPr>
              <w:pStyle w:val="BodyText"/>
              <w:spacing w:line="288" w:lineRule="auto"/>
              <w:jc w:val="center"/>
              <w:rPr>
                <w:rFonts w:cs="Arial"/>
                <w:b/>
                <w:bCs/>
              </w:rPr>
            </w:pPr>
            <w:r w:rsidRPr="00B53423">
              <w:rPr>
                <w:rFonts w:cs="Arial"/>
                <w:b/>
                <w:bCs/>
              </w:rPr>
              <w:t>Charges</w:t>
            </w:r>
          </w:p>
        </w:tc>
      </w:tr>
      <w:tr w:rsidR="00D94698" w:rsidRPr="00B53423" w:rsidTr="00E93F0F">
        <w:tc>
          <w:tcPr>
            <w:tcW w:w="5097" w:type="dxa"/>
          </w:tcPr>
          <w:p w:rsidR="00D94698" w:rsidRPr="00B53423" w:rsidRDefault="00D94698" w:rsidP="0015232B">
            <w:pPr>
              <w:pStyle w:val="BodyText"/>
              <w:spacing w:line="288" w:lineRule="auto"/>
              <w:jc w:val="left"/>
              <w:rPr>
                <w:rFonts w:cs="Arial"/>
              </w:rPr>
            </w:pPr>
            <w:r w:rsidRPr="00B53423">
              <w:rPr>
                <w:rFonts w:cs="Arial"/>
                <w:b/>
              </w:rPr>
              <w:t>(a) Demand Charge</w:t>
            </w:r>
          </w:p>
          <w:p w:rsidR="00D94698" w:rsidRPr="00B53423" w:rsidRDefault="00D94698" w:rsidP="0015232B">
            <w:pPr>
              <w:pStyle w:val="BodyText"/>
              <w:spacing w:line="288" w:lineRule="auto"/>
              <w:jc w:val="left"/>
              <w:rPr>
                <w:rFonts w:cs="Arial"/>
              </w:rPr>
            </w:pPr>
            <w:r w:rsidRPr="00B53423">
              <w:rPr>
                <w:rFonts w:cs="Arial"/>
              </w:rPr>
              <w:t xml:space="preserve">For supply at and above 132 kV </w:t>
            </w:r>
          </w:p>
          <w:p w:rsidR="00D94698" w:rsidRPr="00B53423" w:rsidRDefault="00D94698" w:rsidP="0015232B">
            <w:pPr>
              <w:pStyle w:val="BodyText"/>
              <w:spacing w:line="288" w:lineRule="auto"/>
              <w:jc w:val="left"/>
              <w:rPr>
                <w:rFonts w:cs="Arial"/>
              </w:rPr>
            </w:pPr>
            <w:r w:rsidRPr="00B53423">
              <w:rPr>
                <w:rFonts w:cs="Arial"/>
              </w:rPr>
              <w:t xml:space="preserve">Below 132 </w:t>
            </w:r>
            <w:r w:rsidR="00704C79" w:rsidRPr="00B53423">
              <w:rPr>
                <w:rFonts w:cs="Arial"/>
              </w:rPr>
              <w:t>Kv</w:t>
            </w:r>
          </w:p>
        </w:tc>
        <w:tc>
          <w:tcPr>
            <w:tcW w:w="2970" w:type="dxa"/>
          </w:tcPr>
          <w:p w:rsidR="00D94698" w:rsidRPr="00B53423" w:rsidRDefault="00D94698" w:rsidP="0015232B">
            <w:pPr>
              <w:pStyle w:val="BodyText"/>
              <w:spacing w:line="288" w:lineRule="auto"/>
              <w:jc w:val="left"/>
              <w:rPr>
                <w:rFonts w:cs="Arial"/>
              </w:rPr>
            </w:pPr>
          </w:p>
          <w:p w:rsidR="00D94698" w:rsidRPr="00B53423" w:rsidRDefault="00D94698" w:rsidP="0015232B">
            <w:pPr>
              <w:pStyle w:val="BodyText"/>
              <w:spacing w:line="288" w:lineRule="auto"/>
              <w:jc w:val="left"/>
              <w:rPr>
                <w:rFonts w:cs="Arial"/>
              </w:rPr>
            </w:pPr>
            <w:r w:rsidRPr="00B53423">
              <w:rPr>
                <w:rFonts w:cs="Arial"/>
              </w:rPr>
              <w:t>Rs. 280.00 / kVA / month</w:t>
            </w:r>
          </w:p>
          <w:p w:rsidR="00D94698" w:rsidRPr="00B53423" w:rsidRDefault="00D94698" w:rsidP="0015232B">
            <w:pPr>
              <w:pStyle w:val="BodyText"/>
              <w:spacing w:line="288" w:lineRule="auto"/>
              <w:jc w:val="left"/>
              <w:rPr>
                <w:rFonts w:cs="Arial"/>
              </w:rPr>
            </w:pPr>
            <w:r w:rsidRPr="00B53423">
              <w:rPr>
                <w:rFonts w:cs="Arial"/>
              </w:rPr>
              <w:t>Rs. 6.0</w:t>
            </w:r>
            <w:r w:rsidRPr="00B53423">
              <w:t>5</w:t>
            </w:r>
            <w:r w:rsidRPr="00B53423">
              <w:rPr>
                <w:rFonts w:cs="Arial"/>
              </w:rPr>
              <w:t xml:space="preserve"> / kVA / month </w:t>
            </w:r>
          </w:p>
        </w:tc>
      </w:tr>
      <w:tr w:rsidR="00D94698" w:rsidRPr="00B53423" w:rsidTr="00E93F0F">
        <w:tc>
          <w:tcPr>
            <w:tcW w:w="5097" w:type="dxa"/>
          </w:tcPr>
          <w:p w:rsidR="00D94698" w:rsidRPr="00B53423" w:rsidRDefault="00D94698" w:rsidP="0015232B">
            <w:pPr>
              <w:pStyle w:val="BodyText"/>
              <w:spacing w:line="288" w:lineRule="auto"/>
              <w:jc w:val="left"/>
              <w:rPr>
                <w:rFonts w:cs="Arial"/>
              </w:rPr>
            </w:pPr>
            <w:r w:rsidRPr="00B53423">
              <w:rPr>
                <w:rFonts w:cs="Arial"/>
                <w:b/>
              </w:rPr>
              <w:t xml:space="preserve">(b) Energy Charge </w:t>
            </w:r>
            <w:r w:rsidRPr="00B53423">
              <w:rPr>
                <w:rFonts w:cs="Arial"/>
              </w:rPr>
              <w:t>(all consumption in a month)</w:t>
            </w:r>
          </w:p>
          <w:p w:rsidR="00D94698" w:rsidRPr="00B53423" w:rsidRDefault="00D94698" w:rsidP="0015232B">
            <w:pPr>
              <w:pStyle w:val="BodyText"/>
              <w:spacing w:line="288" w:lineRule="auto"/>
              <w:jc w:val="left"/>
              <w:rPr>
                <w:rFonts w:cs="Arial"/>
              </w:rPr>
            </w:pPr>
            <w:r w:rsidRPr="00B53423">
              <w:rPr>
                <w:rFonts w:cs="Arial"/>
              </w:rPr>
              <w:t>For supply at and above 132 kV</w:t>
            </w:r>
          </w:p>
          <w:p w:rsidR="00D94698" w:rsidRPr="00B53423" w:rsidRDefault="00D94698" w:rsidP="0015232B">
            <w:pPr>
              <w:pStyle w:val="BodyText"/>
              <w:spacing w:line="288" w:lineRule="auto"/>
              <w:jc w:val="left"/>
              <w:rPr>
                <w:rFonts w:cs="Arial"/>
              </w:rPr>
            </w:pPr>
            <w:r w:rsidRPr="00B53423">
              <w:rPr>
                <w:rFonts w:cs="Arial"/>
              </w:rPr>
              <w:t xml:space="preserve">Below 132 kV </w:t>
            </w:r>
          </w:p>
        </w:tc>
        <w:tc>
          <w:tcPr>
            <w:tcW w:w="2970" w:type="dxa"/>
          </w:tcPr>
          <w:p w:rsidR="00D94698" w:rsidRPr="00B53423" w:rsidRDefault="00D94698" w:rsidP="0015232B">
            <w:pPr>
              <w:pStyle w:val="BodyText"/>
              <w:spacing w:line="288" w:lineRule="auto"/>
              <w:jc w:val="left"/>
              <w:rPr>
                <w:rFonts w:cs="Arial"/>
                <w:lang w:val="sv-SE"/>
              </w:rPr>
            </w:pPr>
          </w:p>
          <w:p w:rsidR="00D94698" w:rsidRPr="00B53423" w:rsidRDefault="00D94698" w:rsidP="0015232B">
            <w:pPr>
              <w:pStyle w:val="BodyText"/>
              <w:spacing w:line="288" w:lineRule="auto"/>
              <w:jc w:val="left"/>
              <w:rPr>
                <w:rFonts w:cs="Arial"/>
                <w:lang w:val="sv-SE"/>
              </w:rPr>
            </w:pPr>
            <w:r w:rsidRPr="00B53423">
              <w:rPr>
                <w:rFonts w:cs="Arial"/>
                <w:lang w:val="sv-SE"/>
              </w:rPr>
              <w:t xml:space="preserve">Rs. </w:t>
            </w:r>
            <w:r w:rsidRPr="00B53423">
              <w:rPr>
                <w:rFonts w:cs="Arial"/>
              </w:rPr>
              <w:t>280.00</w:t>
            </w:r>
            <w:r w:rsidRPr="00B53423">
              <w:rPr>
                <w:rFonts w:cs="Arial"/>
                <w:lang w:val="sv-SE"/>
              </w:rPr>
              <w:t xml:space="preserve"> / kVAh </w:t>
            </w:r>
          </w:p>
          <w:p w:rsidR="00D94698" w:rsidRPr="00B53423" w:rsidRDefault="00D94698" w:rsidP="0015232B">
            <w:pPr>
              <w:pStyle w:val="BodyText"/>
              <w:spacing w:line="288" w:lineRule="auto"/>
              <w:jc w:val="left"/>
              <w:rPr>
                <w:rFonts w:cs="Arial"/>
                <w:lang w:val="sv-SE"/>
              </w:rPr>
            </w:pPr>
            <w:r w:rsidRPr="00B53423">
              <w:rPr>
                <w:rFonts w:cs="Arial"/>
                <w:lang w:val="sv-SE"/>
              </w:rPr>
              <w:t xml:space="preserve">Rs. </w:t>
            </w:r>
            <w:r w:rsidRPr="00B53423">
              <w:rPr>
                <w:rFonts w:cs="Arial"/>
              </w:rPr>
              <w:t xml:space="preserve"> 6.30</w:t>
            </w:r>
            <w:r w:rsidRPr="00B53423">
              <w:rPr>
                <w:rFonts w:cs="Arial"/>
                <w:lang w:val="sv-SE"/>
              </w:rPr>
              <w:t xml:space="preserve"> / kVAh</w:t>
            </w:r>
          </w:p>
        </w:tc>
      </w:tr>
      <w:tr w:rsidR="00D94698" w:rsidRPr="00B53423" w:rsidTr="00E93F0F">
        <w:tc>
          <w:tcPr>
            <w:tcW w:w="5097" w:type="dxa"/>
          </w:tcPr>
          <w:p w:rsidR="00D94698" w:rsidRPr="00B53423" w:rsidRDefault="00D94698" w:rsidP="0015232B">
            <w:pPr>
              <w:pStyle w:val="BodyText"/>
              <w:spacing w:line="288" w:lineRule="auto"/>
              <w:jc w:val="left"/>
              <w:rPr>
                <w:rFonts w:cs="Arial"/>
                <w:b/>
              </w:rPr>
            </w:pPr>
            <w:r w:rsidRPr="00B53423">
              <w:rPr>
                <w:rFonts w:cs="Arial"/>
                <w:b/>
              </w:rPr>
              <w:t xml:space="preserve">(c) Minimum Charge  </w:t>
            </w:r>
          </w:p>
        </w:tc>
        <w:tc>
          <w:tcPr>
            <w:tcW w:w="2970" w:type="dxa"/>
          </w:tcPr>
          <w:p w:rsidR="00D94698" w:rsidRPr="00B53423" w:rsidRDefault="00D94698" w:rsidP="0015232B">
            <w:pPr>
              <w:pStyle w:val="BodyText"/>
              <w:spacing w:line="288" w:lineRule="auto"/>
              <w:jc w:val="left"/>
              <w:rPr>
                <w:rFonts w:cs="Arial"/>
                <w:lang w:val="sv-SE"/>
              </w:rPr>
            </w:pPr>
            <w:r w:rsidRPr="00B53423">
              <w:rPr>
                <w:rFonts w:cs="Arial"/>
                <w:lang w:val="sv-SE"/>
              </w:rPr>
              <w:t xml:space="preserve">Rs. </w:t>
            </w:r>
            <w:r w:rsidRPr="00B53423">
              <w:rPr>
                <w:rFonts w:cs="Arial"/>
              </w:rPr>
              <w:t>700.00</w:t>
            </w:r>
            <w:r w:rsidRPr="00B53423">
              <w:rPr>
                <w:rFonts w:cs="Arial"/>
                <w:lang w:val="sv-SE"/>
              </w:rPr>
              <w:t xml:space="preserve"> / kVA / month</w:t>
            </w:r>
          </w:p>
        </w:tc>
      </w:tr>
    </w:tbl>
    <w:p w:rsidR="00D94698" w:rsidRPr="00B53423" w:rsidRDefault="00D94698" w:rsidP="0015232B">
      <w:pPr>
        <w:tabs>
          <w:tab w:val="left" w:pos="720"/>
        </w:tabs>
        <w:spacing w:before="100" w:after="100"/>
        <w:ind w:right="29"/>
        <w:rPr>
          <w:rFonts w:cs="Arial"/>
        </w:rPr>
      </w:pPr>
    </w:p>
    <w:p w:rsidR="00D94698" w:rsidRPr="00B53423" w:rsidRDefault="00D94698" w:rsidP="0015232B">
      <w:pPr>
        <w:spacing w:before="100"/>
        <w:ind w:right="29"/>
        <w:rPr>
          <w:b/>
        </w:rPr>
      </w:pPr>
      <w:r w:rsidRPr="00B53423">
        <w:t>4</w:t>
      </w:r>
      <w:r w:rsidRPr="00B53423">
        <w:rPr>
          <w:rFonts w:cs="Arial"/>
          <w:b/>
        </w:rPr>
        <w:t>.</w:t>
      </w:r>
      <w:r w:rsidR="00704C79" w:rsidRPr="00B53423">
        <w:rPr>
          <w:rFonts w:cs="Arial"/>
          <w:b/>
        </w:rPr>
        <w:t xml:space="preserve"> </w:t>
      </w:r>
      <w:r w:rsidRPr="00B53423">
        <w:rPr>
          <w:b/>
        </w:rPr>
        <w:t xml:space="preserve">DETERMINATION OF THE DEMAND: </w:t>
      </w:r>
    </w:p>
    <w:p w:rsidR="00D94698" w:rsidRPr="00B53423" w:rsidRDefault="00D94698" w:rsidP="0015232B">
      <w:pPr>
        <w:pStyle w:val="BodyText"/>
        <w:tabs>
          <w:tab w:val="left" w:pos="720"/>
        </w:tabs>
        <w:spacing w:line="288" w:lineRule="auto"/>
        <w:ind w:left="720" w:right="11"/>
      </w:pPr>
      <w:r w:rsidRPr="00B53423">
        <w:t>Demand measurement at a particular time will be made on basis of simultaneous maximum demands recorded in summation kilovolt-ampere meter installed at conti</w:t>
      </w:r>
      <w:r w:rsidR="00A334BA" w:rsidRPr="00B53423">
        <w:t>g</w:t>
      </w:r>
      <w:r w:rsidRPr="00B53423">
        <w:t>uous substation serviced by same grid transformer.</w:t>
      </w:r>
    </w:p>
    <w:p w:rsidR="00D94698" w:rsidRPr="00B53423" w:rsidRDefault="00D94698" w:rsidP="0015232B">
      <w:pPr>
        <w:pStyle w:val="BodyText"/>
        <w:tabs>
          <w:tab w:val="left" w:pos="720"/>
        </w:tabs>
        <w:spacing w:line="288" w:lineRule="auto"/>
        <w:ind w:left="720" w:right="11"/>
      </w:pPr>
      <w:r w:rsidRPr="00B53423">
        <w:t xml:space="preserve">The demand for any month shall be defined as the highest average load measured in Kilo Volt –amperes during any fifteen consecutive </w:t>
      </w:r>
      <w:proofErr w:type="gramStart"/>
      <w:r w:rsidRPr="00B53423">
        <w:t>minutes</w:t>
      </w:r>
      <w:proofErr w:type="gramEnd"/>
      <w:r w:rsidRPr="00B53423">
        <w:t xml:space="preserve"> period of the month.</w:t>
      </w:r>
    </w:p>
    <w:p w:rsidR="00D94698" w:rsidRPr="00B53423" w:rsidRDefault="00D94698" w:rsidP="0015232B">
      <w:pPr>
        <w:ind w:right="11"/>
        <w:jc w:val="center"/>
        <w:rPr>
          <w:b/>
          <w:bCs/>
          <w:u w:val="single"/>
        </w:rPr>
      </w:pPr>
    </w:p>
    <w:p w:rsidR="00D94698" w:rsidRPr="00B53423" w:rsidRDefault="00D94698" w:rsidP="0015232B">
      <w:pPr>
        <w:spacing w:line="240" w:lineRule="auto"/>
        <w:jc w:val="left"/>
        <w:rPr>
          <w:rFonts w:cs="Arial"/>
          <w:b/>
        </w:rPr>
      </w:pPr>
      <w:r w:rsidRPr="00B53423">
        <w:rPr>
          <w:rFonts w:cs="Arial"/>
          <w:b/>
        </w:rPr>
        <w:br w:type="page"/>
      </w:r>
    </w:p>
    <w:p w:rsidR="00D94698" w:rsidRPr="00B53423" w:rsidRDefault="00D94698" w:rsidP="0015232B">
      <w:pPr>
        <w:spacing w:before="100" w:beforeAutospacing="1"/>
        <w:ind w:right="29"/>
        <w:jc w:val="left"/>
        <w:rPr>
          <w:rFonts w:cs="Arial"/>
          <w:b/>
        </w:rPr>
      </w:pPr>
      <w:r w:rsidRPr="00B53423">
        <w:rPr>
          <w:rFonts w:cs="Arial"/>
          <w:b/>
        </w:rPr>
        <w:t>B: DELHI METRO RAIL:</w:t>
      </w:r>
    </w:p>
    <w:p w:rsidR="00D94698" w:rsidRPr="00B53423" w:rsidRDefault="00D94698" w:rsidP="0015232B">
      <w:pPr>
        <w:tabs>
          <w:tab w:val="left" w:pos="360"/>
        </w:tabs>
        <w:spacing w:before="100" w:beforeAutospacing="1" w:after="100" w:afterAutospacing="1"/>
        <w:ind w:right="29"/>
        <w:rPr>
          <w:rFonts w:cs="Arial"/>
          <w:b/>
        </w:rPr>
      </w:pPr>
      <w:r w:rsidRPr="00B53423">
        <w:rPr>
          <w:rFonts w:cs="Arial"/>
          <w:b/>
        </w:rPr>
        <w:t>1.   APPLICABILITY:</w:t>
      </w:r>
    </w:p>
    <w:p w:rsidR="00D94698" w:rsidRPr="00B53423" w:rsidRDefault="00D94698" w:rsidP="0015232B">
      <w:pPr>
        <w:tabs>
          <w:tab w:val="left" w:pos="360"/>
        </w:tabs>
        <w:spacing w:before="100" w:beforeAutospacing="1"/>
        <w:ind w:left="360" w:right="11"/>
        <w:rPr>
          <w:rFonts w:cs="Arial"/>
        </w:rPr>
      </w:pPr>
      <w:r w:rsidRPr="00B53423">
        <w:rPr>
          <w:rFonts w:cs="Arial"/>
        </w:rPr>
        <w:t xml:space="preserve">This schedule shall apply to the DMRC (Delhi Metro Rail Corporation). </w:t>
      </w:r>
    </w:p>
    <w:p w:rsidR="00D94698" w:rsidRPr="00B53423" w:rsidRDefault="00D94698" w:rsidP="0015232B">
      <w:pPr>
        <w:tabs>
          <w:tab w:val="left" w:pos="1421"/>
        </w:tabs>
      </w:pPr>
      <w:r w:rsidRPr="00B53423">
        <w:tab/>
      </w:r>
    </w:p>
    <w:p w:rsidR="00D94698" w:rsidRPr="00B53423" w:rsidRDefault="00D94698" w:rsidP="0015232B">
      <w:pPr>
        <w:pStyle w:val="BodyText"/>
        <w:tabs>
          <w:tab w:val="left" w:pos="360"/>
        </w:tabs>
        <w:spacing w:line="288" w:lineRule="auto"/>
      </w:pPr>
      <w:r w:rsidRPr="00B53423">
        <w:rPr>
          <w:b/>
          <w:snapToGrid w:val="0"/>
        </w:rPr>
        <w:t>2.</w:t>
      </w:r>
      <w:r w:rsidRPr="00B53423">
        <w:rPr>
          <w:b/>
          <w:snapToGrid w:val="0"/>
        </w:rPr>
        <w:tab/>
      </w:r>
      <w:r w:rsidRPr="00B53423">
        <w:rPr>
          <w:rFonts w:cs="Arial"/>
          <w:b/>
        </w:rPr>
        <w:t>CHARACTER OF SERVICE AND POINT OF SUPPLY:</w:t>
      </w:r>
    </w:p>
    <w:p w:rsidR="00D94698" w:rsidRPr="00B53423" w:rsidRDefault="00D94698" w:rsidP="0015232B">
      <w:pPr>
        <w:tabs>
          <w:tab w:val="left" w:pos="360"/>
        </w:tabs>
        <w:spacing w:before="100"/>
        <w:ind w:left="360" w:right="11"/>
      </w:pPr>
      <w:r w:rsidRPr="00B53423">
        <w:t>Alternating Current, single phase, two phase or three phase, 50 cycles, 132 kV or below depending on the availability of voltage of supply and the sole discretion of the Licensee. The supply at each sub-station shall be separately metered and charged.</w:t>
      </w:r>
    </w:p>
    <w:p w:rsidR="00D94698" w:rsidRPr="00B53423" w:rsidRDefault="00D94698" w:rsidP="0015232B"/>
    <w:p w:rsidR="00D94698" w:rsidRPr="00B53423" w:rsidRDefault="00D94698" w:rsidP="0015232B">
      <w:pPr>
        <w:rPr>
          <w:b/>
        </w:rPr>
      </w:pPr>
      <w:r w:rsidRPr="00B53423">
        <w:rPr>
          <w:b/>
        </w:rPr>
        <w:t>3.   RATE:</w:t>
      </w:r>
    </w:p>
    <w:p w:rsidR="00D94698" w:rsidRPr="00B53423" w:rsidRDefault="00D94698" w:rsidP="0015232B">
      <w:pPr>
        <w:spacing w:before="100" w:beforeAutospacing="1" w:after="240"/>
        <w:ind w:left="360" w:right="14"/>
      </w:pPr>
      <w:r w:rsidRPr="00B53423">
        <w:t>Rate, gives the energy charges at which the consumer shall be billed for consumption during the billing period applicable to the category:</w:t>
      </w:r>
    </w:p>
    <w:tbl>
      <w:tblPr>
        <w:tblW w:w="0" w:type="auto"/>
        <w:jc w:val="center"/>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3382"/>
      </w:tblGrid>
      <w:tr w:rsidR="00D94698" w:rsidRPr="00B53423" w:rsidTr="00E93F0F">
        <w:trPr>
          <w:jc w:val="center"/>
        </w:trPr>
        <w:tc>
          <w:tcPr>
            <w:tcW w:w="0" w:type="auto"/>
          </w:tcPr>
          <w:p w:rsidR="00D94698" w:rsidRPr="00B53423" w:rsidRDefault="00D94698" w:rsidP="0015232B">
            <w:pPr>
              <w:spacing w:line="240" w:lineRule="auto"/>
              <w:rPr>
                <w:b/>
              </w:rPr>
            </w:pPr>
            <w:r w:rsidRPr="00B53423">
              <w:rPr>
                <w:b/>
              </w:rPr>
              <w:t>Demand Charges</w:t>
            </w:r>
          </w:p>
        </w:tc>
        <w:tc>
          <w:tcPr>
            <w:tcW w:w="0" w:type="auto"/>
          </w:tcPr>
          <w:p w:rsidR="00D94698" w:rsidRPr="00B53423" w:rsidRDefault="00D94698" w:rsidP="0015232B">
            <w:pPr>
              <w:pStyle w:val="BodyText"/>
              <w:spacing w:line="240" w:lineRule="auto"/>
              <w:ind w:left="720"/>
            </w:pPr>
            <w:r w:rsidRPr="00B53423">
              <w:t xml:space="preserve">Rs. </w:t>
            </w:r>
            <w:r w:rsidRPr="00B53423">
              <w:rPr>
                <w:rFonts w:cs="Arial"/>
              </w:rPr>
              <w:t>12</w:t>
            </w:r>
            <w:r w:rsidRPr="00B53423">
              <w:t>5.00 / kVA / month</w:t>
            </w:r>
          </w:p>
        </w:tc>
      </w:tr>
      <w:tr w:rsidR="00D94698" w:rsidRPr="00B53423" w:rsidTr="00E93F0F">
        <w:trPr>
          <w:jc w:val="center"/>
        </w:trPr>
        <w:tc>
          <w:tcPr>
            <w:tcW w:w="0" w:type="auto"/>
          </w:tcPr>
          <w:p w:rsidR="00D94698" w:rsidRPr="00B53423" w:rsidRDefault="00D94698" w:rsidP="0015232B">
            <w:pPr>
              <w:spacing w:line="240" w:lineRule="auto"/>
              <w:rPr>
                <w:b/>
              </w:rPr>
            </w:pPr>
            <w:r w:rsidRPr="00B53423">
              <w:rPr>
                <w:b/>
              </w:rPr>
              <w:t>Energy Charges</w:t>
            </w:r>
            <w:r w:rsidRPr="00B53423">
              <w:rPr>
                <w:b/>
              </w:rPr>
              <w:tab/>
              <w:t xml:space="preserve">                   </w:t>
            </w:r>
          </w:p>
        </w:tc>
        <w:tc>
          <w:tcPr>
            <w:tcW w:w="0" w:type="auto"/>
          </w:tcPr>
          <w:p w:rsidR="00D94698" w:rsidRPr="00B53423" w:rsidRDefault="00D94698" w:rsidP="0015232B">
            <w:pPr>
              <w:pStyle w:val="BodyText"/>
              <w:spacing w:line="240" w:lineRule="auto"/>
              <w:ind w:left="720"/>
              <w:rPr>
                <w:lang w:val="en-US"/>
              </w:rPr>
            </w:pPr>
            <w:r w:rsidRPr="00B53423">
              <w:t>Rs. 5.</w:t>
            </w:r>
            <w:r w:rsidRPr="00B53423">
              <w:rPr>
                <w:rFonts w:cs="Arial"/>
              </w:rPr>
              <w:t>60</w:t>
            </w:r>
            <w:r w:rsidRPr="00B53423">
              <w:t xml:space="preserve"> / kVAh</w:t>
            </w:r>
          </w:p>
        </w:tc>
      </w:tr>
      <w:tr w:rsidR="00D94698" w:rsidRPr="00B53423" w:rsidTr="00E93F0F">
        <w:trPr>
          <w:jc w:val="center"/>
        </w:trPr>
        <w:tc>
          <w:tcPr>
            <w:tcW w:w="0" w:type="auto"/>
          </w:tcPr>
          <w:p w:rsidR="00D94698" w:rsidRPr="00B53423" w:rsidRDefault="00D94698" w:rsidP="0015232B">
            <w:pPr>
              <w:spacing w:line="240" w:lineRule="auto"/>
              <w:rPr>
                <w:b/>
              </w:rPr>
            </w:pPr>
            <w:r w:rsidRPr="00B53423">
              <w:rPr>
                <w:b/>
              </w:rPr>
              <w:t>Minimum charge</w:t>
            </w:r>
          </w:p>
        </w:tc>
        <w:tc>
          <w:tcPr>
            <w:tcW w:w="0" w:type="auto"/>
          </w:tcPr>
          <w:p w:rsidR="00D94698" w:rsidRPr="00B53423" w:rsidRDefault="00D94698" w:rsidP="0015232B">
            <w:pPr>
              <w:pStyle w:val="BodyText"/>
              <w:spacing w:line="240" w:lineRule="auto"/>
              <w:ind w:left="720"/>
            </w:pPr>
            <w:r w:rsidRPr="00B53423">
              <w:t xml:space="preserve">Rs. </w:t>
            </w:r>
            <w:r w:rsidR="00A334BA" w:rsidRPr="00B53423">
              <w:rPr>
                <w:rFonts w:cs="Arial"/>
              </w:rPr>
              <w:t>6</w:t>
            </w:r>
            <w:r w:rsidRPr="00B53423">
              <w:rPr>
                <w:rFonts w:cs="Arial"/>
              </w:rPr>
              <w:t>00</w:t>
            </w:r>
            <w:r w:rsidRPr="00B53423">
              <w:t xml:space="preserve"> / kVA / month</w:t>
            </w:r>
          </w:p>
        </w:tc>
      </w:tr>
    </w:tbl>
    <w:p w:rsidR="00D94698" w:rsidRPr="00B53423" w:rsidRDefault="00D94698" w:rsidP="0015232B"/>
    <w:p w:rsidR="00D94698" w:rsidRPr="00B53423" w:rsidRDefault="00D94698" w:rsidP="000174C0">
      <w:pPr>
        <w:numPr>
          <w:ilvl w:val="0"/>
          <w:numId w:val="86"/>
        </w:numPr>
        <w:spacing w:before="0"/>
        <w:ind w:right="11"/>
        <w:jc w:val="left"/>
      </w:pPr>
      <w:r w:rsidRPr="00B53423">
        <w:t>Penalty @ Rs. 540 / kVA will be charged on excess demand, if demand exceeds contracted load.</w:t>
      </w:r>
    </w:p>
    <w:p w:rsidR="00D94698" w:rsidRPr="00B53423" w:rsidRDefault="00D94698" w:rsidP="000174C0">
      <w:pPr>
        <w:numPr>
          <w:ilvl w:val="0"/>
          <w:numId w:val="86"/>
        </w:numPr>
        <w:spacing w:before="0"/>
        <w:ind w:right="11"/>
        <w:jc w:val="left"/>
      </w:pPr>
      <w:r w:rsidRPr="00B53423">
        <w:t>This category has been made as per the agreement between DMRC and NOIDA Administration.</w:t>
      </w:r>
    </w:p>
    <w:p w:rsidR="00D94698" w:rsidRPr="00B53423" w:rsidRDefault="00D94698" w:rsidP="0015232B">
      <w:pPr>
        <w:spacing w:before="100"/>
        <w:ind w:right="29"/>
        <w:rPr>
          <w:b/>
        </w:rPr>
      </w:pPr>
    </w:p>
    <w:p w:rsidR="00D94698" w:rsidRPr="00B53423" w:rsidRDefault="00D94698" w:rsidP="0015232B">
      <w:pPr>
        <w:spacing w:before="100"/>
        <w:ind w:right="29"/>
        <w:rPr>
          <w:b/>
        </w:rPr>
      </w:pPr>
      <w:r w:rsidRPr="00B53423">
        <w:rPr>
          <w:b/>
        </w:rPr>
        <w:t xml:space="preserve">4.    DETERMINATION OF THE DEMAND: </w:t>
      </w:r>
    </w:p>
    <w:p w:rsidR="00D94698" w:rsidRPr="00B53423" w:rsidRDefault="00D94698" w:rsidP="0015232B">
      <w:pPr>
        <w:pStyle w:val="BodyText"/>
        <w:tabs>
          <w:tab w:val="left" w:pos="360"/>
          <w:tab w:val="left" w:pos="450"/>
        </w:tabs>
        <w:spacing w:line="288" w:lineRule="auto"/>
        <w:ind w:left="450" w:right="11"/>
      </w:pPr>
      <w:r w:rsidRPr="00B53423">
        <w:t xml:space="preserve">Demand measurement shall be made by suitable kilovolt ampere indicator at the point of delivery. The demand for any month shall be defined as the highest average load measured in Kilo Volt-Amperes during any fifteen consecutive </w:t>
      </w:r>
      <w:proofErr w:type="gramStart"/>
      <w:r w:rsidRPr="00B53423">
        <w:t>minutes</w:t>
      </w:r>
      <w:proofErr w:type="gramEnd"/>
      <w:r w:rsidRPr="00B53423">
        <w:t xml:space="preserve"> period of the month.</w:t>
      </w:r>
    </w:p>
    <w:p w:rsidR="00D94698" w:rsidRPr="00B53423" w:rsidRDefault="00D94698" w:rsidP="0015232B">
      <w:pPr>
        <w:ind w:right="11"/>
        <w:jc w:val="center"/>
        <w:rPr>
          <w:b/>
          <w:bCs/>
          <w:u w:val="single"/>
        </w:rPr>
      </w:pPr>
      <w:r w:rsidRPr="00B53423">
        <w:br w:type="page"/>
      </w:r>
      <w:r w:rsidRPr="00B53423">
        <w:rPr>
          <w:b/>
          <w:bCs/>
          <w:u w:val="single"/>
        </w:rPr>
        <w:t>RATE SCHEDULE HV – 4:</w:t>
      </w:r>
    </w:p>
    <w:p w:rsidR="00D94698" w:rsidRPr="00B53423" w:rsidRDefault="00D94698" w:rsidP="0015232B">
      <w:pPr>
        <w:spacing w:before="100" w:beforeAutospacing="1"/>
        <w:ind w:right="29"/>
        <w:jc w:val="center"/>
        <w:rPr>
          <w:rFonts w:cs="Arial"/>
          <w:b/>
        </w:rPr>
      </w:pPr>
      <w:r w:rsidRPr="00B53423">
        <w:rPr>
          <w:rFonts w:cs="Arial"/>
          <w:b/>
        </w:rPr>
        <w:t>LIFT IRRIGATION WORKS:</w:t>
      </w:r>
    </w:p>
    <w:p w:rsidR="00D94698" w:rsidRPr="00B53423" w:rsidRDefault="00D94698" w:rsidP="000174C0">
      <w:pPr>
        <w:numPr>
          <w:ilvl w:val="0"/>
          <w:numId w:val="94"/>
        </w:numPr>
        <w:spacing w:before="100" w:beforeAutospacing="1" w:line="288" w:lineRule="auto"/>
        <w:ind w:right="29"/>
        <w:rPr>
          <w:rFonts w:cs="Arial"/>
          <w:b/>
        </w:rPr>
      </w:pPr>
      <w:r w:rsidRPr="00B53423">
        <w:rPr>
          <w:rFonts w:cs="Arial"/>
          <w:b/>
        </w:rPr>
        <w:t>APPLICABILITY:</w:t>
      </w:r>
    </w:p>
    <w:p w:rsidR="00D94698" w:rsidRPr="00B53423" w:rsidRDefault="00D94698" w:rsidP="0015232B">
      <w:pPr>
        <w:tabs>
          <w:tab w:val="left" w:pos="360"/>
        </w:tabs>
        <w:ind w:left="360" w:right="29"/>
        <w:rPr>
          <w:rFonts w:cs="Arial"/>
        </w:rPr>
      </w:pPr>
      <w:r w:rsidRPr="00B53423">
        <w:rPr>
          <w:rFonts w:cs="Arial"/>
        </w:rPr>
        <w:t>This Rate Schedule shall apply to medium and large pumped canals having load of more than 100 BHP (75kW).</w:t>
      </w:r>
    </w:p>
    <w:p w:rsidR="00D94698" w:rsidRPr="00B53423" w:rsidRDefault="00D94698" w:rsidP="0015232B">
      <w:pPr>
        <w:tabs>
          <w:tab w:val="left" w:pos="360"/>
        </w:tabs>
        <w:ind w:left="360" w:right="29"/>
        <w:rPr>
          <w:rFonts w:cs="Arial"/>
        </w:rPr>
      </w:pPr>
      <w:r w:rsidRPr="00B53423">
        <w:rPr>
          <w:rFonts w:cs="Arial"/>
        </w:rPr>
        <w:tab/>
      </w:r>
    </w:p>
    <w:p w:rsidR="00D94698" w:rsidRPr="00B53423" w:rsidRDefault="00D94698" w:rsidP="000174C0">
      <w:pPr>
        <w:numPr>
          <w:ilvl w:val="0"/>
          <w:numId w:val="94"/>
        </w:numPr>
        <w:tabs>
          <w:tab w:val="clear" w:pos="360"/>
          <w:tab w:val="num" w:pos="450"/>
        </w:tabs>
        <w:spacing w:before="60" w:after="100" w:line="288" w:lineRule="auto"/>
        <w:ind w:left="720" w:right="28" w:hanging="720"/>
        <w:rPr>
          <w:b/>
        </w:rPr>
      </w:pPr>
      <w:r w:rsidRPr="00B53423">
        <w:rPr>
          <w:b/>
        </w:rPr>
        <w:t>CHARACTER OF SERVICE &amp; POINT OF SUPPLY:</w:t>
      </w:r>
    </w:p>
    <w:p w:rsidR="00D94698" w:rsidRPr="00B53423" w:rsidRDefault="00D94698" w:rsidP="0015232B">
      <w:pPr>
        <w:spacing w:before="100" w:after="100"/>
        <w:ind w:left="360" w:right="29"/>
      </w:pPr>
      <w:proofErr w:type="gramStart"/>
      <w:r w:rsidRPr="00B53423">
        <w:t>As per applicable provisions of Electricity Supply Code.</w:t>
      </w:r>
      <w:proofErr w:type="gramEnd"/>
    </w:p>
    <w:p w:rsidR="00D94698" w:rsidRPr="00B53423" w:rsidRDefault="00D94698" w:rsidP="0015232B">
      <w:pPr>
        <w:spacing w:before="0"/>
        <w:ind w:left="357" w:right="28"/>
      </w:pPr>
    </w:p>
    <w:p w:rsidR="00D94698" w:rsidRPr="00B53423" w:rsidRDefault="00D94698" w:rsidP="000174C0">
      <w:pPr>
        <w:numPr>
          <w:ilvl w:val="0"/>
          <w:numId w:val="94"/>
        </w:numPr>
        <w:spacing w:before="60" w:after="100" w:afterAutospacing="1" w:line="288" w:lineRule="auto"/>
        <w:ind w:left="357" w:right="28" w:hanging="357"/>
        <w:rPr>
          <w:rFonts w:cs="Arial"/>
          <w:b/>
        </w:rPr>
      </w:pPr>
      <w:r w:rsidRPr="00B53423">
        <w:rPr>
          <w:rFonts w:cs="Arial"/>
          <w:b/>
        </w:rPr>
        <w:t xml:space="preserve">RATE: </w:t>
      </w:r>
    </w:p>
    <w:p w:rsidR="00D94698" w:rsidRPr="00B53423" w:rsidRDefault="00D94698" w:rsidP="0015232B">
      <w:pPr>
        <w:spacing w:before="100" w:beforeAutospacing="1" w:after="100" w:afterAutospacing="1"/>
        <w:ind w:left="360" w:right="29"/>
      </w:pPr>
      <w:r w:rsidRPr="00B53423">
        <w:t xml:space="preserve">Rate, gives the demand and energy charges at which the consumer shall be billed for his consumption during the billing period applicable to the category: </w:t>
      </w:r>
    </w:p>
    <w:p w:rsidR="00D94698" w:rsidRPr="00B53423" w:rsidRDefault="00D94698" w:rsidP="0015232B">
      <w:pPr>
        <w:ind w:left="360" w:right="29"/>
        <w:rPr>
          <w:rFonts w:cs="Arial"/>
          <w:b/>
        </w:rPr>
      </w:pPr>
      <w:r w:rsidRPr="00B53423">
        <w:rPr>
          <w:rFonts w:cs="Arial"/>
          <w:b/>
        </w:rPr>
        <w:t>(a)</w:t>
      </w:r>
      <w:r w:rsidRPr="00B53423">
        <w:rPr>
          <w:rFonts w:cs="Arial"/>
          <w:b/>
        </w:rPr>
        <w:tab/>
        <w:t>Demand Charges:</w:t>
      </w:r>
    </w:p>
    <w:tbl>
      <w:tblPr>
        <w:tblpPr w:leftFromText="180" w:rightFromText="180" w:vertAnchor="text" w:horzAnchor="margin" w:tblpXSpec="center" w:tblpY="166"/>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230"/>
        <w:gridCol w:w="3078"/>
      </w:tblGrid>
      <w:tr w:rsidR="00D94698" w:rsidRPr="00B53423" w:rsidTr="00E93F0F">
        <w:trPr>
          <w:trHeight w:val="225"/>
        </w:trPr>
        <w:tc>
          <w:tcPr>
            <w:tcW w:w="4230" w:type="dxa"/>
            <w:tcBorders>
              <w:bottom w:val="single" w:sz="4" w:space="0" w:color="auto"/>
            </w:tcBorders>
            <w:shd w:val="pct12" w:color="auto" w:fill="auto"/>
          </w:tcPr>
          <w:p w:rsidR="00D94698" w:rsidRPr="00B53423" w:rsidRDefault="00D94698" w:rsidP="0015232B">
            <w:pPr>
              <w:pStyle w:val="BodyText"/>
              <w:spacing w:line="288" w:lineRule="auto"/>
              <w:jc w:val="center"/>
              <w:rPr>
                <w:rFonts w:cs="Arial"/>
                <w:b/>
                <w:bCs/>
              </w:rPr>
            </w:pPr>
            <w:r w:rsidRPr="00B53423">
              <w:rPr>
                <w:rFonts w:cs="Arial"/>
                <w:b/>
                <w:bCs/>
              </w:rPr>
              <w:t>Voltage Level</w:t>
            </w:r>
          </w:p>
        </w:tc>
        <w:tc>
          <w:tcPr>
            <w:tcW w:w="3078" w:type="dxa"/>
            <w:tcBorders>
              <w:bottom w:val="single" w:sz="4" w:space="0" w:color="auto"/>
            </w:tcBorders>
            <w:shd w:val="pct12" w:color="auto" w:fill="auto"/>
          </w:tcPr>
          <w:p w:rsidR="00D94698" w:rsidRPr="00B53423" w:rsidRDefault="00D94698" w:rsidP="0015232B">
            <w:pPr>
              <w:pStyle w:val="BodyText"/>
              <w:spacing w:line="288" w:lineRule="auto"/>
              <w:jc w:val="center"/>
              <w:rPr>
                <w:rFonts w:cs="Arial"/>
                <w:b/>
                <w:bCs/>
              </w:rPr>
            </w:pPr>
            <w:r w:rsidRPr="00B53423">
              <w:rPr>
                <w:rFonts w:cs="Arial"/>
                <w:b/>
                <w:bCs/>
              </w:rPr>
              <w:t>Rate of Charge</w:t>
            </w:r>
          </w:p>
        </w:tc>
      </w:tr>
      <w:tr w:rsidR="00D94698" w:rsidRPr="00B53423" w:rsidTr="00E93F0F">
        <w:trPr>
          <w:trHeight w:val="893"/>
        </w:trPr>
        <w:tc>
          <w:tcPr>
            <w:tcW w:w="4230" w:type="dxa"/>
            <w:tcBorders>
              <w:top w:val="single" w:sz="4" w:space="0" w:color="auto"/>
            </w:tcBorders>
          </w:tcPr>
          <w:p w:rsidR="00D94698" w:rsidRPr="00B53423" w:rsidRDefault="00D94698" w:rsidP="0015232B">
            <w:pPr>
              <w:pStyle w:val="BodyText"/>
              <w:spacing w:line="288" w:lineRule="auto"/>
              <w:jc w:val="left"/>
              <w:rPr>
                <w:rFonts w:cs="Arial"/>
              </w:rPr>
            </w:pPr>
            <w:r w:rsidRPr="00B53423">
              <w:rPr>
                <w:rFonts w:cs="Arial"/>
              </w:rPr>
              <w:t xml:space="preserve">For supply at 11 kV </w:t>
            </w:r>
          </w:p>
          <w:p w:rsidR="00D94698" w:rsidRPr="00B53423" w:rsidRDefault="00D94698" w:rsidP="0015232B">
            <w:pPr>
              <w:pStyle w:val="BodyText"/>
              <w:spacing w:line="288" w:lineRule="auto"/>
              <w:jc w:val="left"/>
              <w:rPr>
                <w:rFonts w:cs="Arial"/>
              </w:rPr>
            </w:pPr>
            <w:r w:rsidRPr="00B53423">
              <w:rPr>
                <w:rFonts w:cs="Arial"/>
              </w:rPr>
              <w:t xml:space="preserve">For supply at 33 kV and 66 kV </w:t>
            </w:r>
          </w:p>
          <w:p w:rsidR="00D94698" w:rsidRPr="00B53423" w:rsidRDefault="00D94698" w:rsidP="0015232B">
            <w:pPr>
              <w:pStyle w:val="BodyText"/>
              <w:spacing w:line="288" w:lineRule="auto"/>
              <w:jc w:val="left"/>
              <w:rPr>
                <w:rFonts w:cs="Arial"/>
                <w:b/>
              </w:rPr>
            </w:pPr>
            <w:r w:rsidRPr="00B53423">
              <w:rPr>
                <w:rFonts w:cs="Arial"/>
              </w:rPr>
              <w:t>For supply at  132 kV</w:t>
            </w:r>
          </w:p>
        </w:tc>
        <w:tc>
          <w:tcPr>
            <w:tcW w:w="3078" w:type="dxa"/>
            <w:tcBorders>
              <w:top w:val="single" w:sz="4" w:space="0" w:color="auto"/>
            </w:tcBorders>
          </w:tcPr>
          <w:p w:rsidR="00D94698" w:rsidRPr="00B53423" w:rsidRDefault="00D94698" w:rsidP="0015232B">
            <w:pPr>
              <w:pStyle w:val="BodyText"/>
              <w:spacing w:line="288" w:lineRule="auto"/>
              <w:jc w:val="center"/>
              <w:rPr>
                <w:rFonts w:cs="Arial"/>
              </w:rPr>
            </w:pPr>
            <w:r w:rsidRPr="00B53423">
              <w:rPr>
                <w:rFonts w:cs="Arial"/>
              </w:rPr>
              <w:t>Rs. 2</w:t>
            </w:r>
            <w:r w:rsidRPr="00B53423">
              <w:t xml:space="preserve">50.00 </w:t>
            </w:r>
            <w:r w:rsidRPr="00B53423">
              <w:rPr>
                <w:rFonts w:cs="Arial"/>
              </w:rPr>
              <w:t>/ kVA / month</w:t>
            </w:r>
          </w:p>
          <w:p w:rsidR="00D94698" w:rsidRPr="00B53423" w:rsidRDefault="00D94698" w:rsidP="0015232B">
            <w:pPr>
              <w:pStyle w:val="BodyText"/>
              <w:spacing w:line="288" w:lineRule="auto"/>
              <w:jc w:val="center"/>
              <w:rPr>
                <w:rFonts w:cs="Arial"/>
              </w:rPr>
            </w:pPr>
            <w:r w:rsidRPr="00B53423">
              <w:rPr>
                <w:rFonts w:cs="Arial"/>
              </w:rPr>
              <w:t>Rs. 240.00 / kVA / month</w:t>
            </w:r>
          </w:p>
          <w:p w:rsidR="00D94698" w:rsidRPr="00B53423" w:rsidRDefault="00D94698" w:rsidP="0015232B">
            <w:pPr>
              <w:pStyle w:val="BodyText"/>
              <w:spacing w:line="288" w:lineRule="auto"/>
              <w:jc w:val="center"/>
              <w:rPr>
                <w:rFonts w:cs="Arial"/>
              </w:rPr>
            </w:pPr>
            <w:r w:rsidRPr="00B53423">
              <w:rPr>
                <w:rFonts w:cs="Arial"/>
              </w:rPr>
              <w:t>Rs.  230.00 / kVA / month</w:t>
            </w:r>
          </w:p>
        </w:tc>
      </w:tr>
    </w:tbl>
    <w:p w:rsidR="00D94698" w:rsidRPr="00B53423" w:rsidRDefault="00D94698" w:rsidP="0015232B">
      <w:pPr>
        <w:pStyle w:val="BodyText"/>
        <w:spacing w:line="288" w:lineRule="auto"/>
        <w:jc w:val="left"/>
      </w:pPr>
      <w:r w:rsidRPr="00B53423">
        <w:tab/>
      </w:r>
    </w:p>
    <w:p w:rsidR="00D94698" w:rsidRPr="00B53423" w:rsidRDefault="00D94698" w:rsidP="0015232B">
      <w:pPr>
        <w:pStyle w:val="BodyText"/>
        <w:spacing w:before="100" w:beforeAutospacing="1" w:after="100" w:afterAutospacing="1" w:line="288" w:lineRule="auto"/>
        <w:ind w:left="720" w:hanging="360"/>
        <w:jc w:val="left"/>
        <w:rPr>
          <w:b/>
        </w:rPr>
      </w:pPr>
    </w:p>
    <w:p w:rsidR="00D94698" w:rsidRPr="00B53423" w:rsidRDefault="00D94698" w:rsidP="0015232B">
      <w:pPr>
        <w:pStyle w:val="BodyText"/>
        <w:spacing w:before="100" w:beforeAutospacing="1" w:after="100" w:afterAutospacing="1" w:line="288" w:lineRule="auto"/>
        <w:ind w:left="720" w:hanging="360"/>
        <w:jc w:val="left"/>
        <w:rPr>
          <w:b/>
        </w:rPr>
      </w:pPr>
    </w:p>
    <w:p w:rsidR="00D94698" w:rsidRPr="00B53423" w:rsidRDefault="00D94698" w:rsidP="000174C0">
      <w:pPr>
        <w:pStyle w:val="BodyText"/>
        <w:numPr>
          <w:ilvl w:val="0"/>
          <w:numId w:val="97"/>
        </w:numPr>
        <w:spacing w:before="100" w:beforeAutospacing="1" w:line="288" w:lineRule="auto"/>
        <w:ind w:left="714" w:hanging="357"/>
        <w:jc w:val="left"/>
      </w:pPr>
      <w:r w:rsidRPr="00B53423">
        <w:rPr>
          <w:b/>
        </w:rPr>
        <w:t>Energy Charges</w:t>
      </w:r>
      <w:r w:rsidRPr="00B53423">
        <w:t>:</w:t>
      </w:r>
    </w:p>
    <w:tbl>
      <w:tblPr>
        <w:tblpPr w:leftFromText="180" w:rightFromText="180" w:vertAnchor="text" w:horzAnchor="margin" w:tblpXSpec="center" w:tblpY="92"/>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230"/>
        <w:gridCol w:w="3078"/>
      </w:tblGrid>
      <w:tr w:rsidR="00D94698" w:rsidRPr="00B53423" w:rsidTr="00E93F0F">
        <w:trPr>
          <w:trHeight w:val="252"/>
        </w:trPr>
        <w:tc>
          <w:tcPr>
            <w:tcW w:w="4230" w:type="dxa"/>
            <w:tcBorders>
              <w:bottom w:val="single" w:sz="4" w:space="0" w:color="auto"/>
            </w:tcBorders>
            <w:shd w:val="pct12" w:color="auto" w:fill="auto"/>
          </w:tcPr>
          <w:p w:rsidR="00D94698" w:rsidRPr="00B53423" w:rsidRDefault="00D94698" w:rsidP="0015232B">
            <w:pPr>
              <w:pStyle w:val="BodyText"/>
              <w:spacing w:line="288" w:lineRule="auto"/>
              <w:jc w:val="left"/>
              <w:rPr>
                <w:rFonts w:cs="Arial"/>
                <w:b/>
                <w:bCs/>
              </w:rPr>
            </w:pPr>
            <w:r w:rsidRPr="00B53423">
              <w:rPr>
                <w:rFonts w:cs="Arial"/>
                <w:b/>
                <w:bCs/>
              </w:rPr>
              <w:t>Voltage Level</w:t>
            </w:r>
          </w:p>
        </w:tc>
        <w:tc>
          <w:tcPr>
            <w:tcW w:w="3078" w:type="dxa"/>
            <w:tcBorders>
              <w:bottom w:val="single" w:sz="4" w:space="0" w:color="auto"/>
            </w:tcBorders>
            <w:shd w:val="pct12" w:color="auto" w:fill="auto"/>
          </w:tcPr>
          <w:p w:rsidR="00D94698" w:rsidRPr="00B53423" w:rsidRDefault="00D94698" w:rsidP="0015232B">
            <w:pPr>
              <w:pStyle w:val="BodyText"/>
              <w:spacing w:line="288" w:lineRule="auto"/>
              <w:jc w:val="center"/>
              <w:rPr>
                <w:rFonts w:cs="Arial"/>
                <w:b/>
                <w:bCs/>
              </w:rPr>
            </w:pPr>
            <w:r w:rsidRPr="00B53423">
              <w:rPr>
                <w:rFonts w:cs="Arial"/>
                <w:b/>
                <w:bCs/>
              </w:rPr>
              <w:t>Rate of Charge</w:t>
            </w:r>
          </w:p>
        </w:tc>
      </w:tr>
      <w:tr w:rsidR="00D94698" w:rsidRPr="00B53423" w:rsidTr="00E93F0F">
        <w:trPr>
          <w:trHeight w:val="887"/>
        </w:trPr>
        <w:tc>
          <w:tcPr>
            <w:tcW w:w="4230" w:type="dxa"/>
            <w:tcBorders>
              <w:top w:val="single" w:sz="4" w:space="0" w:color="auto"/>
              <w:bottom w:val="single" w:sz="4" w:space="0" w:color="auto"/>
            </w:tcBorders>
          </w:tcPr>
          <w:p w:rsidR="00D94698" w:rsidRPr="00B53423" w:rsidRDefault="00D94698" w:rsidP="0015232B">
            <w:pPr>
              <w:pStyle w:val="BodyText"/>
              <w:spacing w:line="288" w:lineRule="auto"/>
              <w:jc w:val="left"/>
              <w:rPr>
                <w:rFonts w:cs="Arial"/>
              </w:rPr>
            </w:pPr>
            <w:r w:rsidRPr="00B53423">
              <w:rPr>
                <w:rFonts w:cs="Arial"/>
              </w:rPr>
              <w:t xml:space="preserve">For supply at 11 kV </w:t>
            </w:r>
          </w:p>
          <w:p w:rsidR="00D94698" w:rsidRPr="00B53423" w:rsidRDefault="00D94698" w:rsidP="0015232B">
            <w:pPr>
              <w:pStyle w:val="BodyText"/>
              <w:spacing w:line="288" w:lineRule="auto"/>
              <w:jc w:val="left"/>
              <w:rPr>
                <w:rFonts w:cs="Arial"/>
              </w:rPr>
            </w:pPr>
            <w:r w:rsidRPr="00B53423">
              <w:rPr>
                <w:rFonts w:cs="Arial"/>
              </w:rPr>
              <w:t xml:space="preserve">For supply at 33 kV and 66 kV </w:t>
            </w:r>
          </w:p>
          <w:p w:rsidR="00D94698" w:rsidRPr="00B53423" w:rsidRDefault="00D94698" w:rsidP="0015232B">
            <w:pPr>
              <w:pStyle w:val="BodyText"/>
              <w:spacing w:line="288" w:lineRule="auto"/>
              <w:jc w:val="left"/>
              <w:rPr>
                <w:rFonts w:cs="Arial"/>
              </w:rPr>
            </w:pPr>
            <w:r w:rsidRPr="00B53423">
              <w:rPr>
                <w:rFonts w:cs="Arial"/>
              </w:rPr>
              <w:t>For supply at 132 kV</w:t>
            </w:r>
          </w:p>
        </w:tc>
        <w:tc>
          <w:tcPr>
            <w:tcW w:w="3078" w:type="dxa"/>
            <w:tcBorders>
              <w:top w:val="single" w:sz="4" w:space="0" w:color="auto"/>
              <w:bottom w:val="single" w:sz="4" w:space="0" w:color="auto"/>
            </w:tcBorders>
          </w:tcPr>
          <w:p w:rsidR="00D94698" w:rsidRPr="00B53423" w:rsidRDefault="00D94698" w:rsidP="0015232B">
            <w:pPr>
              <w:pStyle w:val="BodyText"/>
              <w:spacing w:line="288" w:lineRule="auto"/>
              <w:jc w:val="center"/>
              <w:rPr>
                <w:rFonts w:cs="Arial"/>
                <w:lang w:val="sv-SE"/>
              </w:rPr>
            </w:pPr>
            <w:r w:rsidRPr="00B53423">
              <w:rPr>
                <w:rFonts w:cs="Arial"/>
                <w:lang w:val="sv-SE"/>
              </w:rPr>
              <w:t xml:space="preserve">Rs. </w:t>
            </w:r>
            <w:r w:rsidRPr="00B53423">
              <w:rPr>
                <w:rFonts w:cs="Arial"/>
              </w:rPr>
              <w:t>6.</w:t>
            </w:r>
            <w:r w:rsidRPr="00B53423">
              <w:t>50</w:t>
            </w:r>
            <w:r w:rsidRPr="00B53423">
              <w:rPr>
                <w:rFonts w:cs="Arial"/>
                <w:lang w:val="sv-SE"/>
              </w:rPr>
              <w:t xml:space="preserve"> / kVAh</w:t>
            </w:r>
          </w:p>
          <w:p w:rsidR="00D94698" w:rsidRPr="00B53423" w:rsidRDefault="00D94698" w:rsidP="0015232B">
            <w:pPr>
              <w:pStyle w:val="BodyText"/>
              <w:spacing w:line="288" w:lineRule="auto"/>
              <w:jc w:val="center"/>
              <w:rPr>
                <w:rFonts w:cs="Arial"/>
                <w:lang w:val="sv-SE"/>
              </w:rPr>
            </w:pPr>
            <w:r w:rsidRPr="00B53423">
              <w:rPr>
                <w:rFonts w:cs="Arial"/>
                <w:lang w:val="sv-SE"/>
              </w:rPr>
              <w:t xml:space="preserve">Rs. </w:t>
            </w:r>
            <w:r w:rsidRPr="00B53423">
              <w:rPr>
                <w:rFonts w:cs="Arial"/>
              </w:rPr>
              <w:t>6.2</w:t>
            </w:r>
            <w:r w:rsidRPr="00B53423">
              <w:t>5</w:t>
            </w:r>
            <w:r w:rsidRPr="00B53423">
              <w:rPr>
                <w:rFonts w:cs="Arial"/>
                <w:lang w:val="sv-SE"/>
              </w:rPr>
              <w:t xml:space="preserve"> / kVAh</w:t>
            </w:r>
          </w:p>
          <w:p w:rsidR="00D94698" w:rsidRPr="00B53423" w:rsidRDefault="00D94698" w:rsidP="0015232B">
            <w:pPr>
              <w:pStyle w:val="BodyText"/>
              <w:spacing w:line="288" w:lineRule="auto"/>
              <w:jc w:val="center"/>
              <w:rPr>
                <w:rFonts w:cs="Arial"/>
                <w:lang w:val="sv-SE"/>
              </w:rPr>
            </w:pPr>
            <w:r w:rsidRPr="00B53423">
              <w:rPr>
                <w:rFonts w:cs="Arial"/>
                <w:lang w:val="sv-SE"/>
              </w:rPr>
              <w:t xml:space="preserve">Rs. </w:t>
            </w:r>
            <w:r w:rsidRPr="00B53423">
              <w:rPr>
                <w:rFonts w:cs="Arial"/>
              </w:rPr>
              <w:t>6</w:t>
            </w:r>
            <w:r w:rsidRPr="00B53423">
              <w:rPr>
                <w:rFonts w:cs="Arial"/>
                <w:lang w:val="sv-SE"/>
              </w:rPr>
              <w:t>.00 / kVAh</w:t>
            </w:r>
          </w:p>
        </w:tc>
      </w:tr>
    </w:tbl>
    <w:p w:rsidR="00D94698" w:rsidRPr="00B53423" w:rsidRDefault="00D94698" w:rsidP="0015232B">
      <w:pPr>
        <w:pStyle w:val="BodyText"/>
        <w:spacing w:before="100" w:beforeAutospacing="1" w:after="100" w:afterAutospacing="1" w:line="288" w:lineRule="auto"/>
        <w:jc w:val="left"/>
        <w:rPr>
          <w:lang w:val="sv-SE"/>
        </w:rPr>
      </w:pPr>
    </w:p>
    <w:p w:rsidR="00D94698" w:rsidRPr="00B53423" w:rsidRDefault="00D94698" w:rsidP="0015232B">
      <w:pPr>
        <w:pStyle w:val="BodyText"/>
        <w:spacing w:before="100" w:beforeAutospacing="1" w:after="100" w:afterAutospacing="1" w:line="288" w:lineRule="auto"/>
        <w:jc w:val="left"/>
        <w:rPr>
          <w:lang w:val="sv-SE"/>
        </w:rPr>
      </w:pPr>
    </w:p>
    <w:p w:rsidR="00D94698" w:rsidRPr="00B53423" w:rsidRDefault="00D94698" w:rsidP="0015232B">
      <w:pPr>
        <w:ind w:left="720" w:hanging="360"/>
        <w:rPr>
          <w:rFonts w:cs="Arial"/>
          <w:b/>
          <w:lang w:val="sv-SE"/>
        </w:rPr>
      </w:pPr>
    </w:p>
    <w:p w:rsidR="00D94698" w:rsidRPr="00B53423" w:rsidRDefault="00D94698" w:rsidP="0015232B">
      <w:pPr>
        <w:ind w:left="360"/>
        <w:jc w:val="left"/>
        <w:rPr>
          <w:rFonts w:cs="Arial"/>
          <w:b/>
          <w:lang w:val="sv-SE"/>
        </w:rPr>
      </w:pPr>
    </w:p>
    <w:p w:rsidR="00D94698" w:rsidRPr="00B53423" w:rsidRDefault="00D94698" w:rsidP="0015232B">
      <w:pPr>
        <w:ind w:left="360"/>
      </w:pPr>
    </w:p>
    <w:p w:rsidR="00D94698" w:rsidRPr="00B53423" w:rsidRDefault="00D94698" w:rsidP="000174C0">
      <w:pPr>
        <w:pStyle w:val="ListParagraph"/>
        <w:numPr>
          <w:ilvl w:val="0"/>
          <w:numId w:val="96"/>
        </w:numPr>
        <w:spacing w:before="0" w:line="240" w:lineRule="auto"/>
        <w:jc w:val="left"/>
        <w:rPr>
          <w:b/>
        </w:rPr>
      </w:pPr>
      <w:r w:rsidRPr="00B53423">
        <w:rPr>
          <w:b/>
        </w:rPr>
        <w:t>Minimum Charges:</w:t>
      </w:r>
    </w:p>
    <w:p w:rsidR="00D94698" w:rsidRPr="00B53423" w:rsidRDefault="00D94698" w:rsidP="0015232B">
      <w:pPr>
        <w:pStyle w:val="ListParagraph"/>
        <w:spacing w:line="240" w:lineRule="auto"/>
        <w:jc w:val="left"/>
        <w:rPr>
          <w:b/>
        </w:rPr>
      </w:pPr>
      <w:r w:rsidRPr="00B53423">
        <w:t xml:space="preserve">Rs. </w:t>
      </w:r>
      <w:r w:rsidRPr="00B53423">
        <w:rPr>
          <w:rFonts w:cs="Arial"/>
        </w:rPr>
        <w:t>7</w:t>
      </w:r>
      <w:r w:rsidRPr="00B53423">
        <w:t>50.00 / kVA / month irrespective of supply voltage</w:t>
      </w:r>
      <w:r w:rsidRPr="00B53423">
        <w:rPr>
          <w:b/>
        </w:rPr>
        <w:br w:type="page"/>
      </w:r>
    </w:p>
    <w:p w:rsidR="00D94698" w:rsidRPr="00B53423" w:rsidRDefault="00D94698" w:rsidP="0015232B">
      <w:pPr>
        <w:tabs>
          <w:tab w:val="left" w:pos="360"/>
          <w:tab w:val="left" w:pos="900"/>
        </w:tabs>
        <w:spacing w:before="100" w:after="100"/>
        <w:ind w:right="29"/>
        <w:rPr>
          <w:b/>
        </w:rPr>
      </w:pPr>
      <w:r w:rsidRPr="00B53423">
        <w:rPr>
          <w:b/>
        </w:rPr>
        <w:t>4.</w:t>
      </w:r>
      <w:r w:rsidRPr="00B53423">
        <w:rPr>
          <w:b/>
        </w:rPr>
        <w:tab/>
        <w:t xml:space="preserve">DETERMINATION OF THE DEMAND: </w:t>
      </w:r>
    </w:p>
    <w:p w:rsidR="00D94698" w:rsidRPr="00B53423" w:rsidRDefault="00D94698" w:rsidP="0015232B">
      <w:pPr>
        <w:tabs>
          <w:tab w:val="left" w:pos="360"/>
        </w:tabs>
        <w:ind w:left="360" w:right="29"/>
      </w:pPr>
      <w:r w:rsidRPr="00B53423">
        <w:t xml:space="preserve">Demand measurement shall be made by suitable kilovolt ampere indicator at the point of supply. In the absence of suitable demand indicator, the demand as assessed by the Licensee shall be final and binding. If, however, the number of circuits is more than one, demand and energy measurement will be done on the principle of current transformer summation metering. </w:t>
      </w:r>
    </w:p>
    <w:p w:rsidR="00D94698" w:rsidRPr="00B53423" w:rsidRDefault="00D94698" w:rsidP="0015232B">
      <w:pPr>
        <w:spacing w:line="240" w:lineRule="auto"/>
        <w:jc w:val="left"/>
        <w:rPr>
          <w:b/>
          <w:u w:val="single"/>
        </w:rPr>
      </w:pPr>
    </w:p>
    <w:p w:rsidR="00D94698" w:rsidRPr="00B53423" w:rsidRDefault="00D94698" w:rsidP="0015232B">
      <w:pPr>
        <w:spacing w:before="0" w:line="240" w:lineRule="auto"/>
        <w:jc w:val="left"/>
        <w:rPr>
          <w:rFonts w:cs="Arial"/>
          <w:b/>
          <w:bCs/>
          <w:szCs w:val="26"/>
        </w:rPr>
      </w:pPr>
      <w:r w:rsidRPr="00B53423">
        <w:rPr>
          <w:b/>
        </w:rPr>
        <w:br w:type="page"/>
      </w:r>
    </w:p>
    <w:p w:rsidR="005B31C0" w:rsidRPr="00B53423" w:rsidRDefault="00BC60A3" w:rsidP="0015232B">
      <w:pPr>
        <w:pStyle w:val="Heading3"/>
        <w:keepNext w:val="0"/>
      </w:pPr>
      <w:bookmarkStart w:id="1026" w:name="_Ref399327220"/>
      <w:r w:rsidRPr="00B53423">
        <w:rPr>
          <w:b/>
        </w:rPr>
        <w:t>DEPARTMENTAL EMPLOYEES</w:t>
      </w:r>
      <w:r w:rsidR="00D94698" w:rsidRPr="00B53423">
        <w:t>:</w:t>
      </w:r>
      <w:bookmarkEnd w:id="1026"/>
    </w:p>
    <w:p w:rsidR="00D94698" w:rsidRPr="00B53423" w:rsidRDefault="00D94698" w:rsidP="0015232B">
      <w:pPr>
        <w:tabs>
          <w:tab w:val="left" w:pos="2693"/>
          <w:tab w:val="left" w:pos="8730"/>
        </w:tabs>
        <w:spacing w:before="100"/>
        <w:ind w:right="11"/>
      </w:pPr>
      <w:r w:rsidRPr="00B53423">
        <w:tab/>
      </w:r>
    </w:p>
    <w:p w:rsidR="00D94698" w:rsidRPr="00B53423" w:rsidRDefault="00D94698" w:rsidP="000174C0">
      <w:pPr>
        <w:numPr>
          <w:ilvl w:val="0"/>
          <w:numId w:val="105"/>
        </w:numPr>
        <w:tabs>
          <w:tab w:val="clear" w:pos="360"/>
          <w:tab w:val="num" w:pos="720"/>
        </w:tabs>
        <w:spacing w:before="100" w:after="40" w:line="288" w:lineRule="auto"/>
        <w:ind w:left="720" w:right="1440" w:hanging="720"/>
        <w:rPr>
          <w:b/>
        </w:rPr>
      </w:pPr>
      <w:r w:rsidRPr="00B53423">
        <w:rPr>
          <w:b/>
        </w:rPr>
        <w:t>OTHER PROVISIONS:</w:t>
      </w:r>
    </w:p>
    <w:p w:rsidR="00D94698" w:rsidRPr="00B53423" w:rsidRDefault="00D94698" w:rsidP="000174C0">
      <w:pPr>
        <w:numPr>
          <w:ilvl w:val="0"/>
          <w:numId w:val="106"/>
        </w:numPr>
        <w:tabs>
          <w:tab w:val="clear" w:pos="1080"/>
        </w:tabs>
        <w:spacing w:before="100" w:after="40" w:line="288" w:lineRule="auto"/>
        <w:ind w:left="1440" w:right="-58"/>
      </w:pPr>
      <w:r w:rsidRPr="00B53423">
        <w:t xml:space="preserve">For serving / retired employees and their spouse, the supply will only be given at one place where Licensee’s mains exist. The electric supply under this tariff will be given only at one place, within the area of erstwhile UPSEB / its successor companies.   </w:t>
      </w:r>
    </w:p>
    <w:p w:rsidR="00D94698" w:rsidRPr="00B53423" w:rsidRDefault="00D94698" w:rsidP="000174C0">
      <w:pPr>
        <w:numPr>
          <w:ilvl w:val="0"/>
          <w:numId w:val="106"/>
        </w:numPr>
        <w:tabs>
          <w:tab w:val="clear" w:pos="1080"/>
        </w:tabs>
        <w:spacing w:before="100" w:after="40" w:line="288" w:lineRule="auto"/>
        <w:ind w:left="1440" w:right="-58"/>
      </w:pPr>
      <w:r w:rsidRPr="00B53423">
        <w:t xml:space="preserve">In the event of transfer of the employee, this tariff shall be applied at the new place of posting only when a certificate has been obtained from the concerned Executive Engineer of the previous place of posting, that the supply under this tariff has been withdrawn at previous place of posting. Further, the employee shall also be required to submit an affidavit that he is not availing the benefit of LMV-10 connection anywhere else in the state. </w:t>
      </w:r>
    </w:p>
    <w:p w:rsidR="00D94698" w:rsidRPr="00B53423" w:rsidRDefault="00D94698" w:rsidP="000174C0">
      <w:pPr>
        <w:numPr>
          <w:ilvl w:val="0"/>
          <w:numId w:val="106"/>
        </w:numPr>
        <w:tabs>
          <w:tab w:val="clear" w:pos="1080"/>
        </w:tabs>
        <w:spacing w:before="100" w:after="40" w:line="288" w:lineRule="auto"/>
        <w:ind w:left="1440" w:right="-58"/>
      </w:pPr>
      <w:r w:rsidRPr="00B53423">
        <w:t>Those who are not availing this tariff shall also give a declaration to this effect. This declaration shall be pasted / kept in his service book / personal file / Pensioners record. If the declaration is found wrong, necessary action against the employee shall be taken as per the provisions of service rules.  If declaration has already been given at the present place of posting then further declaration is not necessary due to this revision. Pensioners shall also have to give a similar declaration for availing departmental tariff at only one place. In case this declaration is found wrong, this tariff shall be withdrawn forever.</w:t>
      </w:r>
    </w:p>
    <w:p w:rsidR="00D94698" w:rsidRPr="00B53423" w:rsidRDefault="00D94698" w:rsidP="000174C0">
      <w:pPr>
        <w:numPr>
          <w:ilvl w:val="0"/>
          <w:numId w:val="106"/>
        </w:numPr>
        <w:tabs>
          <w:tab w:val="clear" w:pos="1080"/>
        </w:tabs>
        <w:spacing w:before="100" w:after="40" w:line="288" w:lineRule="auto"/>
        <w:ind w:left="1440" w:right="-58"/>
      </w:pPr>
      <w:r w:rsidRPr="00B53423">
        <w:t>No other concession shall be admissible on this tariff.</w:t>
      </w:r>
    </w:p>
    <w:p w:rsidR="00D94698" w:rsidRPr="00B53423" w:rsidRDefault="00D94698" w:rsidP="000174C0">
      <w:pPr>
        <w:numPr>
          <w:ilvl w:val="0"/>
          <w:numId w:val="106"/>
        </w:numPr>
        <w:tabs>
          <w:tab w:val="clear" w:pos="1080"/>
        </w:tabs>
        <w:spacing w:before="100" w:after="40" w:line="288" w:lineRule="auto"/>
        <w:ind w:left="1440" w:right="-58"/>
      </w:pPr>
      <w:r w:rsidRPr="00B53423">
        <w:t>The schedule of miscellaneous charges as appended with Licensee's General Tariff as amended from time to time and Electricity Supply (Consumers) Regulation, 1984 as enforced from time to time shall also be applicable on the employee / pensioner receiving supply under this schedule.</w:t>
      </w:r>
    </w:p>
    <w:p w:rsidR="00D94698" w:rsidRPr="00B53423" w:rsidRDefault="00D94698" w:rsidP="000174C0">
      <w:pPr>
        <w:numPr>
          <w:ilvl w:val="0"/>
          <w:numId w:val="106"/>
        </w:numPr>
        <w:tabs>
          <w:tab w:val="clear" w:pos="1080"/>
        </w:tabs>
        <w:spacing w:before="100" w:after="40" w:line="288" w:lineRule="auto"/>
        <w:ind w:left="1440" w:right="-58"/>
        <w:rPr>
          <w:b/>
        </w:rPr>
      </w:pPr>
      <w:r w:rsidRPr="00B53423">
        <w:t>Retired employees drawing pension from the Treasury / Bank will have to pay the monthly electricity charges as per the rates given in the rate schedule applicable to their category.</w:t>
      </w:r>
    </w:p>
    <w:p w:rsidR="00D94698" w:rsidRPr="00B53423" w:rsidRDefault="00D94698" w:rsidP="000174C0">
      <w:pPr>
        <w:numPr>
          <w:ilvl w:val="0"/>
          <w:numId w:val="106"/>
        </w:numPr>
        <w:tabs>
          <w:tab w:val="clear" w:pos="1080"/>
        </w:tabs>
        <w:spacing w:before="100" w:after="40" w:line="288" w:lineRule="auto"/>
        <w:ind w:left="1440" w:right="-58"/>
        <w:rPr>
          <w:rFonts w:ascii="Georgia" w:hAnsi="Georgia"/>
        </w:rPr>
      </w:pPr>
      <w:r w:rsidRPr="00B53423">
        <w:t>In case of Multi-Storied / Societies where the electricity connection are provided at single point with HT metering, the employees / pensioners / family pensioners, shall be provided through a separate meter and shall be given adjustment towards HT side metered energy at single point.</w:t>
      </w:r>
      <w:r w:rsidRPr="00B53423">
        <w:rPr>
          <w:rFonts w:asciiTheme="minorHAnsi" w:hAnsiTheme="minorHAnsi"/>
        </w:rPr>
        <w:t xml:space="preserve"> Fixed charges equivalent to sanctioned load of the departmental employee shall also be adjusted. </w:t>
      </w:r>
      <w:r w:rsidRPr="00B53423">
        <w:t>One percent of energy consumed by LMV-10 consumer shall also be added towards transformation losses for giving adjustment</w:t>
      </w:r>
    </w:p>
    <w:p w:rsidR="00D94698" w:rsidRPr="00B53423" w:rsidRDefault="00D94698" w:rsidP="000174C0">
      <w:pPr>
        <w:numPr>
          <w:ilvl w:val="0"/>
          <w:numId w:val="106"/>
        </w:numPr>
        <w:tabs>
          <w:tab w:val="clear" w:pos="1080"/>
        </w:tabs>
        <w:spacing w:before="100" w:after="40" w:line="288" w:lineRule="auto"/>
        <w:ind w:left="1440" w:right="-58"/>
        <w:rPr>
          <w:rFonts w:ascii="Georgia" w:hAnsi="Georgia"/>
        </w:rPr>
      </w:pPr>
      <w:r w:rsidRPr="00B53423">
        <w:t>LMV-10 consumers will have to give an undertaking regarding use of Air conditioners</w:t>
      </w:r>
      <w:r w:rsidRPr="00B53423">
        <w:rPr>
          <w:rFonts w:ascii="Georgia" w:hAnsi="Georgia"/>
        </w:rPr>
        <w:t>.</w:t>
      </w:r>
    </w:p>
    <w:p w:rsidR="00D94698" w:rsidRPr="00B53423" w:rsidRDefault="00D94698" w:rsidP="0015232B">
      <w:pPr>
        <w:spacing w:before="100" w:after="40" w:line="288" w:lineRule="auto"/>
        <w:ind w:right="-58"/>
        <w:rPr>
          <w:rFonts w:ascii="Georgia" w:hAnsi="Georgia"/>
        </w:rPr>
      </w:pPr>
    </w:p>
    <w:p w:rsidR="00D94698" w:rsidRPr="00B53423" w:rsidRDefault="00D94698" w:rsidP="000174C0">
      <w:pPr>
        <w:numPr>
          <w:ilvl w:val="0"/>
          <w:numId w:val="105"/>
        </w:numPr>
        <w:tabs>
          <w:tab w:val="clear" w:pos="360"/>
          <w:tab w:val="left" w:pos="0"/>
          <w:tab w:val="num" w:pos="720"/>
        </w:tabs>
        <w:spacing w:before="100" w:after="40" w:line="288" w:lineRule="auto"/>
        <w:ind w:left="0" w:right="1440" w:firstLine="0"/>
        <w:rPr>
          <w:b/>
        </w:rPr>
      </w:pPr>
      <w:r w:rsidRPr="00B53423">
        <w:rPr>
          <w:b/>
        </w:rPr>
        <w:t xml:space="preserve">MODE OF PAYMENT: </w:t>
      </w:r>
    </w:p>
    <w:p w:rsidR="00D94698" w:rsidRPr="00B53423" w:rsidRDefault="00D94698" w:rsidP="000174C0">
      <w:pPr>
        <w:numPr>
          <w:ilvl w:val="0"/>
          <w:numId w:val="103"/>
        </w:numPr>
        <w:tabs>
          <w:tab w:val="num" w:pos="1440"/>
        </w:tabs>
        <w:spacing w:before="100" w:after="40" w:line="288" w:lineRule="auto"/>
        <w:ind w:left="1440" w:right="-58"/>
      </w:pPr>
      <w:r w:rsidRPr="00B53423">
        <w:t>The Disbursing Officer shall compulsorily and regularly deduct the amount due monthly from the salary bill of each and every employee / pensioners drawing pay / pension from his unit each month. The Drawing Officer shall ensure that each employee / pensioner has given the declaration about the connection in his name together with details of S.C. No. / Book No. and name of the billing division, before the disbursement of pay / pension.</w:t>
      </w:r>
    </w:p>
    <w:p w:rsidR="00D94698" w:rsidRPr="00B53423" w:rsidRDefault="00D94698" w:rsidP="000174C0">
      <w:pPr>
        <w:numPr>
          <w:ilvl w:val="0"/>
          <w:numId w:val="103"/>
        </w:numPr>
        <w:tabs>
          <w:tab w:val="num" w:pos="1440"/>
        </w:tabs>
        <w:spacing w:before="100" w:after="40" w:line="288" w:lineRule="auto"/>
        <w:ind w:left="1440" w:right="-58"/>
      </w:pPr>
      <w:r w:rsidRPr="00B53423">
        <w:t>The monthly amount due from a consumer of this category can also be deposited by the concerned officer / employee to the concerned division in case the said amount is not being deducted from his salary / pension.</w:t>
      </w:r>
    </w:p>
    <w:p w:rsidR="00D94698" w:rsidRPr="00B53423" w:rsidRDefault="00D94698" w:rsidP="000174C0">
      <w:pPr>
        <w:numPr>
          <w:ilvl w:val="0"/>
          <w:numId w:val="103"/>
        </w:numPr>
        <w:tabs>
          <w:tab w:val="num" w:pos="1440"/>
        </w:tabs>
        <w:spacing w:before="100" w:after="40" w:line="288" w:lineRule="auto"/>
        <w:ind w:left="1440" w:right="-58"/>
      </w:pPr>
      <w:r w:rsidRPr="00B53423">
        <w:t>Revenue and Energy Statistics in respect of the category of employee / pensioner shall be regularly prepared by the Divisions in the same manner as for every other manually billed category.</w:t>
      </w:r>
    </w:p>
    <w:p w:rsidR="00D94698" w:rsidRPr="00B53423" w:rsidRDefault="00D94698" w:rsidP="000174C0">
      <w:pPr>
        <w:numPr>
          <w:ilvl w:val="0"/>
          <w:numId w:val="103"/>
        </w:numPr>
        <w:tabs>
          <w:tab w:val="num" w:pos="1440"/>
        </w:tabs>
        <w:spacing w:before="100" w:after="40" w:line="288" w:lineRule="auto"/>
        <w:ind w:left="1440" w:right="-58"/>
      </w:pPr>
      <w:r w:rsidRPr="00B53423">
        <w:t>Recovery from the salary shall be sent to the billing units in accordance with the instructions contained in circular No. 362-CAO/C-177 (Misc.) dated 5.5.89 and No. 380-CAO dated 12.5.89 from Chief Accounts Officer of erstwhile UPSEB, Lucknow.</w:t>
      </w:r>
    </w:p>
    <w:p w:rsidR="00D94698" w:rsidRPr="00B53423" w:rsidRDefault="00D94698" w:rsidP="000174C0">
      <w:pPr>
        <w:numPr>
          <w:ilvl w:val="0"/>
          <w:numId w:val="103"/>
        </w:numPr>
        <w:tabs>
          <w:tab w:val="num" w:pos="1440"/>
        </w:tabs>
        <w:spacing w:before="100" w:line="288" w:lineRule="auto"/>
        <w:ind w:left="1440" w:right="28"/>
      </w:pPr>
      <w:r w:rsidRPr="00B53423">
        <w:t xml:space="preserve">In case of metered consumption, the mode of payment shall be similar to the domestic consumer. </w:t>
      </w:r>
    </w:p>
    <w:p w:rsidR="00D94698" w:rsidRPr="00B53423" w:rsidRDefault="00D94698" w:rsidP="0015232B">
      <w:pPr>
        <w:spacing w:before="0" w:line="240" w:lineRule="auto"/>
        <w:jc w:val="left"/>
        <w:rPr>
          <w:rFonts w:cs="Arial"/>
          <w:bCs/>
        </w:rPr>
      </w:pPr>
      <w:r w:rsidRPr="00B53423">
        <w:br w:type="page"/>
      </w:r>
    </w:p>
    <w:p w:rsidR="005B31C0" w:rsidRPr="00B53423" w:rsidRDefault="00D94698" w:rsidP="0015232B">
      <w:pPr>
        <w:pStyle w:val="Heading3"/>
        <w:keepNext w:val="0"/>
        <w:rPr>
          <w:b/>
        </w:rPr>
      </w:pPr>
      <w:bookmarkStart w:id="1027" w:name="_Ref399326979"/>
      <w:r w:rsidRPr="00B53423">
        <w:rPr>
          <w:b/>
        </w:rPr>
        <w:t>PUBLIC LAMPS:</w:t>
      </w:r>
      <w:bookmarkEnd w:id="1027"/>
    </w:p>
    <w:p w:rsidR="00D94698" w:rsidRPr="00B53423" w:rsidRDefault="00D94698" w:rsidP="0015232B">
      <w:pPr>
        <w:jc w:val="center"/>
        <w:rPr>
          <w:b/>
          <w:u w:val="single"/>
          <w:lang w:val="fr-FR"/>
        </w:rPr>
      </w:pPr>
    </w:p>
    <w:p w:rsidR="00D94698" w:rsidRPr="00B53423" w:rsidRDefault="00D94698" w:rsidP="0015232B">
      <w:pPr>
        <w:rPr>
          <w:b/>
        </w:rPr>
      </w:pPr>
      <w:r w:rsidRPr="00B53423">
        <w:rPr>
          <w:b/>
          <w:lang w:val="fr-FR"/>
        </w:rPr>
        <w:t>1.</w:t>
      </w:r>
      <w:r w:rsidRPr="00B53423">
        <w:rPr>
          <w:b/>
          <w:lang w:val="fr-FR"/>
        </w:rPr>
        <w:tab/>
      </w:r>
      <w:r w:rsidRPr="00B53423">
        <w:rPr>
          <w:b/>
        </w:rPr>
        <w:t>MAINTENANCE CHARGE:</w:t>
      </w:r>
    </w:p>
    <w:p w:rsidR="00D94698" w:rsidRPr="00B53423" w:rsidRDefault="00D94698" w:rsidP="0015232B">
      <w:pPr>
        <w:spacing w:before="100"/>
        <w:ind w:left="720" w:right="29"/>
      </w:pPr>
      <w:r w:rsidRPr="00B53423">
        <w:t>In addition to the “Rate of Charge” mentioned above, a sum of Rs. 10.00 per light point per month will be charged for operation and maintenance of street lights. This Maintenance Charge will cover only labour charges, where all required materials are supplied by the local bodies.  However, the local bodies will have an option to operate and maintain the public lamps themselves and in such case, no maintenance charge shall be recovered. This charge shall not apply to the consumers with metered supply.</w:t>
      </w:r>
    </w:p>
    <w:p w:rsidR="00D94698" w:rsidRPr="00B53423" w:rsidRDefault="00D94698" w:rsidP="0015232B">
      <w:pPr>
        <w:spacing w:before="100"/>
        <w:ind w:left="720" w:right="29"/>
      </w:pPr>
      <w:r w:rsidRPr="00B53423">
        <w:t xml:space="preserve">     </w:t>
      </w:r>
    </w:p>
    <w:p w:rsidR="00D94698" w:rsidRPr="00B53423" w:rsidRDefault="00D94698" w:rsidP="0015232B">
      <w:pPr>
        <w:spacing w:before="100"/>
        <w:ind w:right="29"/>
      </w:pPr>
      <w:r w:rsidRPr="00B53423">
        <w:rPr>
          <w:b/>
        </w:rPr>
        <w:t xml:space="preserve">   2.</w:t>
      </w:r>
      <w:r w:rsidRPr="00B53423">
        <w:tab/>
      </w:r>
      <w:r w:rsidRPr="00B53423">
        <w:rPr>
          <w:rFonts w:cs="Arial"/>
          <w:b/>
          <w:bCs/>
          <w:iCs/>
        </w:rPr>
        <w:t>PROVISION OF LAMPS:</w:t>
      </w:r>
    </w:p>
    <w:p w:rsidR="00D94698" w:rsidRPr="00B53423" w:rsidRDefault="00D94698" w:rsidP="0015232B">
      <w:pPr>
        <w:tabs>
          <w:tab w:val="left" w:pos="360"/>
        </w:tabs>
        <w:spacing w:before="100"/>
        <w:ind w:left="720" w:right="29"/>
      </w:pPr>
      <w:r w:rsidRPr="00B53423">
        <w:t>Streets where distribution mains already exist, the Licensee will provide a separate single-phase, 2-wire system for the street lights including light fitting and incandescent lamps of rating not exceeding 100 Watts each.  In case the above maintenance charge is being levied, the labour involved in replacements or renewal of lamps shall be provided by the Licensee. However, all the required materials shall be provided by the local bodies. The cost of all other types of street light fittings shall be paid by the local bodies.</w:t>
      </w:r>
    </w:p>
    <w:p w:rsidR="00D94698" w:rsidRPr="00B53423" w:rsidRDefault="00D94698" w:rsidP="0015232B">
      <w:pPr>
        <w:spacing w:before="100"/>
        <w:ind w:left="720" w:right="29"/>
      </w:pPr>
      <w:r w:rsidRPr="00B53423">
        <w:t>The cost involved in extension of street light mains (including cost of sub -stations, if any) in areas where distribution mains of the Licensee have not been laid, will be paid for by the local bodies.</w:t>
      </w:r>
    </w:p>
    <w:p w:rsidR="00D94698" w:rsidRPr="00B53423" w:rsidRDefault="00D94698" w:rsidP="0015232B">
      <w:pPr>
        <w:spacing w:before="100"/>
        <w:ind w:left="720" w:right="29"/>
      </w:pPr>
    </w:p>
    <w:p w:rsidR="00D94698" w:rsidRPr="00B53423" w:rsidRDefault="00D94698" w:rsidP="0015232B">
      <w:pPr>
        <w:rPr>
          <w:b/>
        </w:rPr>
      </w:pPr>
      <w:r w:rsidRPr="00B53423">
        <w:rPr>
          <w:b/>
        </w:rPr>
        <w:t xml:space="preserve">3. </w:t>
      </w:r>
      <w:r w:rsidRPr="00B53423">
        <w:rPr>
          <w:b/>
        </w:rPr>
        <w:tab/>
        <w:t>VERIFICATION OF LOAD:</w:t>
      </w:r>
    </w:p>
    <w:p w:rsidR="00D94698" w:rsidRPr="00B53423" w:rsidRDefault="00D94698" w:rsidP="0015232B">
      <w:pPr>
        <w:tabs>
          <w:tab w:val="left" w:pos="360"/>
        </w:tabs>
        <w:spacing w:before="100"/>
        <w:ind w:left="720" w:right="29"/>
      </w:pPr>
      <w:r w:rsidRPr="00B53423">
        <w:t>The number of light points including that of traffic signals together with their wattage will be verified jointly by the representatives of Licensee and Town Area / Municipal Board / Corporation at least once in a year.  However, additions will be intimated by the Town Area / Municipal Board / Corporation on monthly basis.  The Licensee will carry out the checking of such statements to satisfy themselves of the correctness of the same.  The monthly bills shall be issued on the basis of verified number of points at the beginning of the year and additions, if any, during the months as intimated above. The difference, if any, detected during joint verification in the following year shall be reconciled and supplementary bills shall be issued.</w:t>
      </w:r>
    </w:p>
    <w:p w:rsidR="00D94698" w:rsidRPr="00B53423" w:rsidRDefault="00D94698" w:rsidP="0015232B">
      <w:pPr>
        <w:tabs>
          <w:tab w:val="left" w:pos="360"/>
        </w:tabs>
        <w:spacing w:before="100"/>
        <w:ind w:left="720" w:right="29"/>
      </w:pPr>
    </w:p>
    <w:p w:rsidR="00D94698" w:rsidRPr="00B53423" w:rsidRDefault="00D94698" w:rsidP="0015232B">
      <w:pPr>
        <w:tabs>
          <w:tab w:val="left" w:pos="360"/>
        </w:tabs>
        <w:spacing w:before="60" w:after="120"/>
        <w:ind w:left="720" w:right="29"/>
      </w:pPr>
      <w:r w:rsidRPr="00B53423">
        <w:t>Further, if the authorized representative of concerned local body does not participate in the work of verification of light points, a notice will be sent by concerned Executive Engineer in writing to such local bodies for deputing representative on specific date(s), failing which the verification of the light points shall be done by the concerned representative of Licensee which shall be final and binding upon such local body.</w:t>
      </w:r>
    </w:p>
    <w:p w:rsidR="00D94698" w:rsidRPr="00B53423" w:rsidRDefault="00D94698" w:rsidP="0015232B">
      <w:pPr>
        <w:tabs>
          <w:tab w:val="left" w:pos="360"/>
        </w:tabs>
        <w:spacing w:before="60" w:after="120"/>
        <w:ind w:left="720" w:right="29"/>
      </w:pPr>
      <w:r w:rsidRPr="00B53423">
        <w:t xml:space="preserve"> </w:t>
      </w:r>
    </w:p>
    <w:p w:rsidR="00D94698" w:rsidRPr="00B53423" w:rsidRDefault="00D94698" w:rsidP="0015232B">
      <w:pPr>
        <w:spacing w:before="0" w:line="240" w:lineRule="auto"/>
        <w:jc w:val="left"/>
        <w:rPr>
          <w:rFonts w:cs="Arial"/>
          <w:b/>
          <w:bCs/>
          <w:szCs w:val="26"/>
        </w:rPr>
      </w:pPr>
      <w:r w:rsidRPr="00B53423">
        <w:rPr>
          <w:b/>
        </w:rPr>
        <w:br w:type="page"/>
      </w:r>
    </w:p>
    <w:p w:rsidR="005B31C0" w:rsidRPr="00B53423" w:rsidRDefault="00D94698" w:rsidP="0015232B">
      <w:pPr>
        <w:pStyle w:val="Heading3"/>
        <w:keepNext w:val="0"/>
        <w:rPr>
          <w:b/>
        </w:rPr>
      </w:pPr>
      <w:bookmarkStart w:id="1028" w:name="_Ref399327077"/>
      <w:r w:rsidRPr="00B53423">
        <w:rPr>
          <w:b/>
        </w:rPr>
        <w:t>STATE TUBE-WELLS</w:t>
      </w:r>
      <w:bookmarkEnd w:id="1028"/>
    </w:p>
    <w:p w:rsidR="00D94698" w:rsidRPr="00B53423" w:rsidRDefault="00D94698" w:rsidP="0015232B">
      <w:pPr>
        <w:tabs>
          <w:tab w:val="left" w:pos="8730"/>
        </w:tabs>
        <w:spacing w:before="100"/>
        <w:ind w:right="11"/>
        <w:jc w:val="center"/>
        <w:rPr>
          <w:b/>
          <w:u w:val="single"/>
        </w:rPr>
      </w:pPr>
    </w:p>
    <w:p w:rsidR="00D94698" w:rsidRPr="00B53423" w:rsidRDefault="00D94698" w:rsidP="0015232B">
      <w:pPr>
        <w:tabs>
          <w:tab w:val="left" w:pos="8730"/>
        </w:tabs>
        <w:spacing w:before="100"/>
        <w:ind w:right="11"/>
        <w:jc w:val="center"/>
        <w:rPr>
          <w:b/>
          <w:u w:val="single"/>
        </w:rPr>
      </w:pPr>
      <w:r w:rsidRPr="00B53423">
        <w:rPr>
          <w:b/>
          <w:u w:val="single"/>
        </w:rPr>
        <w:t>NET LOAD:</w:t>
      </w:r>
    </w:p>
    <w:p w:rsidR="00D94698" w:rsidRPr="00B53423" w:rsidRDefault="00D94698" w:rsidP="0015232B">
      <w:pPr>
        <w:tabs>
          <w:tab w:val="left" w:pos="8730"/>
        </w:tabs>
        <w:spacing w:before="100"/>
        <w:ind w:right="11"/>
        <w:jc w:val="center"/>
        <w:rPr>
          <w:b/>
          <w:u w:val="single"/>
        </w:rPr>
      </w:pPr>
    </w:p>
    <w:p w:rsidR="00D94698" w:rsidRPr="00B53423" w:rsidRDefault="00D94698" w:rsidP="000174C0">
      <w:pPr>
        <w:numPr>
          <w:ilvl w:val="0"/>
          <w:numId w:val="104"/>
        </w:numPr>
        <w:tabs>
          <w:tab w:val="clear" w:pos="1080"/>
          <w:tab w:val="num" w:pos="720"/>
          <w:tab w:val="num" w:pos="2880"/>
        </w:tabs>
        <w:spacing w:line="288" w:lineRule="auto"/>
        <w:ind w:right="11" w:hanging="720"/>
      </w:pPr>
      <w:r w:rsidRPr="00B53423">
        <w:t>Net load hereinafter shall mean the total load connected during the quarter less the load of failed and abandoned tube-wells accounted for during that quarter.</w:t>
      </w:r>
    </w:p>
    <w:p w:rsidR="00D94698" w:rsidRPr="00B53423" w:rsidRDefault="00D94698" w:rsidP="000174C0">
      <w:pPr>
        <w:numPr>
          <w:ilvl w:val="0"/>
          <w:numId w:val="104"/>
        </w:numPr>
        <w:tabs>
          <w:tab w:val="clear" w:pos="1080"/>
          <w:tab w:val="left" w:pos="0"/>
          <w:tab w:val="num" w:pos="720"/>
          <w:tab w:val="num" w:pos="2880"/>
        </w:tabs>
        <w:spacing w:before="100" w:line="288" w:lineRule="auto"/>
        <w:ind w:right="28" w:hanging="720"/>
      </w:pPr>
      <w:r w:rsidRPr="00B53423">
        <w:t>The connected load as on 31</w:t>
      </w:r>
      <w:r w:rsidRPr="00B53423">
        <w:rPr>
          <w:vertAlign w:val="superscript"/>
        </w:rPr>
        <w:t>st</w:t>
      </w:r>
      <w:r w:rsidRPr="00B53423">
        <w:t xml:space="preserve"> March  of the preceding year will be worked out on the basis of ‘Net load’ reported by the Executive Engineers of concerned Divisions after joint inspection and verification of the same by the concerned officers of the State Government / Panchayat, joint meter reading shall also be taken during the inspection on quarterly basis.  The monthly bills for three months of the first quarter will be issued on the connected load worked out as such at the above rates. The same process shall be repeated for subsequent quarters.</w:t>
      </w:r>
    </w:p>
    <w:p w:rsidR="00D94698" w:rsidRPr="00B53423" w:rsidRDefault="00D94698" w:rsidP="0015232B">
      <w:pPr>
        <w:tabs>
          <w:tab w:val="left" w:pos="360"/>
        </w:tabs>
        <w:spacing w:before="100"/>
        <w:ind w:right="28"/>
      </w:pPr>
    </w:p>
    <w:p w:rsidR="00D94698" w:rsidRPr="00B53423" w:rsidRDefault="00D94698" w:rsidP="0015232B">
      <w:pPr>
        <w:tabs>
          <w:tab w:val="left" w:pos="360"/>
        </w:tabs>
        <w:spacing w:before="100"/>
        <w:ind w:right="28"/>
      </w:pPr>
    </w:p>
    <w:p w:rsidR="00D94698" w:rsidRPr="00B53423" w:rsidRDefault="00D94698" w:rsidP="0015232B"/>
    <w:p w:rsidR="00D94698" w:rsidRPr="00B53423" w:rsidRDefault="00D94698" w:rsidP="0015232B"/>
    <w:p w:rsidR="00D94698" w:rsidRPr="00B53423" w:rsidRDefault="00D94698" w:rsidP="0015232B">
      <w:pPr>
        <w:rPr>
          <w:b/>
        </w:rPr>
      </w:pPr>
    </w:p>
    <w:p w:rsidR="00D94698" w:rsidRPr="00B53423" w:rsidRDefault="00D94698" w:rsidP="0015232B">
      <w:pPr>
        <w:rPr>
          <w:b/>
        </w:rPr>
      </w:pPr>
    </w:p>
    <w:p w:rsidR="00D94698" w:rsidRPr="00B53423" w:rsidRDefault="00D94698" w:rsidP="0015232B">
      <w:pPr>
        <w:sectPr w:rsidR="00D94698" w:rsidRPr="00B53423" w:rsidSect="00E93F0F">
          <w:footerReference w:type="default" r:id="rId32"/>
          <w:pgSz w:w="11909" w:h="16834" w:code="9"/>
          <w:pgMar w:top="992" w:right="1440" w:bottom="1440" w:left="1729" w:header="720" w:footer="720" w:gutter="0"/>
          <w:cols w:space="720"/>
          <w:docGrid w:linePitch="360"/>
        </w:sectPr>
      </w:pPr>
    </w:p>
    <w:p w:rsidR="005B31C0" w:rsidRPr="00B53423" w:rsidRDefault="00BC60A3" w:rsidP="0015232B">
      <w:pPr>
        <w:pStyle w:val="Heading2"/>
        <w:keepNext w:val="0"/>
        <w:ind w:left="810" w:hanging="1170"/>
        <w:rPr>
          <w:rFonts w:ascii="Calibri" w:hAnsi="Calibri" w:cs="Arial"/>
          <w:color w:val="auto"/>
          <w:kern w:val="32"/>
          <w:szCs w:val="32"/>
        </w:rPr>
      </w:pPr>
      <w:bookmarkStart w:id="1029" w:name="_Toc338336086"/>
      <w:bookmarkStart w:id="1030" w:name="_Toc357345059"/>
      <w:bookmarkStart w:id="1031" w:name="_Toc357714435"/>
      <w:bookmarkStart w:id="1032" w:name="_Toc357720911"/>
      <w:bookmarkStart w:id="1033" w:name="_Toc399320616"/>
      <w:bookmarkStart w:id="1034" w:name="_Toc399626259"/>
      <w:r w:rsidRPr="00B53423">
        <w:rPr>
          <w:rFonts w:ascii="Calibri" w:hAnsi="Calibri" w:cs="Arial"/>
          <w:color w:val="auto"/>
          <w:kern w:val="32"/>
          <w:szCs w:val="32"/>
        </w:rPr>
        <w:t>SCHEDULE OF MISCELLANEOUS CHARGES</w:t>
      </w:r>
      <w:bookmarkEnd w:id="1029"/>
      <w:bookmarkEnd w:id="1030"/>
      <w:bookmarkEnd w:id="1031"/>
      <w:bookmarkEnd w:id="1032"/>
      <w:bookmarkEnd w:id="1033"/>
      <w:bookmarkEnd w:id="1034"/>
    </w:p>
    <w:p w:rsidR="00D94698" w:rsidRPr="00B53423" w:rsidRDefault="00D94698" w:rsidP="0015232B">
      <w:pPr>
        <w:rPr>
          <w:rStyle w:val="Emphasis"/>
          <w:b/>
          <w:i w:val="0"/>
        </w:rPr>
      </w:pP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35"/>
        <w:gridCol w:w="5198"/>
        <w:gridCol w:w="1764"/>
        <w:gridCol w:w="2031"/>
      </w:tblGrid>
      <w:tr w:rsidR="00D94698" w:rsidRPr="00B53423" w:rsidTr="00E93F0F">
        <w:trPr>
          <w:trHeight w:val="285"/>
          <w:tblHeader/>
          <w:jc w:val="center"/>
        </w:trPr>
        <w:tc>
          <w:tcPr>
            <w:tcW w:w="935" w:type="dxa"/>
            <w:shd w:val="pct12" w:color="auto" w:fill="auto"/>
          </w:tcPr>
          <w:p w:rsidR="00D94698" w:rsidRPr="00B53423" w:rsidRDefault="00D94698" w:rsidP="0015232B">
            <w:pPr>
              <w:spacing w:before="0" w:line="240" w:lineRule="auto"/>
              <w:jc w:val="center"/>
              <w:rPr>
                <w:b/>
              </w:rPr>
            </w:pPr>
            <w:r w:rsidRPr="00B53423">
              <w:rPr>
                <w:b/>
              </w:rPr>
              <w:t>Sl. No.</w:t>
            </w:r>
          </w:p>
        </w:tc>
        <w:tc>
          <w:tcPr>
            <w:tcW w:w="5198" w:type="dxa"/>
            <w:shd w:val="pct12" w:color="auto" w:fill="auto"/>
          </w:tcPr>
          <w:p w:rsidR="00D94698" w:rsidRPr="00B53423" w:rsidRDefault="00D94698" w:rsidP="0015232B">
            <w:pPr>
              <w:spacing w:before="0" w:line="240" w:lineRule="auto"/>
              <w:jc w:val="center"/>
              <w:rPr>
                <w:b/>
              </w:rPr>
            </w:pPr>
            <w:r w:rsidRPr="00B53423">
              <w:rPr>
                <w:b/>
              </w:rPr>
              <w:t>NATURE OF CHARGES</w:t>
            </w:r>
          </w:p>
        </w:tc>
        <w:tc>
          <w:tcPr>
            <w:tcW w:w="1764" w:type="dxa"/>
            <w:shd w:val="pct12" w:color="auto" w:fill="auto"/>
          </w:tcPr>
          <w:p w:rsidR="00D94698" w:rsidRPr="00B53423" w:rsidRDefault="00D94698" w:rsidP="0015232B">
            <w:pPr>
              <w:spacing w:before="0" w:line="240" w:lineRule="auto"/>
              <w:jc w:val="center"/>
              <w:rPr>
                <w:b/>
              </w:rPr>
            </w:pPr>
            <w:r w:rsidRPr="00B53423">
              <w:rPr>
                <w:b/>
              </w:rPr>
              <w:t>UNIT</w:t>
            </w:r>
          </w:p>
        </w:tc>
        <w:tc>
          <w:tcPr>
            <w:tcW w:w="2031" w:type="dxa"/>
            <w:shd w:val="pct12" w:color="auto" w:fill="auto"/>
          </w:tcPr>
          <w:p w:rsidR="00D94698" w:rsidRPr="00B53423" w:rsidRDefault="00D94698" w:rsidP="0015232B">
            <w:pPr>
              <w:spacing w:before="0" w:line="240" w:lineRule="auto"/>
              <w:jc w:val="center"/>
              <w:rPr>
                <w:b/>
              </w:rPr>
            </w:pPr>
            <w:r w:rsidRPr="00B53423">
              <w:rPr>
                <w:b/>
              </w:rPr>
              <w:t>RATES (</w:t>
            </w:r>
            <w:r w:rsidR="005B31C0" w:rsidRPr="00B53423">
              <w:rPr>
                <w:b/>
                <w:noProof/>
                <w:lang w:val="en-US"/>
              </w:rPr>
              <w:drawing>
                <wp:inline distT="0" distB="0" distL="0" distR="0">
                  <wp:extent cx="86360" cy="120650"/>
                  <wp:effectExtent l="0" t="0" r="8890" b="0"/>
                  <wp:docPr id="1" name="Picture 8" descr="Rupee Symb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upee Symbol.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360" cy="120650"/>
                          </a:xfrm>
                          <a:prstGeom prst="rect">
                            <a:avLst/>
                          </a:prstGeom>
                          <a:noFill/>
                          <a:ln>
                            <a:noFill/>
                          </a:ln>
                        </pic:spPr>
                      </pic:pic>
                    </a:graphicData>
                  </a:graphic>
                </wp:inline>
              </w:drawing>
            </w:r>
            <w:r w:rsidRPr="00B53423">
              <w:rPr>
                <w:b/>
              </w:rPr>
              <w:t>)</w:t>
            </w:r>
          </w:p>
        </w:tc>
      </w:tr>
      <w:tr w:rsidR="00D94698" w:rsidRPr="00B53423" w:rsidTr="00E93F0F">
        <w:trPr>
          <w:trHeight w:val="57"/>
          <w:jc w:val="center"/>
        </w:trPr>
        <w:tc>
          <w:tcPr>
            <w:tcW w:w="935" w:type="dxa"/>
          </w:tcPr>
          <w:p w:rsidR="00D94698" w:rsidRPr="00B53423" w:rsidRDefault="00D94698" w:rsidP="0015232B">
            <w:pPr>
              <w:spacing w:before="0" w:line="240" w:lineRule="auto"/>
            </w:pPr>
            <w:r w:rsidRPr="00B53423">
              <w:t>1.</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2.</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r w:rsidRPr="00B53423">
              <w:t>3.</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4.</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5.</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6.</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tc>
        <w:tc>
          <w:tcPr>
            <w:tcW w:w="5198" w:type="dxa"/>
          </w:tcPr>
          <w:p w:rsidR="00D94698" w:rsidRPr="00B53423" w:rsidRDefault="00D94698" w:rsidP="0015232B">
            <w:pPr>
              <w:spacing w:before="0" w:line="240" w:lineRule="auto"/>
            </w:pPr>
            <w:r w:rsidRPr="00B53423">
              <w:t>Checking and Testing of Meters:</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a.  Single Phase Meters</w:t>
            </w:r>
          </w:p>
          <w:p w:rsidR="00D94698" w:rsidRPr="00B53423" w:rsidRDefault="00D94698" w:rsidP="0015232B">
            <w:pPr>
              <w:spacing w:before="0" w:line="240" w:lineRule="auto"/>
            </w:pPr>
            <w:r w:rsidRPr="00B53423">
              <w:t>b.  Three Phase Meters</w:t>
            </w:r>
          </w:p>
          <w:p w:rsidR="00D94698" w:rsidRPr="00B53423" w:rsidRDefault="00D94698" w:rsidP="0015232B">
            <w:pPr>
              <w:spacing w:before="0" w:line="240" w:lineRule="auto"/>
            </w:pPr>
            <w:r w:rsidRPr="00B53423">
              <w:t>c.  Recording Type Watt-hour Meters</w:t>
            </w:r>
          </w:p>
          <w:p w:rsidR="00D94698" w:rsidRPr="00B53423" w:rsidRDefault="00D94698" w:rsidP="0015232B">
            <w:pPr>
              <w:spacing w:before="0" w:line="240" w:lineRule="auto"/>
            </w:pPr>
            <w:r w:rsidRPr="00B53423">
              <w:t>d.  Maximum Demand Indicator</w:t>
            </w:r>
          </w:p>
          <w:p w:rsidR="00D94698" w:rsidRPr="00B53423" w:rsidRDefault="00D94698" w:rsidP="0015232B">
            <w:pPr>
              <w:spacing w:before="0" w:line="240" w:lineRule="auto"/>
            </w:pPr>
            <w:r w:rsidRPr="00B53423">
              <w:t>e.  Tri-vector Meters</w:t>
            </w:r>
          </w:p>
          <w:p w:rsidR="00D94698" w:rsidRPr="00B53423" w:rsidRDefault="00D94698" w:rsidP="0015232B">
            <w:pPr>
              <w:spacing w:before="0" w:line="240" w:lineRule="auto"/>
            </w:pPr>
            <w:r w:rsidRPr="00B53423">
              <w:t>f.  Ammeters and Volt Meters</w:t>
            </w:r>
          </w:p>
          <w:p w:rsidR="00D94698" w:rsidRPr="00B53423" w:rsidRDefault="00D94698" w:rsidP="0015232B">
            <w:pPr>
              <w:spacing w:before="0" w:line="240" w:lineRule="auto"/>
            </w:pPr>
            <w:r w:rsidRPr="00B53423">
              <w:t>g.  Special Meters</w:t>
            </w:r>
          </w:p>
          <w:p w:rsidR="00D94698" w:rsidRPr="00B53423" w:rsidRDefault="00D94698" w:rsidP="0015232B">
            <w:pPr>
              <w:spacing w:before="0" w:line="240" w:lineRule="auto"/>
            </w:pPr>
            <w:r w:rsidRPr="00B53423">
              <w:t>h.  Initial Testing of Meters</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Disconnection and Reconnection of supply for any reason whatsoever (Disconnection &amp; Reconnection to be separately treated as single job)</w:t>
            </w:r>
          </w:p>
          <w:p w:rsidR="00D94698" w:rsidRPr="00B53423" w:rsidRDefault="00D94698" w:rsidP="0015232B">
            <w:pPr>
              <w:spacing w:before="0" w:line="240" w:lineRule="auto"/>
              <w:ind w:left="229" w:hanging="229"/>
              <w:rPr>
                <w:bCs/>
                <w:szCs w:val="26"/>
              </w:rPr>
            </w:pPr>
          </w:p>
          <w:p w:rsidR="00D94698" w:rsidRPr="00B53423" w:rsidRDefault="00D94698" w:rsidP="0015232B">
            <w:pPr>
              <w:spacing w:before="0" w:line="240" w:lineRule="auto"/>
              <w:ind w:left="229" w:hanging="229"/>
            </w:pPr>
            <w:r w:rsidRPr="00B53423">
              <w:t>a. Consumer having load above 100 BHP/75kW</w:t>
            </w:r>
          </w:p>
          <w:p w:rsidR="00D94698" w:rsidRPr="00B53423" w:rsidRDefault="00D94698" w:rsidP="0015232B">
            <w:pPr>
              <w:spacing w:before="0" w:line="240" w:lineRule="auto"/>
            </w:pPr>
            <w:r w:rsidRPr="00B53423">
              <w:t>b. Power consumers up to 100BHP/75kW</w:t>
            </w:r>
          </w:p>
          <w:p w:rsidR="00D94698" w:rsidRPr="00B53423" w:rsidRDefault="00D94698" w:rsidP="0015232B">
            <w:pPr>
              <w:spacing w:before="0" w:line="240" w:lineRule="auto"/>
            </w:pPr>
            <w:r w:rsidRPr="00B53423">
              <w:t>c. All other categories of consumers.</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Replacement of Meters:</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a. By higher capacity Meter</w:t>
            </w:r>
          </w:p>
          <w:p w:rsidR="00D94698" w:rsidRPr="00B53423" w:rsidRDefault="00D94698" w:rsidP="0015232B">
            <w:pPr>
              <w:spacing w:before="0" w:line="240" w:lineRule="auto"/>
            </w:pPr>
            <w:r w:rsidRPr="00B53423">
              <w:t>b. Installation of Meter and its subsequent</w:t>
            </w:r>
          </w:p>
          <w:p w:rsidR="00D94698" w:rsidRPr="00B53423" w:rsidRDefault="00D94698" w:rsidP="0015232B">
            <w:pPr>
              <w:spacing w:before="0" w:line="240" w:lineRule="auto"/>
            </w:pPr>
            <w:r w:rsidRPr="00B53423">
              <w:t>removal in case of Temporary     Connections</w:t>
            </w:r>
          </w:p>
          <w:p w:rsidR="00D94698" w:rsidRPr="00B53423" w:rsidRDefault="00D94698" w:rsidP="0015232B">
            <w:pPr>
              <w:spacing w:before="0" w:line="240" w:lineRule="auto"/>
            </w:pPr>
            <w:r w:rsidRPr="00B53423">
              <w:t>c. Changing of position of Meter Board at the   consumer's request</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Service of Wireman :</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a. Replacement of Fuse</w:t>
            </w:r>
          </w:p>
          <w:p w:rsidR="00D94698" w:rsidRPr="00B53423" w:rsidRDefault="00D94698" w:rsidP="0015232B">
            <w:pPr>
              <w:spacing w:before="0" w:line="240" w:lineRule="auto"/>
            </w:pPr>
            <w:proofErr w:type="gramStart"/>
            <w:r w:rsidRPr="00B53423">
              <w:t>b</w:t>
            </w:r>
            <w:proofErr w:type="gramEnd"/>
            <w:r w:rsidRPr="00B53423">
              <w:t>. Inserting and Removal of Fuse in respect   of night loads.</w:t>
            </w:r>
          </w:p>
          <w:p w:rsidR="00D94698" w:rsidRPr="00B53423" w:rsidRDefault="00D94698" w:rsidP="0015232B">
            <w:pPr>
              <w:spacing w:before="0" w:line="240" w:lineRule="auto"/>
            </w:pPr>
            <w:r w:rsidRPr="00B53423">
              <w:t>c. Hiring of services by the consumer during     temporary supply or otherwise.</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Resealing of Meters on account of any reason in addition to other charges payable in terms of other provision of charging of penalties, etc.)</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Checking of Capacitors (other than initial checking) on consumer's request:</w:t>
            </w:r>
          </w:p>
          <w:p w:rsidR="00D94698" w:rsidRPr="00B53423" w:rsidRDefault="00D94698" w:rsidP="0015232B">
            <w:pPr>
              <w:spacing w:before="0" w:line="240" w:lineRule="auto"/>
            </w:pPr>
            <w:r w:rsidRPr="00B53423">
              <w:t>a. At 400 V / 230 V</w:t>
            </w:r>
          </w:p>
          <w:p w:rsidR="00D94698" w:rsidRPr="00B53423" w:rsidRDefault="00D94698" w:rsidP="0015232B">
            <w:pPr>
              <w:spacing w:before="0" w:line="240" w:lineRule="auto"/>
            </w:pPr>
            <w:proofErr w:type="gramStart"/>
            <w:r w:rsidRPr="00B53423">
              <w:t>b</w:t>
            </w:r>
            <w:proofErr w:type="gramEnd"/>
            <w:r w:rsidRPr="00B53423">
              <w:t>. At 11 kV and above.</w:t>
            </w:r>
          </w:p>
        </w:tc>
        <w:tc>
          <w:tcPr>
            <w:tcW w:w="1764" w:type="dxa"/>
          </w:tcPr>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lang w:val="sv-SE"/>
              </w:rPr>
            </w:pPr>
          </w:p>
          <w:p w:rsidR="00D94698" w:rsidRPr="00B53423" w:rsidRDefault="00D94698" w:rsidP="0015232B">
            <w:pPr>
              <w:spacing w:before="0" w:line="240" w:lineRule="auto"/>
              <w:rPr>
                <w:lang w:val="sv-SE"/>
              </w:rPr>
            </w:pPr>
            <w:r w:rsidRPr="00B53423">
              <w:rPr>
                <w:lang w:val="sv-SE"/>
              </w:rPr>
              <w:t>Per Meter</w:t>
            </w:r>
          </w:p>
          <w:p w:rsidR="00D94698" w:rsidRPr="00B53423" w:rsidRDefault="00D94698" w:rsidP="0015232B">
            <w:pPr>
              <w:spacing w:before="0" w:line="240" w:lineRule="auto"/>
              <w:rPr>
                <w:lang w:val="sv-SE"/>
              </w:rPr>
            </w:pPr>
            <w:r w:rsidRPr="00B53423">
              <w:rPr>
                <w:lang w:val="sv-SE"/>
              </w:rPr>
              <w:t>Per Meter</w:t>
            </w:r>
          </w:p>
          <w:p w:rsidR="00D94698" w:rsidRPr="00B53423" w:rsidRDefault="00D94698" w:rsidP="0015232B">
            <w:pPr>
              <w:spacing w:before="0" w:line="240" w:lineRule="auto"/>
              <w:rPr>
                <w:lang w:val="sv-SE"/>
              </w:rPr>
            </w:pPr>
            <w:r w:rsidRPr="00B53423">
              <w:rPr>
                <w:lang w:val="sv-SE"/>
              </w:rPr>
              <w:t>Per Meter</w:t>
            </w:r>
          </w:p>
          <w:p w:rsidR="00D94698" w:rsidRPr="00B53423" w:rsidRDefault="00D94698" w:rsidP="0015232B">
            <w:pPr>
              <w:spacing w:before="0" w:line="240" w:lineRule="auto"/>
              <w:rPr>
                <w:lang w:val="sv-SE"/>
              </w:rPr>
            </w:pPr>
            <w:r w:rsidRPr="00B53423">
              <w:rPr>
                <w:lang w:val="sv-SE"/>
              </w:rPr>
              <w:t>Per Meter</w:t>
            </w:r>
          </w:p>
          <w:p w:rsidR="00D94698" w:rsidRPr="00B53423" w:rsidRDefault="00D94698" w:rsidP="0015232B">
            <w:pPr>
              <w:spacing w:before="0" w:line="240" w:lineRule="auto"/>
              <w:rPr>
                <w:lang w:val="sv-SE"/>
              </w:rPr>
            </w:pPr>
            <w:r w:rsidRPr="00B53423">
              <w:rPr>
                <w:lang w:val="sv-SE"/>
              </w:rPr>
              <w:t>Per Meter</w:t>
            </w:r>
          </w:p>
          <w:p w:rsidR="00D94698" w:rsidRPr="00B53423" w:rsidRDefault="00D94698" w:rsidP="0015232B">
            <w:pPr>
              <w:spacing w:before="0" w:line="240" w:lineRule="auto"/>
              <w:rPr>
                <w:lang w:val="sv-SE"/>
              </w:rPr>
            </w:pPr>
            <w:r w:rsidRPr="00B53423">
              <w:rPr>
                <w:lang w:val="sv-SE"/>
              </w:rPr>
              <w:t>Per Meter</w:t>
            </w:r>
          </w:p>
          <w:p w:rsidR="00D94698" w:rsidRPr="00B53423" w:rsidRDefault="00D94698" w:rsidP="0015232B">
            <w:pPr>
              <w:spacing w:before="0" w:line="240" w:lineRule="auto"/>
              <w:rPr>
                <w:lang w:val="sv-SE"/>
              </w:rPr>
            </w:pPr>
            <w:r w:rsidRPr="00B53423">
              <w:rPr>
                <w:lang w:val="sv-SE"/>
              </w:rPr>
              <w:t>Per Meter</w:t>
            </w:r>
          </w:p>
          <w:p w:rsidR="00D94698" w:rsidRPr="00B53423" w:rsidRDefault="00D94698" w:rsidP="0015232B">
            <w:pPr>
              <w:spacing w:before="0" w:line="240" w:lineRule="auto"/>
              <w:rPr>
                <w:lang w:val="sv-SE"/>
              </w:rPr>
            </w:pPr>
            <w:r w:rsidRPr="00B53423">
              <w:rPr>
                <w:lang w:val="sv-SE"/>
              </w:rPr>
              <w:t>Per Meter</w:t>
            </w:r>
          </w:p>
          <w:p w:rsidR="00D94698" w:rsidRPr="00B53423" w:rsidRDefault="00D94698" w:rsidP="0015232B">
            <w:pPr>
              <w:spacing w:before="0" w:line="240" w:lineRule="auto"/>
              <w:rPr>
                <w:bCs/>
                <w:szCs w:val="26"/>
                <w:lang w:val="sv-SE"/>
              </w:rPr>
            </w:pPr>
          </w:p>
          <w:p w:rsidR="00D94698" w:rsidRPr="00B53423" w:rsidRDefault="00D94698" w:rsidP="0015232B">
            <w:pPr>
              <w:spacing w:before="0" w:line="240" w:lineRule="auto"/>
              <w:rPr>
                <w:bCs/>
                <w:szCs w:val="26"/>
                <w:lang w:val="sv-SE"/>
              </w:rPr>
            </w:pPr>
          </w:p>
          <w:p w:rsidR="00D94698" w:rsidRPr="00B53423" w:rsidRDefault="00D94698" w:rsidP="0015232B">
            <w:pPr>
              <w:spacing w:before="0" w:line="240" w:lineRule="auto"/>
              <w:rPr>
                <w:bCs/>
                <w:szCs w:val="26"/>
                <w:lang w:val="sv-SE"/>
              </w:rPr>
            </w:pPr>
          </w:p>
          <w:p w:rsidR="00D94698" w:rsidRPr="00B53423" w:rsidRDefault="00D94698" w:rsidP="0015232B">
            <w:pPr>
              <w:spacing w:before="0" w:line="240" w:lineRule="auto"/>
              <w:rPr>
                <w:bCs/>
                <w:szCs w:val="26"/>
                <w:lang w:val="sv-SE"/>
              </w:rPr>
            </w:pPr>
          </w:p>
          <w:p w:rsidR="00D94698" w:rsidRPr="00B53423" w:rsidRDefault="00D94698" w:rsidP="0015232B">
            <w:pPr>
              <w:spacing w:before="0" w:line="240" w:lineRule="auto"/>
              <w:rPr>
                <w:bCs/>
                <w:szCs w:val="26"/>
                <w:lang w:val="sv-SE"/>
              </w:rPr>
            </w:pPr>
          </w:p>
          <w:p w:rsidR="00D94698" w:rsidRPr="00B53423" w:rsidRDefault="00D94698" w:rsidP="0015232B">
            <w:pPr>
              <w:spacing w:before="0" w:line="240" w:lineRule="auto"/>
              <w:rPr>
                <w:bCs/>
                <w:szCs w:val="26"/>
                <w:lang w:val="sv-SE"/>
              </w:rPr>
            </w:pPr>
          </w:p>
          <w:p w:rsidR="00D94698" w:rsidRPr="00B53423" w:rsidRDefault="00D94698" w:rsidP="0015232B">
            <w:pPr>
              <w:spacing w:before="0" w:line="240" w:lineRule="auto"/>
              <w:rPr>
                <w:lang w:val="sv-SE"/>
              </w:rPr>
            </w:pPr>
            <w:r w:rsidRPr="00B53423">
              <w:rPr>
                <w:lang w:val="sv-SE"/>
              </w:rPr>
              <w:t>Per Job</w:t>
            </w:r>
          </w:p>
          <w:p w:rsidR="00D94698" w:rsidRPr="00B53423" w:rsidRDefault="00D94698" w:rsidP="0015232B">
            <w:pPr>
              <w:spacing w:before="0" w:line="240" w:lineRule="auto"/>
            </w:pPr>
            <w:r w:rsidRPr="00B53423">
              <w:t>Per Job</w:t>
            </w:r>
          </w:p>
          <w:p w:rsidR="00D94698" w:rsidRPr="00B53423" w:rsidRDefault="00D94698" w:rsidP="0015232B">
            <w:pPr>
              <w:spacing w:before="0" w:line="240" w:lineRule="auto"/>
            </w:pPr>
            <w:r w:rsidRPr="00B53423">
              <w:t>Per Job</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Per Job</w:t>
            </w:r>
          </w:p>
          <w:p w:rsidR="00D94698" w:rsidRPr="00B53423" w:rsidRDefault="00D94698" w:rsidP="0015232B">
            <w:pPr>
              <w:spacing w:before="0" w:line="240" w:lineRule="auto"/>
            </w:pPr>
            <w:r w:rsidRPr="00B53423">
              <w:t>Per Job</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Per Job</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Per Job</w:t>
            </w:r>
          </w:p>
          <w:p w:rsidR="00D94698" w:rsidRPr="00B53423" w:rsidRDefault="00D94698" w:rsidP="0015232B">
            <w:pPr>
              <w:spacing w:before="0" w:line="240" w:lineRule="auto"/>
            </w:pPr>
            <w:r w:rsidRPr="00B53423">
              <w:t>Per Job</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 xml:space="preserve">Per wireman /day of 6 Hrs. </w:t>
            </w:r>
          </w:p>
          <w:p w:rsidR="00D94698" w:rsidRPr="00B53423" w:rsidRDefault="00D94698" w:rsidP="0015232B">
            <w:pPr>
              <w:spacing w:before="0" w:line="240" w:lineRule="auto"/>
            </w:pPr>
            <w:r w:rsidRPr="00B53423">
              <w:t>Per Meter</w:t>
            </w: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rPr>
                <w:bCs/>
                <w:szCs w:val="26"/>
              </w:rPr>
            </w:pPr>
          </w:p>
          <w:p w:rsidR="00D94698" w:rsidRPr="00B53423" w:rsidRDefault="00D94698" w:rsidP="0015232B">
            <w:pPr>
              <w:spacing w:before="0" w:line="240" w:lineRule="auto"/>
            </w:pPr>
            <w:r w:rsidRPr="00B53423">
              <w:t>Per Job</w:t>
            </w:r>
          </w:p>
          <w:p w:rsidR="00D94698" w:rsidRPr="00B53423" w:rsidRDefault="00D94698" w:rsidP="0015232B">
            <w:pPr>
              <w:spacing w:before="0" w:line="240" w:lineRule="auto"/>
            </w:pPr>
            <w:r w:rsidRPr="00B53423">
              <w:t>Per Job</w:t>
            </w:r>
          </w:p>
        </w:tc>
        <w:tc>
          <w:tcPr>
            <w:tcW w:w="2031" w:type="dxa"/>
          </w:tcPr>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r w:rsidRPr="00B53423">
              <w:t>50.00</w:t>
            </w:r>
          </w:p>
          <w:p w:rsidR="00D94698" w:rsidRPr="00B53423" w:rsidRDefault="00D94698" w:rsidP="0015232B">
            <w:pPr>
              <w:spacing w:before="0" w:line="240" w:lineRule="auto"/>
            </w:pPr>
            <w:r w:rsidRPr="00B53423">
              <w:t>50.00</w:t>
            </w:r>
          </w:p>
          <w:p w:rsidR="00D94698" w:rsidRPr="00B53423" w:rsidRDefault="00D94698" w:rsidP="0015232B">
            <w:pPr>
              <w:spacing w:before="0" w:line="240" w:lineRule="auto"/>
            </w:pPr>
            <w:r w:rsidRPr="00B53423">
              <w:t>175.00</w:t>
            </w:r>
          </w:p>
          <w:p w:rsidR="00D94698" w:rsidRPr="00B53423" w:rsidRDefault="00D94698" w:rsidP="0015232B">
            <w:pPr>
              <w:spacing w:before="0" w:line="240" w:lineRule="auto"/>
            </w:pPr>
            <w:r w:rsidRPr="00B53423">
              <w:t>350.00</w:t>
            </w:r>
          </w:p>
          <w:p w:rsidR="00D94698" w:rsidRPr="00B53423" w:rsidRDefault="00D94698" w:rsidP="0015232B">
            <w:pPr>
              <w:spacing w:before="0" w:line="240" w:lineRule="auto"/>
            </w:pPr>
            <w:r w:rsidRPr="00B53423">
              <w:t>1000.00</w:t>
            </w:r>
          </w:p>
          <w:p w:rsidR="00D94698" w:rsidRPr="00B53423" w:rsidRDefault="00D94698" w:rsidP="0015232B">
            <w:pPr>
              <w:spacing w:before="0" w:line="240" w:lineRule="auto"/>
            </w:pPr>
            <w:r w:rsidRPr="00B53423">
              <w:t>50.00</w:t>
            </w:r>
          </w:p>
          <w:p w:rsidR="00D94698" w:rsidRPr="00B53423" w:rsidRDefault="00D94698" w:rsidP="0015232B">
            <w:pPr>
              <w:spacing w:before="0" w:line="240" w:lineRule="auto"/>
            </w:pPr>
            <w:r w:rsidRPr="00B53423">
              <w:t>400.00</w:t>
            </w:r>
          </w:p>
          <w:p w:rsidR="00D94698" w:rsidRPr="00B53423" w:rsidRDefault="00D94698" w:rsidP="0015232B">
            <w:pPr>
              <w:spacing w:before="0" w:line="240" w:lineRule="auto"/>
            </w:pPr>
            <w:r w:rsidRPr="00B53423">
              <w:t>Nil</w:t>
            </w: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r w:rsidRPr="00B53423">
              <w:t>500.00</w:t>
            </w:r>
          </w:p>
          <w:p w:rsidR="00D94698" w:rsidRPr="00B53423" w:rsidRDefault="00D94698" w:rsidP="0015232B">
            <w:pPr>
              <w:spacing w:before="0" w:line="240" w:lineRule="auto"/>
            </w:pPr>
            <w:r w:rsidRPr="00B53423">
              <w:t>275.00</w:t>
            </w:r>
          </w:p>
          <w:p w:rsidR="00D94698" w:rsidRPr="00B53423" w:rsidRDefault="00D94698" w:rsidP="0015232B">
            <w:pPr>
              <w:spacing w:before="0" w:line="240" w:lineRule="auto"/>
            </w:pPr>
            <w:r w:rsidRPr="00B53423">
              <w:t>150.00</w:t>
            </w: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r w:rsidRPr="00B53423">
              <w:t>50.00</w:t>
            </w:r>
          </w:p>
          <w:p w:rsidR="00D94698" w:rsidRPr="00B53423" w:rsidRDefault="00D94698" w:rsidP="0015232B">
            <w:pPr>
              <w:spacing w:before="0" w:line="240" w:lineRule="auto"/>
            </w:pPr>
            <w:r w:rsidRPr="00B53423">
              <w:t>75.00</w:t>
            </w:r>
          </w:p>
          <w:p w:rsidR="00D94698" w:rsidRPr="00B53423" w:rsidRDefault="00D94698" w:rsidP="0015232B">
            <w:pPr>
              <w:spacing w:before="0" w:line="240" w:lineRule="auto"/>
            </w:pPr>
          </w:p>
          <w:p w:rsidR="00D94698" w:rsidRPr="00B53423" w:rsidRDefault="00D94698" w:rsidP="0015232B">
            <w:pPr>
              <w:spacing w:before="0" w:line="240" w:lineRule="auto"/>
            </w:pPr>
            <w:r w:rsidRPr="00B53423">
              <w:t>100.00</w:t>
            </w: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r w:rsidRPr="00B53423">
              <w:t>20.00</w:t>
            </w:r>
          </w:p>
          <w:p w:rsidR="00D94698" w:rsidRPr="00B53423" w:rsidRDefault="00D94698" w:rsidP="0015232B">
            <w:pPr>
              <w:spacing w:before="0" w:line="240" w:lineRule="auto"/>
            </w:pPr>
            <w:r w:rsidRPr="00B53423">
              <w:t>25.00</w:t>
            </w:r>
          </w:p>
          <w:p w:rsidR="00D94698" w:rsidRPr="00B53423" w:rsidRDefault="00D94698" w:rsidP="0015232B">
            <w:pPr>
              <w:spacing w:before="0" w:line="240" w:lineRule="auto"/>
            </w:pPr>
          </w:p>
          <w:p w:rsidR="00D94698" w:rsidRPr="00B53423" w:rsidRDefault="00D94698" w:rsidP="0015232B">
            <w:pPr>
              <w:spacing w:before="0" w:line="240" w:lineRule="auto"/>
            </w:pPr>
            <w:r w:rsidRPr="00B53423">
              <w:t>60.00</w:t>
            </w: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r w:rsidRPr="00B53423">
              <w:t>100.00</w:t>
            </w: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p>
          <w:p w:rsidR="00D94698" w:rsidRPr="00B53423" w:rsidRDefault="00D94698" w:rsidP="0015232B">
            <w:pPr>
              <w:spacing w:before="0" w:line="240" w:lineRule="auto"/>
            </w:pPr>
            <w:r w:rsidRPr="00B53423">
              <w:t>100.00</w:t>
            </w:r>
          </w:p>
          <w:p w:rsidR="00D94698" w:rsidRPr="00B53423" w:rsidRDefault="00D94698" w:rsidP="0015232B">
            <w:pPr>
              <w:spacing w:before="0" w:line="240" w:lineRule="auto"/>
            </w:pPr>
            <w:r w:rsidRPr="00B53423">
              <w:t>200.00</w:t>
            </w:r>
          </w:p>
        </w:tc>
      </w:tr>
    </w:tbl>
    <w:p w:rsidR="00D94698" w:rsidRPr="00B53423" w:rsidRDefault="00D94698" w:rsidP="0015232B">
      <w:pPr>
        <w:spacing w:before="0"/>
        <w:jc w:val="center"/>
        <w:rPr>
          <w:rFonts w:ascii="Georgia" w:hAnsi="Georgia"/>
          <w:b/>
          <w:u w:val="single"/>
        </w:rPr>
      </w:pPr>
    </w:p>
    <w:p w:rsidR="00D94698" w:rsidRPr="00B53423" w:rsidRDefault="00D94698" w:rsidP="0015232B">
      <w:pPr>
        <w:rPr>
          <w:b/>
          <w:u w:val="single"/>
        </w:rPr>
      </w:pPr>
      <w:r w:rsidRPr="00B53423">
        <w:rPr>
          <w:b/>
          <w:u w:val="single"/>
        </w:rPr>
        <w:t>CHARGES FOR TATKAL VIDYUT SANYOJAN (TATKAL CONNECTION):</w:t>
      </w:r>
    </w:p>
    <w:p w:rsidR="00D94698" w:rsidRPr="00B53423" w:rsidRDefault="00D94698" w:rsidP="0015232B">
      <w:r w:rsidRPr="00B53423">
        <w:t>For urban consumers of LMV-1, LMV-2 and LMV-9 categories, desirous of getting connection within 24 hours of making the application, provided such release of connection does not require extension of distribution mains or commissioning of sub-station or augmenting capacity of transformers, shall have to pay following additional charges apart from the regular connection charges:</w:t>
      </w:r>
    </w:p>
    <w:p w:rsidR="00D94698" w:rsidRPr="00B53423" w:rsidRDefault="00D94698" w:rsidP="0015232B"/>
    <w:p w:rsidR="00D94698" w:rsidRPr="00B53423" w:rsidRDefault="00D94698" w:rsidP="000174C0">
      <w:pPr>
        <w:numPr>
          <w:ilvl w:val="0"/>
          <w:numId w:val="87"/>
        </w:numPr>
        <w:spacing w:before="0"/>
        <w:rPr>
          <w:b/>
        </w:rPr>
      </w:pPr>
      <w:r w:rsidRPr="00B53423">
        <w:rPr>
          <w:b/>
        </w:rPr>
        <w:t>FOR PERMANENT ELECTRICITY CONNECTION:</w:t>
      </w:r>
    </w:p>
    <w:p w:rsidR="00D94698" w:rsidRPr="00B53423" w:rsidRDefault="00D94698" w:rsidP="000174C0">
      <w:pPr>
        <w:numPr>
          <w:ilvl w:val="1"/>
          <w:numId w:val="87"/>
        </w:numPr>
        <w:spacing w:before="0"/>
      </w:pPr>
      <w:r w:rsidRPr="00B53423">
        <w:t xml:space="preserve">Single Phase Domestic light and fan </w:t>
      </w:r>
      <w:r w:rsidRPr="00B53423">
        <w:tab/>
      </w:r>
      <w:r w:rsidRPr="00B53423">
        <w:tab/>
        <w:t>: Rs. 500 per connection</w:t>
      </w:r>
    </w:p>
    <w:p w:rsidR="00D94698" w:rsidRPr="00B53423" w:rsidRDefault="00D94698" w:rsidP="000174C0">
      <w:pPr>
        <w:numPr>
          <w:ilvl w:val="1"/>
          <w:numId w:val="87"/>
        </w:numPr>
        <w:spacing w:before="0"/>
      </w:pPr>
      <w:r w:rsidRPr="00B53423">
        <w:t>Three Phase Domestic light and fan</w:t>
      </w:r>
      <w:r w:rsidRPr="00B53423">
        <w:tab/>
      </w:r>
      <w:r w:rsidRPr="00B53423">
        <w:tab/>
        <w:t>: Rs. 750 per connection</w:t>
      </w:r>
    </w:p>
    <w:p w:rsidR="00D94698" w:rsidRPr="00B53423" w:rsidRDefault="00D94698" w:rsidP="000174C0">
      <w:pPr>
        <w:numPr>
          <w:ilvl w:val="1"/>
          <w:numId w:val="87"/>
        </w:numPr>
        <w:spacing w:before="0"/>
      </w:pPr>
      <w:r w:rsidRPr="00B53423">
        <w:t>Single Phase Commercial</w:t>
      </w:r>
      <w:r w:rsidRPr="00B53423">
        <w:tab/>
      </w:r>
      <w:r w:rsidRPr="00B53423">
        <w:tab/>
      </w:r>
      <w:r w:rsidRPr="00B53423">
        <w:tab/>
        <w:t>: Rs. 750 per connection</w:t>
      </w:r>
    </w:p>
    <w:p w:rsidR="00D94698" w:rsidRPr="00B53423" w:rsidRDefault="00D94698" w:rsidP="000174C0">
      <w:pPr>
        <w:numPr>
          <w:ilvl w:val="1"/>
          <w:numId w:val="87"/>
        </w:numPr>
        <w:spacing w:before="0"/>
      </w:pPr>
      <w:r w:rsidRPr="00B53423">
        <w:t>Three Phase Commercial</w:t>
      </w:r>
      <w:r w:rsidRPr="00B53423">
        <w:tab/>
      </w:r>
      <w:r w:rsidRPr="00B53423">
        <w:tab/>
      </w:r>
      <w:r w:rsidRPr="00B53423">
        <w:tab/>
        <w:t>: Rs. 1000 per connection</w:t>
      </w:r>
    </w:p>
    <w:p w:rsidR="00D94698" w:rsidRPr="00B53423" w:rsidRDefault="00D94698" w:rsidP="0015232B"/>
    <w:p w:rsidR="00D94698" w:rsidRPr="00B53423" w:rsidRDefault="00D94698" w:rsidP="000174C0">
      <w:pPr>
        <w:numPr>
          <w:ilvl w:val="0"/>
          <w:numId w:val="87"/>
        </w:numPr>
        <w:spacing w:before="0"/>
        <w:rPr>
          <w:b/>
        </w:rPr>
      </w:pPr>
      <w:r w:rsidRPr="00B53423">
        <w:rPr>
          <w:b/>
        </w:rPr>
        <w:t>FOR TEMPORARY ELECTRICITY CONNECTION:</w:t>
      </w:r>
    </w:p>
    <w:p w:rsidR="00D94698" w:rsidRPr="00B53423" w:rsidRDefault="00D94698" w:rsidP="000174C0">
      <w:pPr>
        <w:numPr>
          <w:ilvl w:val="1"/>
          <w:numId w:val="87"/>
        </w:numPr>
        <w:spacing w:before="0"/>
      </w:pPr>
      <w:r w:rsidRPr="00B53423">
        <w:t>Single Phase (Up to 4 kW)</w:t>
      </w:r>
      <w:r w:rsidRPr="00B53423">
        <w:tab/>
      </w:r>
      <w:r w:rsidRPr="00B53423">
        <w:tab/>
      </w:r>
      <w:r w:rsidRPr="00B53423">
        <w:tab/>
        <w:t>: Rs. 750 per connection</w:t>
      </w:r>
    </w:p>
    <w:p w:rsidR="00D94698" w:rsidRPr="00B53423" w:rsidRDefault="00D94698" w:rsidP="000174C0">
      <w:pPr>
        <w:numPr>
          <w:ilvl w:val="1"/>
          <w:numId w:val="87"/>
        </w:numPr>
        <w:spacing w:before="0"/>
      </w:pPr>
      <w:r w:rsidRPr="00B53423">
        <w:t>Three Phase (from 5 kW to 24 kW)</w:t>
      </w:r>
      <w:r w:rsidRPr="00B53423">
        <w:tab/>
      </w:r>
      <w:r w:rsidRPr="00B53423">
        <w:tab/>
        <w:t>: Rs. 1000 per connection</w:t>
      </w:r>
    </w:p>
    <w:p w:rsidR="00D94698" w:rsidRPr="00B53423" w:rsidRDefault="00D94698" w:rsidP="0015232B"/>
    <w:p w:rsidR="00D94698" w:rsidRPr="00B53423" w:rsidRDefault="00D94698" w:rsidP="0015232B">
      <w:pPr>
        <w:sectPr w:rsidR="00D94698" w:rsidRPr="00B53423" w:rsidSect="00E93F0F">
          <w:footerReference w:type="default" r:id="rId34"/>
          <w:pgSz w:w="11909" w:h="16834" w:code="9"/>
          <w:pgMar w:top="992" w:right="1440" w:bottom="1440" w:left="1729" w:header="720" w:footer="720" w:gutter="0"/>
          <w:cols w:space="720"/>
          <w:docGrid w:linePitch="360"/>
        </w:sectPr>
      </w:pPr>
    </w:p>
    <w:p w:rsidR="005B31C0" w:rsidRPr="00B53423" w:rsidRDefault="00BC60A3" w:rsidP="0015232B">
      <w:pPr>
        <w:pStyle w:val="Heading2"/>
        <w:keepNext w:val="0"/>
        <w:ind w:left="810" w:hanging="1170"/>
        <w:rPr>
          <w:rFonts w:ascii="Calibri" w:hAnsi="Calibri" w:cs="Arial"/>
          <w:color w:val="auto"/>
          <w:kern w:val="32"/>
          <w:szCs w:val="32"/>
        </w:rPr>
      </w:pPr>
      <w:bookmarkStart w:id="1035" w:name="_Toc357714436"/>
      <w:bookmarkStart w:id="1036" w:name="_Toc357720912"/>
      <w:bookmarkStart w:id="1037" w:name="_Toc399320617"/>
      <w:bookmarkStart w:id="1038" w:name="_Ref399326723"/>
      <w:bookmarkStart w:id="1039" w:name="_Toc399626260"/>
      <w:r w:rsidRPr="00B53423">
        <w:rPr>
          <w:rFonts w:ascii="Calibri" w:hAnsi="Calibri" w:cs="Arial"/>
          <w:color w:val="auto"/>
          <w:kern w:val="32"/>
          <w:szCs w:val="32"/>
        </w:rPr>
        <w:t>LIST OF POWER FACTOR APPARATUS</w:t>
      </w:r>
      <w:bookmarkEnd w:id="1035"/>
      <w:bookmarkEnd w:id="1036"/>
      <w:bookmarkEnd w:id="1037"/>
      <w:bookmarkEnd w:id="1038"/>
      <w:bookmarkEnd w:id="1039"/>
    </w:p>
    <w:p w:rsidR="00D94698" w:rsidRPr="00B53423" w:rsidRDefault="00D94698" w:rsidP="0015232B">
      <w:pPr>
        <w:ind w:left="810"/>
        <w:rPr>
          <w:b/>
          <w:u w:val="single"/>
        </w:rPr>
      </w:pPr>
      <w:r w:rsidRPr="00B53423">
        <w:rPr>
          <w:b/>
          <w:u w:val="single"/>
        </w:rPr>
        <w:t>FOR MOTORS:</w:t>
      </w:r>
    </w:p>
    <w:p w:rsidR="00D94698" w:rsidRPr="00B53423" w:rsidRDefault="00D94698" w:rsidP="0015232B">
      <w:pPr>
        <w:ind w:left="360"/>
        <w:rPr>
          <w:b/>
          <w:u w:val="single"/>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1038"/>
        <w:gridCol w:w="2104"/>
        <w:gridCol w:w="1350"/>
        <w:gridCol w:w="1350"/>
        <w:gridCol w:w="1260"/>
        <w:gridCol w:w="1482"/>
      </w:tblGrid>
      <w:tr w:rsidR="00D94698" w:rsidRPr="00B53423" w:rsidTr="00E93F0F">
        <w:trPr>
          <w:cantSplit/>
          <w:tblHeader/>
          <w:jc w:val="center"/>
        </w:trPr>
        <w:tc>
          <w:tcPr>
            <w:tcW w:w="1038" w:type="dxa"/>
            <w:vMerge w:val="restart"/>
            <w:shd w:val="clear" w:color="000000" w:fill="DBE5F1"/>
          </w:tcPr>
          <w:p w:rsidR="00D94698" w:rsidRPr="00B53423" w:rsidRDefault="00D94698" w:rsidP="0015232B">
            <w:pPr>
              <w:jc w:val="center"/>
            </w:pPr>
            <w:r w:rsidRPr="00B53423">
              <w:rPr>
                <w:b/>
              </w:rPr>
              <w:t>Sl. No.</w:t>
            </w:r>
          </w:p>
        </w:tc>
        <w:tc>
          <w:tcPr>
            <w:tcW w:w="2104" w:type="dxa"/>
            <w:vMerge w:val="restart"/>
            <w:shd w:val="clear" w:color="000000" w:fill="DBE5F1"/>
          </w:tcPr>
          <w:p w:rsidR="00D94698" w:rsidRPr="00B53423" w:rsidRDefault="00D94698" w:rsidP="0015232B">
            <w:pPr>
              <w:jc w:val="center"/>
            </w:pPr>
            <w:r w:rsidRPr="00B53423">
              <w:rPr>
                <w:b/>
              </w:rPr>
              <w:t>Rating of Individual Motor</w:t>
            </w:r>
          </w:p>
        </w:tc>
        <w:tc>
          <w:tcPr>
            <w:tcW w:w="5442" w:type="dxa"/>
            <w:gridSpan w:val="4"/>
            <w:tcBorders>
              <w:bottom w:val="dotted" w:sz="4" w:space="0" w:color="auto"/>
            </w:tcBorders>
            <w:shd w:val="clear" w:color="000000" w:fill="DBE5F1"/>
          </w:tcPr>
          <w:p w:rsidR="00D94698" w:rsidRPr="00B53423" w:rsidRDefault="00D94698" w:rsidP="0015232B">
            <w:pPr>
              <w:jc w:val="center"/>
              <w:rPr>
                <w:b/>
              </w:rPr>
            </w:pPr>
            <w:r w:rsidRPr="00B53423">
              <w:rPr>
                <w:b/>
              </w:rPr>
              <w:t>KVAR Rating of Capacitor</w:t>
            </w:r>
          </w:p>
        </w:tc>
      </w:tr>
      <w:tr w:rsidR="00D94698" w:rsidRPr="00B53423" w:rsidTr="00E93F0F">
        <w:trPr>
          <w:cantSplit/>
          <w:tblHeader/>
          <w:jc w:val="center"/>
        </w:trPr>
        <w:tc>
          <w:tcPr>
            <w:tcW w:w="1038" w:type="dxa"/>
            <w:vMerge/>
          </w:tcPr>
          <w:p w:rsidR="00D94698" w:rsidRPr="00B53423" w:rsidRDefault="00D94698" w:rsidP="0015232B">
            <w:pPr>
              <w:jc w:val="center"/>
            </w:pPr>
          </w:p>
        </w:tc>
        <w:tc>
          <w:tcPr>
            <w:tcW w:w="2104" w:type="dxa"/>
            <w:vMerge/>
          </w:tcPr>
          <w:p w:rsidR="00D94698" w:rsidRPr="00B53423" w:rsidRDefault="00D94698" w:rsidP="0015232B">
            <w:pPr>
              <w:jc w:val="center"/>
            </w:pPr>
          </w:p>
        </w:tc>
        <w:tc>
          <w:tcPr>
            <w:tcW w:w="1350" w:type="dxa"/>
            <w:shd w:val="clear" w:color="auto" w:fill="DBE5F1"/>
          </w:tcPr>
          <w:p w:rsidR="00D94698" w:rsidRPr="00B53423" w:rsidRDefault="00D94698" w:rsidP="0015232B">
            <w:pPr>
              <w:jc w:val="center"/>
              <w:rPr>
                <w:b/>
              </w:rPr>
            </w:pPr>
            <w:r w:rsidRPr="00B53423">
              <w:rPr>
                <w:b/>
              </w:rPr>
              <w:t>750 RPM</w:t>
            </w:r>
          </w:p>
        </w:tc>
        <w:tc>
          <w:tcPr>
            <w:tcW w:w="1350" w:type="dxa"/>
            <w:shd w:val="clear" w:color="auto" w:fill="DBE5F1"/>
          </w:tcPr>
          <w:p w:rsidR="00D94698" w:rsidRPr="00B53423" w:rsidRDefault="00D94698" w:rsidP="0015232B">
            <w:pPr>
              <w:jc w:val="center"/>
              <w:rPr>
                <w:b/>
              </w:rPr>
            </w:pPr>
            <w:r w:rsidRPr="00B53423">
              <w:rPr>
                <w:b/>
              </w:rPr>
              <w:t>1000 RPM</w:t>
            </w:r>
          </w:p>
        </w:tc>
        <w:tc>
          <w:tcPr>
            <w:tcW w:w="1260" w:type="dxa"/>
            <w:shd w:val="clear" w:color="auto" w:fill="DBE5F1"/>
          </w:tcPr>
          <w:p w:rsidR="00D94698" w:rsidRPr="00B53423" w:rsidRDefault="00D94698" w:rsidP="0015232B">
            <w:pPr>
              <w:jc w:val="center"/>
              <w:rPr>
                <w:b/>
              </w:rPr>
            </w:pPr>
            <w:r w:rsidRPr="00B53423">
              <w:rPr>
                <w:b/>
              </w:rPr>
              <w:t>1500 RPM</w:t>
            </w:r>
          </w:p>
        </w:tc>
        <w:tc>
          <w:tcPr>
            <w:tcW w:w="1482" w:type="dxa"/>
            <w:shd w:val="clear" w:color="auto" w:fill="DBE5F1"/>
          </w:tcPr>
          <w:p w:rsidR="00D94698" w:rsidRPr="00B53423" w:rsidRDefault="00D94698" w:rsidP="0015232B">
            <w:pPr>
              <w:jc w:val="center"/>
              <w:rPr>
                <w:b/>
              </w:rPr>
            </w:pPr>
            <w:r w:rsidRPr="00B53423">
              <w:rPr>
                <w:b/>
              </w:rPr>
              <w:t>3000 RPM</w:t>
            </w:r>
          </w:p>
        </w:tc>
      </w:tr>
      <w:tr w:rsidR="00D94698" w:rsidRPr="00B53423" w:rsidTr="00E93F0F">
        <w:trPr>
          <w:cantSplit/>
          <w:jc w:val="center"/>
        </w:trPr>
        <w:tc>
          <w:tcPr>
            <w:tcW w:w="1038" w:type="dxa"/>
          </w:tcPr>
          <w:p w:rsidR="00D94698" w:rsidRPr="00B53423" w:rsidRDefault="00D94698" w:rsidP="0015232B">
            <w:pPr>
              <w:jc w:val="center"/>
            </w:pPr>
            <w:r w:rsidRPr="00B53423">
              <w:t>1.</w:t>
            </w:r>
          </w:p>
        </w:tc>
        <w:tc>
          <w:tcPr>
            <w:tcW w:w="2104" w:type="dxa"/>
          </w:tcPr>
          <w:p w:rsidR="00D94698" w:rsidRPr="00B53423" w:rsidRDefault="00D94698" w:rsidP="0015232B">
            <w:pPr>
              <w:jc w:val="center"/>
            </w:pPr>
            <w:r w:rsidRPr="00B53423">
              <w:t>Up to 3 HP</w:t>
            </w:r>
          </w:p>
        </w:tc>
        <w:tc>
          <w:tcPr>
            <w:tcW w:w="1350" w:type="dxa"/>
          </w:tcPr>
          <w:p w:rsidR="00D94698" w:rsidRPr="00B53423" w:rsidRDefault="00D94698" w:rsidP="0015232B">
            <w:pPr>
              <w:jc w:val="center"/>
            </w:pPr>
            <w:r w:rsidRPr="00B53423">
              <w:t>1</w:t>
            </w:r>
          </w:p>
        </w:tc>
        <w:tc>
          <w:tcPr>
            <w:tcW w:w="1350" w:type="dxa"/>
          </w:tcPr>
          <w:p w:rsidR="00D94698" w:rsidRPr="00B53423" w:rsidRDefault="00D94698" w:rsidP="0015232B">
            <w:pPr>
              <w:jc w:val="center"/>
            </w:pPr>
            <w:r w:rsidRPr="00B53423">
              <w:t>1</w:t>
            </w:r>
          </w:p>
        </w:tc>
        <w:tc>
          <w:tcPr>
            <w:tcW w:w="1260" w:type="dxa"/>
          </w:tcPr>
          <w:p w:rsidR="00D94698" w:rsidRPr="00B53423" w:rsidRDefault="00D94698" w:rsidP="0015232B">
            <w:pPr>
              <w:jc w:val="center"/>
            </w:pPr>
            <w:r w:rsidRPr="00B53423">
              <w:t>1</w:t>
            </w:r>
          </w:p>
        </w:tc>
        <w:tc>
          <w:tcPr>
            <w:tcW w:w="1482" w:type="dxa"/>
          </w:tcPr>
          <w:p w:rsidR="00D94698" w:rsidRPr="00B53423" w:rsidRDefault="00D94698" w:rsidP="0015232B">
            <w:pPr>
              <w:jc w:val="center"/>
            </w:pPr>
            <w:r w:rsidRPr="00B53423">
              <w:t>1</w:t>
            </w:r>
          </w:p>
        </w:tc>
      </w:tr>
      <w:tr w:rsidR="00D94698" w:rsidRPr="00B53423" w:rsidTr="00E93F0F">
        <w:trPr>
          <w:cantSplit/>
          <w:jc w:val="center"/>
        </w:trPr>
        <w:tc>
          <w:tcPr>
            <w:tcW w:w="1038" w:type="dxa"/>
          </w:tcPr>
          <w:p w:rsidR="00D94698" w:rsidRPr="00B53423" w:rsidRDefault="00D94698" w:rsidP="0015232B">
            <w:pPr>
              <w:jc w:val="center"/>
            </w:pPr>
            <w:r w:rsidRPr="00B53423">
              <w:t>2.</w:t>
            </w:r>
          </w:p>
        </w:tc>
        <w:tc>
          <w:tcPr>
            <w:tcW w:w="2104" w:type="dxa"/>
          </w:tcPr>
          <w:p w:rsidR="00D94698" w:rsidRPr="00B53423" w:rsidRDefault="00D94698" w:rsidP="0015232B">
            <w:pPr>
              <w:jc w:val="center"/>
            </w:pPr>
            <w:r w:rsidRPr="00B53423">
              <w:t>5 HP</w:t>
            </w:r>
          </w:p>
        </w:tc>
        <w:tc>
          <w:tcPr>
            <w:tcW w:w="1350" w:type="dxa"/>
          </w:tcPr>
          <w:p w:rsidR="00D94698" w:rsidRPr="00B53423" w:rsidRDefault="00D94698" w:rsidP="0015232B">
            <w:pPr>
              <w:jc w:val="center"/>
            </w:pPr>
            <w:r w:rsidRPr="00B53423">
              <w:t>2</w:t>
            </w:r>
          </w:p>
        </w:tc>
        <w:tc>
          <w:tcPr>
            <w:tcW w:w="1350" w:type="dxa"/>
          </w:tcPr>
          <w:p w:rsidR="00D94698" w:rsidRPr="00B53423" w:rsidRDefault="00D94698" w:rsidP="0015232B">
            <w:pPr>
              <w:jc w:val="center"/>
            </w:pPr>
            <w:r w:rsidRPr="00B53423">
              <w:t>2</w:t>
            </w:r>
          </w:p>
        </w:tc>
        <w:tc>
          <w:tcPr>
            <w:tcW w:w="1260" w:type="dxa"/>
          </w:tcPr>
          <w:p w:rsidR="00D94698" w:rsidRPr="00B53423" w:rsidRDefault="00D94698" w:rsidP="0015232B">
            <w:pPr>
              <w:jc w:val="center"/>
            </w:pPr>
            <w:r w:rsidRPr="00B53423">
              <w:t>2</w:t>
            </w:r>
          </w:p>
        </w:tc>
        <w:tc>
          <w:tcPr>
            <w:tcW w:w="1482" w:type="dxa"/>
          </w:tcPr>
          <w:p w:rsidR="00D94698" w:rsidRPr="00B53423" w:rsidRDefault="00D94698" w:rsidP="0015232B">
            <w:pPr>
              <w:jc w:val="center"/>
            </w:pPr>
            <w:r w:rsidRPr="00B53423">
              <w:t>2</w:t>
            </w:r>
          </w:p>
        </w:tc>
      </w:tr>
      <w:tr w:rsidR="00D94698" w:rsidRPr="00B53423" w:rsidTr="00E93F0F">
        <w:trPr>
          <w:cantSplit/>
          <w:jc w:val="center"/>
        </w:trPr>
        <w:tc>
          <w:tcPr>
            <w:tcW w:w="1038" w:type="dxa"/>
          </w:tcPr>
          <w:p w:rsidR="00D94698" w:rsidRPr="00B53423" w:rsidRDefault="00D94698" w:rsidP="0015232B">
            <w:pPr>
              <w:jc w:val="center"/>
            </w:pPr>
            <w:r w:rsidRPr="00B53423">
              <w:t>3.</w:t>
            </w:r>
          </w:p>
        </w:tc>
        <w:tc>
          <w:tcPr>
            <w:tcW w:w="2104" w:type="dxa"/>
          </w:tcPr>
          <w:p w:rsidR="00D94698" w:rsidRPr="00B53423" w:rsidRDefault="00D94698" w:rsidP="0015232B">
            <w:pPr>
              <w:jc w:val="center"/>
            </w:pPr>
            <w:r w:rsidRPr="00B53423">
              <w:t>7.5 HP</w:t>
            </w:r>
          </w:p>
        </w:tc>
        <w:tc>
          <w:tcPr>
            <w:tcW w:w="1350" w:type="dxa"/>
          </w:tcPr>
          <w:p w:rsidR="00D94698" w:rsidRPr="00B53423" w:rsidRDefault="00D94698" w:rsidP="0015232B">
            <w:pPr>
              <w:jc w:val="center"/>
            </w:pPr>
            <w:r w:rsidRPr="00B53423">
              <w:t>3</w:t>
            </w:r>
          </w:p>
        </w:tc>
        <w:tc>
          <w:tcPr>
            <w:tcW w:w="1350" w:type="dxa"/>
          </w:tcPr>
          <w:p w:rsidR="00D94698" w:rsidRPr="00B53423" w:rsidRDefault="00D94698" w:rsidP="0015232B">
            <w:pPr>
              <w:jc w:val="center"/>
            </w:pPr>
            <w:r w:rsidRPr="00B53423">
              <w:t>3</w:t>
            </w:r>
          </w:p>
        </w:tc>
        <w:tc>
          <w:tcPr>
            <w:tcW w:w="1260" w:type="dxa"/>
          </w:tcPr>
          <w:p w:rsidR="00D94698" w:rsidRPr="00B53423" w:rsidRDefault="00D94698" w:rsidP="0015232B">
            <w:pPr>
              <w:jc w:val="center"/>
            </w:pPr>
            <w:r w:rsidRPr="00B53423">
              <w:t>3</w:t>
            </w:r>
          </w:p>
        </w:tc>
        <w:tc>
          <w:tcPr>
            <w:tcW w:w="1482" w:type="dxa"/>
          </w:tcPr>
          <w:p w:rsidR="00D94698" w:rsidRPr="00B53423" w:rsidRDefault="00D94698" w:rsidP="0015232B">
            <w:pPr>
              <w:jc w:val="center"/>
            </w:pPr>
            <w:r w:rsidRPr="00B53423">
              <w:t>3</w:t>
            </w:r>
          </w:p>
        </w:tc>
      </w:tr>
      <w:tr w:rsidR="00D94698" w:rsidRPr="00B53423" w:rsidTr="00E93F0F">
        <w:trPr>
          <w:cantSplit/>
          <w:jc w:val="center"/>
        </w:trPr>
        <w:tc>
          <w:tcPr>
            <w:tcW w:w="1038" w:type="dxa"/>
          </w:tcPr>
          <w:p w:rsidR="00D94698" w:rsidRPr="00B53423" w:rsidRDefault="00D94698" w:rsidP="0015232B">
            <w:pPr>
              <w:jc w:val="center"/>
            </w:pPr>
            <w:r w:rsidRPr="00B53423">
              <w:t>4.</w:t>
            </w:r>
          </w:p>
        </w:tc>
        <w:tc>
          <w:tcPr>
            <w:tcW w:w="2104" w:type="dxa"/>
          </w:tcPr>
          <w:p w:rsidR="00D94698" w:rsidRPr="00B53423" w:rsidRDefault="00D94698" w:rsidP="0015232B">
            <w:pPr>
              <w:jc w:val="center"/>
            </w:pPr>
            <w:r w:rsidRPr="00B53423">
              <w:t>10 HP</w:t>
            </w:r>
          </w:p>
        </w:tc>
        <w:tc>
          <w:tcPr>
            <w:tcW w:w="1350" w:type="dxa"/>
          </w:tcPr>
          <w:p w:rsidR="00D94698" w:rsidRPr="00B53423" w:rsidRDefault="00D94698" w:rsidP="0015232B">
            <w:pPr>
              <w:jc w:val="center"/>
            </w:pPr>
            <w:r w:rsidRPr="00B53423">
              <w:t>4</w:t>
            </w:r>
          </w:p>
        </w:tc>
        <w:tc>
          <w:tcPr>
            <w:tcW w:w="1350" w:type="dxa"/>
          </w:tcPr>
          <w:p w:rsidR="00D94698" w:rsidRPr="00B53423" w:rsidRDefault="00D94698" w:rsidP="0015232B">
            <w:pPr>
              <w:jc w:val="center"/>
            </w:pPr>
            <w:r w:rsidRPr="00B53423">
              <w:t>4</w:t>
            </w:r>
          </w:p>
        </w:tc>
        <w:tc>
          <w:tcPr>
            <w:tcW w:w="1260" w:type="dxa"/>
          </w:tcPr>
          <w:p w:rsidR="00D94698" w:rsidRPr="00B53423" w:rsidRDefault="00D94698" w:rsidP="0015232B">
            <w:pPr>
              <w:jc w:val="center"/>
            </w:pPr>
            <w:r w:rsidRPr="00B53423">
              <w:t>4</w:t>
            </w:r>
          </w:p>
        </w:tc>
        <w:tc>
          <w:tcPr>
            <w:tcW w:w="1482" w:type="dxa"/>
          </w:tcPr>
          <w:p w:rsidR="00D94698" w:rsidRPr="00B53423" w:rsidRDefault="00D94698" w:rsidP="0015232B">
            <w:pPr>
              <w:jc w:val="center"/>
            </w:pPr>
            <w:r w:rsidRPr="00B53423">
              <w:t>3</w:t>
            </w:r>
          </w:p>
        </w:tc>
      </w:tr>
      <w:tr w:rsidR="00D94698" w:rsidRPr="00B53423" w:rsidTr="00E93F0F">
        <w:trPr>
          <w:cantSplit/>
          <w:jc w:val="center"/>
        </w:trPr>
        <w:tc>
          <w:tcPr>
            <w:tcW w:w="1038" w:type="dxa"/>
          </w:tcPr>
          <w:p w:rsidR="00D94698" w:rsidRPr="00B53423" w:rsidRDefault="00D94698" w:rsidP="0015232B">
            <w:pPr>
              <w:jc w:val="center"/>
            </w:pPr>
            <w:r w:rsidRPr="00B53423">
              <w:t>5.</w:t>
            </w:r>
          </w:p>
        </w:tc>
        <w:tc>
          <w:tcPr>
            <w:tcW w:w="2104" w:type="dxa"/>
          </w:tcPr>
          <w:p w:rsidR="00D94698" w:rsidRPr="00B53423" w:rsidRDefault="00D94698" w:rsidP="0015232B">
            <w:pPr>
              <w:jc w:val="center"/>
            </w:pPr>
            <w:r w:rsidRPr="00B53423">
              <w:t>15 HP</w:t>
            </w:r>
          </w:p>
        </w:tc>
        <w:tc>
          <w:tcPr>
            <w:tcW w:w="1350" w:type="dxa"/>
          </w:tcPr>
          <w:p w:rsidR="00D94698" w:rsidRPr="00B53423" w:rsidRDefault="00D94698" w:rsidP="0015232B">
            <w:pPr>
              <w:jc w:val="center"/>
            </w:pPr>
            <w:r w:rsidRPr="00B53423">
              <w:t>6</w:t>
            </w:r>
          </w:p>
        </w:tc>
        <w:tc>
          <w:tcPr>
            <w:tcW w:w="1350" w:type="dxa"/>
          </w:tcPr>
          <w:p w:rsidR="00D94698" w:rsidRPr="00B53423" w:rsidRDefault="00D94698" w:rsidP="0015232B">
            <w:pPr>
              <w:jc w:val="center"/>
            </w:pPr>
            <w:r w:rsidRPr="00B53423">
              <w:t>5</w:t>
            </w:r>
          </w:p>
        </w:tc>
        <w:tc>
          <w:tcPr>
            <w:tcW w:w="1260" w:type="dxa"/>
          </w:tcPr>
          <w:p w:rsidR="00D94698" w:rsidRPr="00B53423" w:rsidRDefault="00D94698" w:rsidP="0015232B">
            <w:pPr>
              <w:jc w:val="center"/>
            </w:pPr>
            <w:r w:rsidRPr="00B53423">
              <w:t>5</w:t>
            </w:r>
          </w:p>
        </w:tc>
        <w:tc>
          <w:tcPr>
            <w:tcW w:w="1482" w:type="dxa"/>
          </w:tcPr>
          <w:p w:rsidR="00D94698" w:rsidRPr="00B53423" w:rsidRDefault="00D94698" w:rsidP="0015232B">
            <w:pPr>
              <w:jc w:val="center"/>
            </w:pPr>
            <w:r w:rsidRPr="00B53423">
              <w:t>4</w:t>
            </w:r>
          </w:p>
        </w:tc>
      </w:tr>
      <w:tr w:rsidR="00D94698" w:rsidRPr="00B53423" w:rsidTr="00E93F0F">
        <w:trPr>
          <w:cantSplit/>
          <w:jc w:val="center"/>
        </w:trPr>
        <w:tc>
          <w:tcPr>
            <w:tcW w:w="1038" w:type="dxa"/>
          </w:tcPr>
          <w:p w:rsidR="00D94698" w:rsidRPr="00B53423" w:rsidRDefault="00D94698" w:rsidP="0015232B">
            <w:pPr>
              <w:jc w:val="center"/>
            </w:pPr>
            <w:r w:rsidRPr="00B53423">
              <w:t>6.</w:t>
            </w:r>
          </w:p>
        </w:tc>
        <w:tc>
          <w:tcPr>
            <w:tcW w:w="2104" w:type="dxa"/>
          </w:tcPr>
          <w:p w:rsidR="00D94698" w:rsidRPr="00B53423" w:rsidRDefault="00D94698" w:rsidP="0015232B">
            <w:pPr>
              <w:jc w:val="center"/>
            </w:pPr>
            <w:r w:rsidRPr="00B53423">
              <w:t>20 HP</w:t>
            </w:r>
          </w:p>
        </w:tc>
        <w:tc>
          <w:tcPr>
            <w:tcW w:w="1350" w:type="dxa"/>
          </w:tcPr>
          <w:p w:rsidR="00D94698" w:rsidRPr="00B53423" w:rsidRDefault="00D94698" w:rsidP="0015232B">
            <w:pPr>
              <w:jc w:val="center"/>
            </w:pPr>
            <w:r w:rsidRPr="00B53423">
              <w:t>8</w:t>
            </w:r>
          </w:p>
        </w:tc>
        <w:tc>
          <w:tcPr>
            <w:tcW w:w="1350" w:type="dxa"/>
          </w:tcPr>
          <w:p w:rsidR="00D94698" w:rsidRPr="00B53423" w:rsidRDefault="00D94698" w:rsidP="0015232B">
            <w:pPr>
              <w:jc w:val="center"/>
            </w:pPr>
            <w:r w:rsidRPr="00B53423">
              <w:t>7</w:t>
            </w:r>
          </w:p>
        </w:tc>
        <w:tc>
          <w:tcPr>
            <w:tcW w:w="1260" w:type="dxa"/>
          </w:tcPr>
          <w:p w:rsidR="00D94698" w:rsidRPr="00B53423" w:rsidRDefault="00D94698" w:rsidP="0015232B">
            <w:pPr>
              <w:jc w:val="center"/>
            </w:pPr>
            <w:r w:rsidRPr="00B53423">
              <w:t>6</w:t>
            </w:r>
          </w:p>
        </w:tc>
        <w:tc>
          <w:tcPr>
            <w:tcW w:w="1482" w:type="dxa"/>
          </w:tcPr>
          <w:p w:rsidR="00D94698" w:rsidRPr="00B53423" w:rsidRDefault="00D94698" w:rsidP="0015232B">
            <w:pPr>
              <w:jc w:val="center"/>
            </w:pPr>
            <w:r w:rsidRPr="00B53423">
              <w:t>5</w:t>
            </w:r>
          </w:p>
        </w:tc>
      </w:tr>
      <w:tr w:rsidR="00D94698" w:rsidRPr="00B53423" w:rsidTr="00E93F0F">
        <w:trPr>
          <w:cantSplit/>
          <w:jc w:val="center"/>
        </w:trPr>
        <w:tc>
          <w:tcPr>
            <w:tcW w:w="1038" w:type="dxa"/>
          </w:tcPr>
          <w:p w:rsidR="00D94698" w:rsidRPr="00B53423" w:rsidRDefault="00D94698" w:rsidP="0015232B">
            <w:pPr>
              <w:jc w:val="center"/>
            </w:pPr>
            <w:r w:rsidRPr="00B53423">
              <w:t>7.</w:t>
            </w:r>
          </w:p>
        </w:tc>
        <w:tc>
          <w:tcPr>
            <w:tcW w:w="2104" w:type="dxa"/>
          </w:tcPr>
          <w:p w:rsidR="00D94698" w:rsidRPr="00B53423" w:rsidRDefault="00D94698" w:rsidP="0015232B">
            <w:pPr>
              <w:jc w:val="center"/>
            </w:pPr>
            <w:r w:rsidRPr="00B53423">
              <w:t>25 HP</w:t>
            </w:r>
          </w:p>
        </w:tc>
        <w:tc>
          <w:tcPr>
            <w:tcW w:w="1350" w:type="dxa"/>
          </w:tcPr>
          <w:p w:rsidR="00D94698" w:rsidRPr="00B53423" w:rsidRDefault="00D94698" w:rsidP="0015232B">
            <w:pPr>
              <w:jc w:val="center"/>
            </w:pPr>
            <w:r w:rsidRPr="00B53423">
              <w:t>9</w:t>
            </w:r>
          </w:p>
        </w:tc>
        <w:tc>
          <w:tcPr>
            <w:tcW w:w="1350" w:type="dxa"/>
          </w:tcPr>
          <w:p w:rsidR="00D94698" w:rsidRPr="00B53423" w:rsidRDefault="00D94698" w:rsidP="0015232B">
            <w:pPr>
              <w:jc w:val="center"/>
            </w:pPr>
            <w:r w:rsidRPr="00B53423">
              <w:t>8</w:t>
            </w:r>
          </w:p>
        </w:tc>
        <w:tc>
          <w:tcPr>
            <w:tcW w:w="1260" w:type="dxa"/>
          </w:tcPr>
          <w:p w:rsidR="00D94698" w:rsidRPr="00B53423" w:rsidRDefault="00D94698" w:rsidP="0015232B">
            <w:pPr>
              <w:jc w:val="center"/>
            </w:pPr>
            <w:r w:rsidRPr="00B53423">
              <w:t>7</w:t>
            </w:r>
          </w:p>
        </w:tc>
        <w:tc>
          <w:tcPr>
            <w:tcW w:w="1482" w:type="dxa"/>
          </w:tcPr>
          <w:p w:rsidR="00D94698" w:rsidRPr="00B53423" w:rsidRDefault="00D94698" w:rsidP="0015232B">
            <w:pPr>
              <w:jc w:val="center"/>
            </w:pPr>
            <w:r w:rsidRPr="00B53423">
              <w:t>6</w:t>
            </w:r>
          </w:p>
        </w:tc>
      </w:tr>
      <w:tr w:rsidR="00D94698" w:rsidRPr="00B53423" w:rsidTr="00E93F0F">
        <w:trPr>
          <w:cantSplit/>
          <w:jc w:val="center"/>
        </w:trPr>
        <w:tc>
          <w:tcPr>
            <w:tcW w:w="1038" w:type="dxa"/>
          </w:tcPr>
          <w:p w:rsidR="00D94698" w:rsidRPr="00B53423" w:rsidRDefault="00D94698" w:rsidP="0015232B">
            <w:pPr>
              <w:jc w:val="center"/>
            </w:pPr>
            <w:r w:rsidRPr="00B53423">
              <w:t>8.</w:t>
            </w:r>
          </w:p>
        </w:tc>
        <w:tc>
          <w:tcPr>
            <w:tcW w:w="2104" w:type="dxa"/>
          </w:tcPr>
          <w:p w:rsidR="00D94698" w:rsidRPr="00B53423" w:rsidRDefault="00D94698" w:rsidP="0015232B">
            <w:pPr>
              <w:jc w:val="center"/>
            </w:pPr>
            <w:r w:rsidRPr="00B53423">
              <w:t>30 HP</w:t>
            </w:r>
          </w:p>
        </w:tc>
        <w:tc>
          <w:tcPr>
            <w:tcW w:w="1350" w:type="dxa"/>
          </w:tcPr>
          <w:p w:rsidR="00D94698" w:rsidRPr="00B53423" w:rsidRDefault="00D94698" w:rsidP="0015232B">
            <w:pPr>
              <w:jc w:val="center"/>
            </w:pPr>
            <w:r w:rsidRPr="00B53423">
              <w:t>10</w:t>
            </w:r>
          </w:p>
        </w:tc>
        <w:tc>
          <w:tcPr>
            <w:tcW w:w="1350" w:type="dxa"/>
          </w:tcPr>
          <w:p w:rsidR="00D94698" w:rsidRPr="00B53423" w:rsidRDefault="00D94698" w:rsidP="0015232B">
            <w:pPr>
              <w:jc w:val="center"/>
            </w:pPr>
            <w:r w:rsidRPr="00B53423">
              <w:t>9</w:t>
            </w:r>
          </w:p>
        </w:tc>
        <w:tc>
          <w:tcPr>
            <w:tcW w:w="1260" w:type="dxa"/>
          </w:tcPr>
          <w:p w:rsidR="00D94698" w:rsidRPr="00B53423" w:rsidRDefault="00D94698" w:rsidP="0015232B">
            <w:pPr>
              <w:jc w:val="center"/>
            </w:pPr>
            <w:r w:rsidRPr="00B53423">
              <w:t>8</w:t>
            </w:r>
          </w:p>
        </w:tc>
        <w:tc>
          <w:tcPr>
            <w:tcW w:w="1482" w:type="dxa"/>
          </w:tcPr>
          <w:p w:rsidR="00D94698" w:rsidRPr="00B53423" w:rsidRDefault="00D94698" w:rsidP="0015232B">
            <w:pPr>
              <w:jc w:val="center"/>
            </w:pPr>
            <w:r w:rsidRPr="00B53423">
              <w:t>7</w:t>
            </w:r>
          </w:p>
        </w:tc>
      </w:tr>
      <w:tr w:rsidR="00D94698" w:rsidRPr="00B53423" w:rsidTr="00E93F0F">
        <w:trPr>
          <w:cantSplit/>
          <w:jc w:val="center"/>
        </w:trPr>
        <w:tc>
          <w:tcPr>
            <w:tcW w:w="1038" w:type="dxa"/>
          </w:tcPr>
          <w:p w:rsidR="00D94698" w:rsidRPr="00B53423" w:rsidRDefault="00D94698" w:rsidP="0015232B">
            <w:pPr>
              <w:jc w:val="center"/>
            </w:pPr>
            <w:r w:rsidRPr="00B53423">
              <w:t>9.</w:t>
            </w:r>
          </w:p>
        </w:tc>
        <w:tc>
          <w:tcPr>
            <w:tcW w:w="2104" w:type="dxa"/>
          </w:tcPr>
          <w:p w:rsidR="00D94698" w:rsidRPr="00B53423" w:rsidRDefault="00D94698" w:rsidP="0015232B">
            <w:pPr>
              <w:jc w:val="center"/>
            </w:pPr>
            <w:r w:rsidRPr="00B53423">
              <w:t>40 HP</w:t>
            </w:r>
          </w:p>
        </w:tc>
        <w:tc>
          <w:tcPr>
            <w:tcW w:w="1350" w:type="dxa"/>
          </w:tcPr>
          <w:p w:rsidR="00D94698" w:rsidRPr="00B53423" w:rsidRDefault="00D94698" w:rsidP="0015232B">
            <w:pPr>
              <w:jc w:val="center"/>
            </w:pPr>
            <w:r w:rsidRPr="00B53423">
              <w:t>13</w:t>
            </w:r>
          </w:p>
        </w:tc>
        <w:tc>
          <w:tcPr>
            <w:tcW w:w="1350" w:type="dxa"/>
          </w:tcPr>
          <w:p w:rsidR="00D94698" w:rsidRPr="00B53423" w:rsidRDefault="00D94698" w:rsidP="0015232B">
            <w:pPr>
              <w:jc w:val="center"/>
            </w:pPr>
            <w:r w:rsidRPr="00B53423">
              <w:t>11</w:t>
            </w:r>
          </w:p>
        </w:tc>
        <w:tc>
          <w:tcPr>
            <w:tcW w:w="1260" w:type="dxa"/>
          </w:tcPr>
          <w:p w:rsidR="00D94698" w:rsidRPr="00B53423" w:rsidRDefault="00D94698" w:rsidP="0015232B">
            <w:pPr>
              <w:jc w:val="center"/>
            </w:pPr>
            <w:r w:rsidRPr="00B53423">
              <w:t>10</w:t>
            </w:r>
          </w:p>
        </w:tc>
        <w:tc>
          <w:tcPr>
            <w:tcW w:w="1482" w:type="dxa"/>
          </w:tcPr>
          <w:p w:rsidR="00D94698" w:rsidRPr="00B53423" w:rsidRDefault="00D94698" w:rsidP="0015232B">
            <w:pPr>
              <w:jc w:val="center"/>
            </w:pPr>
            <w:r w:rsidRPr="00B53423">
              <w:t>9</w:t>
            </w:r>
          </w:p>
        </w:tc>
      </w:tr>
      <w:tr w:rsidR="00D94698" w:rsidRPr="00B53423" w:rsidTr="00E93F0F">
        <w:trPr>
          <w:cantSplit/>
          <w:jc w:val="center"/>
        </w:trPr>
        <w:tc>
          <w:tcPr>
            <w:tcW w:w="1038" w:type="dxa"/>
          </w:tcPr>
          <w:p w:rsidR="00D94698" w:rsidRPr="00B53423" w:rsidRDefault="00D94698" w:rsidP="0015232B">
            <w:pPr>
              <w:jc w:val="center"/>
            </w:pPr>
            <w:r w:rsidRPr="00B53423">
              <w:t>10.</w:t>
            </w:r>
          </w:p>
        </w:tc>
        <w:tc>
          <w:tcPr>
            <w:tcW w:w="2104" w:type="dxa"/>
          </w:tcPr>
          <w:p w:rsidR="00D94698" w:rsidRPr="00B53423" w:rsidRDefault="00D94698" w:rsidP="0015232B">
            <w:pPr>
              <w:jc w:val="center"/>
            </w:pPr>
            <w:r w:rsidRPr="00B53423">
              <w:t>50 HP</w:t>
            </w:r>
          </w:p>
        </w:tc>
        <w:tc>
          <w:tcPr>
            <w:tcW w:w="1350" w:type="dxa"/>
          </w:tcPr>
          <w:p w:rsidR="00D94698" w:rsidRPr="00B53423" w:rsidRDefault="00D94698" w:rsidP="0015232B">
            <w:pPr>
              <w:jc w:val="center"/>
            </w:pPr>
            <w:r w:rsidRPr="00B53423">
              <w:t>15</w:t>
            </w:r>
          </w:p>
        </w:tc>
        <w:tc>
          <w:tcPr>
            <w:tcW w:w="1350" w:type="dxa"/>
          </w:tcPr>
          <w:p w:rsidR="00D94698" w:rsidRPr="00B53423" w:rsidRDefault="00D94698" w:rsidP="0015232B">
            <w:pPr>
              <w:jc w:val="center"/>
            </w:pPr>
            <w:r w:rsidRPr="00B53423">
              <w:t>15</w:t>
            </w:r>
          </w:p>
        </w:tc>
        <w:tc>
          <w:tcPr>
            <w:tcW w:w="1260" w:type="dxa"/>
          </w:tcPr>
          <w:p w:rsidR="00D94698" w:rsidRPr="00B53423" w:rsidRDefault="00D94698" w:rsidP="0015232B">
            <w:pPr>
              <w:jc w:val="center"/>
            </w:pPr>
            <w:r w:rsidRPr="00B53423">
              <w:t>12</w:t>
            </w:r>
          </w:p>
        </w:tc>
        <w:tc>
          <w:tcPr>
            <w:tcW w:w="1482" w:type="dxa"/>
          </w:tcPr>
          <w:p w:rsidR="00D94698" w:rsidRPr="00B53423" w:rsidRDefault="00D94698" w:rsidP="0015232B">
            <w:pPr>
              <w:jc w:val="center"/>
            </w:pPr>
            <w:r w:rsidRPr="00B53423">
              <w:t>10</w:t>
            </w:r>
          </w:p>
        </w:tc>
      </w:tr>
      <w:tr w:rsidR="00D94698" w:rsidRPr="00B53423" w:rsidTr="00E93F0F">
        <w:trPr>
          <w:cantSplit/>
          <w:jc w:val="center"/>
        </w:trPr>
        <w:tc>
          <w:tcPr>
            <w:tcW w:w="1038" w:type="dxa"/>
          </w:tcPr>
          <w:p w:rsidR="00D94698" w:rsidRPr="00B53423" w:rsidRDefault="00D94698" w:rsidP="0015232B">
            <w:pPr>
              <w:jc w:val="center"/>
            </w:pPr>
            <w:r w:rsidRPr="00B53423">
              <w:t>11.</w:t>
            </w:r>
          </w:p>
        </w:tc>
        <w:tc>
          <w:tcPr>
            <w:tcW w:w="2104" w:type="dxa"/>
          </w:tcPr>
          <w:p w:rsidR="00D94698" w:rsidRPr="00B53423" w:rsidRDefault="00D94698" w:rsidP="0015232B">
            <w:pPr>
              <w:jc w:val="center"/>
            </w:pPr>
            <w:r w:rsidRPr="00B53423">
              <w:t>60 HP</w:t>
            </w:r>
          </w:p>
        </w:tc>
        <w:tc>
          <w:tcPr>
            <w:tcW w:w="1350" w:type="dxa"/>
          </w:tcPr>
          <w:p w:rsidR="00D94698" w:rsidRPr="00B53423" w:rsidRDefault="00D94698" w:rsidP="0015232B">
            <w:pPr>
              <w:jc w:val="center"/>
            </w:pPr>
            <w:r w:rsidRPr="00B53423">
              <w:t>20</w:t>
            </w:r>
          </w:p>
        </w:tc>
        <w:tc>
          <w:tcPr>
            <w:tcW w:w="1350" w:type="dxa"/>
          </w:tcPr>
          <w:p w:rsidR="00D94698" w:rsidRPr="00B53423" w:rsidRDefault="00D94698" w:rsidP="0015232B">
            <w:pPr>
              <w:jc w:val="center"/>
            </w:pPr>
            <w:r w:rsidRPr="00B53423">
              <w:t>20</w:t>
            </w:r>
          </w:p>
        </w:tc>
        <w:tc>
          <w:tcPr>
            <w:tcW w:w="1260" w:type="dxa"/>
          </w:tcPr>
          <w:p w:rsidR="00D94698" w:rsidRPr="00B53423" w:rsidRDefault="00D94698" w:rsidP="0015232B">
            <w:pPr>
              <w:jc w:val="center"/>
            </w:pPr>
            <w:r w:rsidRPr="00B53423">
              <w:t>16</w:t>
            </w:r>
          </w:p>
        </w:tc>
        <w:tc>
          <w:tcPr>
            <w:tcW w:w="1482" w:type="dxa"/>
          </w:tcPr>
          <w:p w:rsidR="00D94698" w:rsidRPr="00B53423" w:rsidRDefault="00D94698" w:rsidP="0015232B">
            <w:pPr>
              <w:jc w:val="center"/>
            </w:pPr>
            <w:r w:rsidRPr="00B53423">
              <w:t>14</w:t>
            </w:r>
          </w:p>
        </w:tc>
      </w:tr>
      <w:tr w:rsidR="00D94698" w:rsidRPr="00B53423" w:rsidTr="00E93F0F">
        <w:trPr>
          <w:cantSplit/>
          <w:jc w:val="center"/>
        </w:trPr>
        <w:tc>
          <w:tcPr>
            <w:tcW w:w="1038" w:type="dxa"/>
          </w:tcPr>
          <w:p w:rsidR="00D94698" w:rsidRPr="00B53423" w:rsidRDefault="00D94698" w:rsidP="0015232B">
            <w:pPr>
              <w:jc w:val="center"/>
            </w:pPr>
            <w:r w:rsidRPr="00B53423">
              <w:t>12.</w:t>
            </w:r>
          </w:p>
        </w:tc>
        <w:tc>
          <w:tcPr>
            <w:tcW w:w="2104" w:type="dxa"/>
          </w:tcPr>
          <w:p w:rsidR="00D94698" w:rsidRPr="00B53423" w:rsidRDefault="00D94698" w:rsidP="0015232B">
            <w:pPr>
              <w:jc w:val="center"/>
            </w:pPr>
            <w:r w:rsidRPr="00B53423">
              <w:t>75 HP</w:t>
            </w:r>
          </w:p>
        </w:tc>
        <w:tc>
          <w:tcPr>
            <w:tcW w:w="1350" w:type="dxa"/>
          </w:tcPr>
          <w:p w:rsidR="00D94698" w:rsidRPr="00B53423" w:rsidRDefault="00D94698" w:rsidP="0015232B">
            <w:pPr>
              <w:jc w:val="center"/>
            </w:pPr>
            <w:r w:rsidRPr="00B53423">
              <w:t>24</w:t>
            </w:r>
          </w:p>
        </w:tc>
        <w:tc>
          <w:tcPr>
            <w:tcW w:w="1350" w:type="dxa"/>
          </w:tcPr>
          <w:p w:rsidR="00D94698" w:rsidRPr="00B53423" w:rsidRDefault="00D94698" w:rsidP="0015232B">
            <w:pPr>
              <w:jc w:val="center"/>
            </w:pPr>
            <w:r w:rsidRPr="00B53423">
              <w:t>23</w:t>
            </w:r>
          </w:p>
        </w:tc>
        <w:tc>
          <w:tcPr>
            <w:tcW w:w="1260" w:type="dxa"/>
          </w:tcPr>
          <w:p w:rsidR="00D94698" w:rsidRPr="00B53423" w:rsidRDefault="00D94698" w:rsidP="0015232B">
            <w:pPr>
              <w:jc w:val="center"/>
            </w:pPr>
            <w:r w:rsidRPr="00B53423">
              <w:t>19</w:t>
            </w:r>
          </w:p>
        </w:tc>
        <w:tc>
          <w:tcPr>
            <w:tcW w:w="1482" w:type="dxa"/>
          </w:tcPr>
          <w:p w:rsidR="00D94698" w:rsidRPr="00B53423" w:rsidRDefault="00D94698" w:rsidP="0015232B">
            <w:pPr>
              <w:jc w:val="center"/>
            </w:pPr>
            <w:r w:rsidRPr="00B53423">
              <w:t>16</w:t>
            </w:r>
          </w:p>
        </w:tc>
      </w:tr>
      <w:tr w:rsidR="00D94698" w:rsidRPr="00B53423" w:rsidTr="00E93F0F">
        <w:trPr>
          <w:cantSplit/>
          <w:jc w:val="center"/>
        </w:trPr>
        <w:tc>
          <w:tcPr>
            <w:tcW w:w="1038" w:type="dxa"/>
          </w:tcPr>
          <w:p w:rsidR="00D94698" w:rsidRPr="00B53423" w:rsidRDefault="00D94698" w:rsidP="0015232B">
            <w:pPr>
              <w:jc w:val="center"/>
            </w:pPr>
            <w:r w:rsidRPr="00B53423">
              <w:t>13.</w:t>
            </w:r>
          </w:p>
        </w:tc>
        <w:tc>
          <w:tcPr>
            <w:tcW w:w="2104" w:type="dxa"/>
          </w:tcPr>
          <w:p w:rsidR="00D94698" w:rsidRPr="00B53423" w:rsidRDefault="00D94698" w:rsidP="0015232B">
            <w:pPr>
              <w:jc w:val="center"/>
            </w:pPr>
            <w:r w:rsidRPr="00B53423">
              <w:t>100 HP</w:t>
            </w:r>
          </w:p>
        </w:tc>
        <w:tc>
          <w:tcPr>
            <w:tcW w:w="1350" w:type="dxa"/>
          </w:tcPr>
          <w:p w:rsidR="00D94698" w:rsidRPr="00B53423" w:rsidRDefault="00D94698" w:rsidP="0015232B">
            <w:pPr>
              <w:jc w:val="center"/>
            </w:pPr>
            <w:r w:rsidRPr="00B53423">
              <w:t>30</w:t>
            </w:r>
          </w:p>
        </w:tc>
        <w:tc>
          <w:tcPr>
            <w:tcW w:w="1350" w:type="dxa"/>
          </w:tcPr>
          <w:p w:rsidR="00D94698" w:rsidRPr="00B53423" w:rsidRDefault="00D94698" w:rsidP="0015232B">
            <w:pPr>
              <w:jc w:val="center"/>
            </w:pPr>
            <w:r w:rsidRPr="00B53423">
              <w:t>30</w:t>
            </w:r>
          </w:p>
        </w:tc>
        <w:tc>
          <w:tcPr>
            <w:tcW w:w="1260" w:type="dxa"/>
          </w:tcPr>
          <w:p w:rsidR="00D94698" w:rsidRPr="00B53423" w:rsidRDefault="00D94698" w:rsidP="0015232B">
            <w:pPr>
              <w:jc w:val="center"/>
            </w:pPr>
            <w:r w:rsidRPr="00B53423">
              <w:t>24</w:t>
            </w:r>
          </w:p>
        </w:tc>
        <w:tc>
          <w:tcPr>
            <w:tcW w:w="1482" w:type="dxa"/>
          </w:tcPr>
          <w:p w:rsidR="00D94698" w:rsidRPr="00B53423" w:rsidRDefault="00D94698" w:rsidP="0015232B">
            <w:pPr>
              <w:jc w:val="center"/>
            </w:pPr>
            <w:r w:rsidRPr="00B53423">
              <w:t>20</w:t>
            </w:r>
          </w:p>
        </w:tc>
      </w:tr>
      <w:tr w:rsidR="00D94698" w:rsidRPr="00B53423" w:rsidTr="00E93F0F">
        <w:trPr>
          <w:cantSplit/>
          <w:jc w:val="center"/>
        </w:trPr>
        <w:tc>
          <w:tcPr>
            <w:tcW w:w="1038" w:type="dxa"/>
          </w:tcPr>
          <w:p w:rsidR="00D94698" w:rsidRPr="00B53423" w:rsidRDefault="00D94698" w:rsidP="0015232B">
            <w:pPr>
              <w:jc w:val="center"/>
            </w:pPr>
            <w:r w:rsidRPr="00B53423">
              <w:t>14.</w:t>
            </w:r>
          </w:p>
        </w:tc>
        <w:tc>
          <w:tcPr>
            <w:tcW w:w="2104" w:type="dxa"/>
          </w:tcPr>
          <w:p w:rsidR="00D94698" w:rsidRPr="00B53423" w:rsidRDefault="00D94698" w:rsidP="0015232B">
            <w:pPr>
              <w:jc w:val="center"/>
            </w:pPr>
            <w:r w:rsidRPr="00B53423">
              <w:t>125 HP</w:t>
            </w:r>
          </w:p>
        </w:tc>
        <w:tc>
          <w:tcPr>
            <w:tcW w:w="1350" w:type="dxa"/>
          </w:tcPr>
          <w:p w:rsidR="00D94698" w:rsidRPr="00B53423" w:rsidRDefault="00D94698" w:rsidP="0015232B">
            <w:pPr>
              <w:jc w:val="center"/>
            </w:pPr>
            <w:r w:rsidRPr="00B53423">
              <w:t>39</w:t>
            </w:r>
          </w:p>
        </w:tc>
        <w:tc>
          <w:tcPr>
            <w:tcW w:w="1350" w:type="dxa"/>
          </w:tcPr>
          <w:p w:rsidR="00D94698" w:rsidRPr="00B53423" w:rsidRDefault="00D94698" w:rsidP="0015232B">
            <w:pPr>
              <w:jc w:val="center"/>
            </w:pPr>
            <w:r w:rsidRPr="00B53423">
              <w:t>38</w:t>
            </w:r>
          </w:p>
        </w:tc>
        <w:tc>
          <w:tcPr>
            <w:tcW w:w="1260" w:type="dxa"/>
          </w:tcPr>
          <w:p w:rsidR="00D94698" w:rsidRPr="00B53423" w:rsidRDefault="00D94698" w:rsidP="0015232B">
            <w:pPr>
              <w:jc w:val="center"/>
            </w:pPr>
            <w:r w:rsidRPr="00B53423">
              <w:t>31</w:t>
            </w:r>
          </w:p>
        </w:tc>
        <w:tc>
          <w:tcPr>
            <w:tcW w:w="1482" w:type="dxa"/>
          </w:tcPr>
          <w:p w:rsidR="00D94698" w:rsidRPr="00B53423" w:rsidRDefault="00D94698" w:rsidP="0015232B">
            <w:pPr>
              <w:jc w:val="center"/>
            </w:pPr>
            <w:r w:rsidRPr="00B53423">
              <w:t>26</w:t>
            </w:r>
          </w:p>
        </w:tc>
      </w:tr>
      <w:tr w:rsidR="00D94698" w:rsidRPr="00B53423" w:rsidTr="00E93F0F">
        <w:trPr>
          <w:cantSplit/>
          <w:jc w:val="center"/>
        </w:trPr>
        <w:tc>
          <w:tcPr>
            <w:tcW w:w="1038" w:type="dxa"/>
          </w:tcPr>
          <w:p w:rsidR="00D94698" w:rsidRPr="00B53423" w:rsidRDefault="00D94698" w:rsidP="0015232B">
            <w:pPr>
              <w:jc w:val="center"/>
            </w:pPr>
            <w:r w:rsidRPr="00B53423">
              <w:t>15.</w:t>
            </w:r>
          </w:p>
        </w:tc>
        <w:tc>
          <w:tcPr>
            <w:tcW w:w="2104" w:type="dxa"/>
          </w:tcPr>
          <w:p w:rsidR="00D94698" w:rsidRPr="00B53423" w:rsidRDefault="00D94698" w:rsidP="0015232B">
            <w:pPr>
              <w:jc w:val="center"/>
            </w:pPr>
            <w:r w:rsidRPr="00B53423">
              <w:t>150 HP</w:t>
            </w:r>
          </w:p>
        </w:tc>
        <w:tc>
          <w:tcPr>
            <w:tcW w:w="1350" w:type="dxa"/>
          </w:tcPr>
          <w:p w:rsidR="00D94698" w:rsidRPr="00B53423" w:rsidRDefault="00D94698" w:rsidP="0015232B">
            <w:pPr>
              <w:jc w:val="center"/>
            </w:pPr>
            <w:r w:rsidRPr="00B53423">
              <w:t>45</w:t>
            </w:r>
          </w:p>
        </w:tc>
        <w:tc>
          <w:tcPr>
            <w:tcW w:w="1350" w:type="dxa"/>
          </w:tcPr>
          <w:p w:rsidR="00D94698" w:rsidRPr="00B53423" w:rsidRDefault="00D94698" w:rsidP="0015232B">
            <w:pPr>
              <w:jc w:val="center"/>
            </w:pPr>
            <w:r w:rsidRPr="00B53423">
              <w:t>45</w:t>
            </w:r>
          </w:p>
        </w:tc>
        <w:tc>
          <w:tcPr>
            <w:tcW w:w="1260" w:type="dxa"/>
          </w:tcPr>
          <w:p w:rsidR="00D94698" w:rsidRPr="00B53423" w:rsidRDefault="00D94698" w:rsidP="0015232B">
            <w:pPr>
              <w:jc w:val="center"/>
            </w:pPr>
            <w:r w:rsidRPr="00B53423">
              <w:t>36</w:t>
            </w:r>
          </w:p>
        </w:tc>
        <w:tc>
          <w:tcPr>
            <w:tcW w:w="1482" w:type="dxa"/>
          </w:tcPr>
          <w:p w:rsidR="00D94698" w:rsidRPr="00B53423" w:rsidRDefault="00D94698" w:rsidP="0015232B">
            <w:pPr>
              <w:jc w:val="center"/>
            </w:pPr>
            <w:r w:rsidRPr="00B53423">
              <w:t>30</w:t>
            </w:r>
          </w:p>
        </w:tc>
      </w:tr>
      <w:tr w:rsidR="00D94698" w:rsidRPr="00B53423" w:rsidTr="00E93F0F">
        <w:trPr>
          <w:cantSplit/>
          <w:jc w:val="center"/>
        </w:trPr>
        <w:tc>
          <w:tcPr>
            <w:tcW w:w="1038" w:type="dxa"/>
          </w:tcPr>
          <w:p w:rsidR="00D94698" w:rsidRPr="00B53423" w:rsidRDefault="00D94698" w:rsidP="0015232B">
            <w:pPr>
              <w:jc w:val="center"/>
            </w:pPr>
            <w:r w:rsidRPr="00B53423">
              <w:t>16.</w:t>
            </w:r>
          </w:p>
        </w:tc>
        <w:tc>
          <w:tcPr>
            <w:tcW w:w="2104" w:type="dxa"/>
          </w:tcPr>
          <w:p w:rsidR="00D94698" w:rsidRPr="00B53423" w:rsidRDefault="00D94698" w:rsidP="0015232B">
            <w:pPr>
              <w:jc w:val="center"/>
            </w:pPr>
            <w:r w:rsidRPr="00B53423">
              <w:t>200 HP</w:t>
            </w:r>
          </w:p>
        </w:tc>
        <w:tc>
          <w:tcPr>
            <w:tcW w:w="1350" w:type="dxa"/>
          </w:tcPr>
          <w:p w:rsidR="00D94698" w:rsidRPr="00B53423" w:rsidRDefault="00D94698" w:rsidP="0015232B">
            <w:pPr>
              <w:jc w:val="center"/>
            </w:pPr>
            <w:r w:rsidRPr="00B53423">
              <w:t>60</w:t>
            </w:r>
          </w:p>
        </w:tc>
        <w:tc>
          <w:tcPr>
            <w:tcW w:w="1350" w:type="dxa"/>
          </w:tcPr>
          <w:p w:rsidR="00D94698" w:rsidRPr="00B53423" w:rsidRDefault="00D94698" w:rsidP="0015232B">
            <w:pPr>
              <w:jc w:val="center"/>
            </w:pPr>
            <w:r w:rsidRPr="00B53423">
              <w:t>60</w:t>
            </w:r>
          </w:p>
        </w:tc>
        <w:tc>
          <w:tcPr>
            <w:tcW w:w="1260" w:type="dxa"/>
          </w:tcPr>
          <w:p w:rsidR="00D94698" w:rsidRPr="00B53423" w:rsidRDefault="00D94698" w:rsidP="0015232B">
            <w:pPr>
              <w:jc w:val="center"/>
            </w:pPr>
            <w:r w:rsidRPr="00B53423">
              <w:t>48</w:t>
            </w:r>
          </w:p>
        </w:tc>
        <w:tc>
          <w:tcPr>
            <w:tcW w:w="1482" w:type="dxa"/>
          </w:tcPr>
          <w:p w:rsidR="00D94698" w:rsidRPr="00B53423" w:rsidRDefault="00D94698" w:rsidP="0015232B">
            <w:pPr>
              <w:jc w:val="center"/>
            </w:pPr>
            <w:r w:rsidRPr="00B53423">
              <w:t>40</w:t>
            </w:r>
          </w:p>
        </w:tc>
      </w:tr>
    </w:tbl>
    <w:p w:rsidR="00D94698" w:rsidRPr="00B53423" w:rsidRDefault="00D94698" w:rsidP="0015232B"/>
    <w:p w:rsidR="00D94698" w:rsidRPr="00B53423" w:rsidRDefault="00D94698" w:rsidP="0015232B"/>
    <w:p w:rsidR="00D94698" w:rsidRPr="00B53423" w:rsidRDefault="00D94698" w:rsidP="0015232B">
      <w:pPr>
        <w:spacing w:line="240" w:lineRule="auto"/>
        <w:jc w:val="left"/>
        <w:rPr>
          <w:b/>
          <w:u w:val="single"/>
        </w:rPr>
      </w:pPr>
      <w:r w:rsidRPr="00B53423">
        <w:rPr>
          <w:b/>
          <w:u w:val="single"/>
        </w:rPr>
        <w:br w:type="page"/>
      </w:r>
    </w:p>
    <w:p w:rsidR="00D94698" w:rsidRPr="00B53423" w:rsidRDefault="00D94698" w:rsidP="0015232B">
      <w:pPr>
        <w:ind w:left="360"/>
        <w:jc w:val="left"/>
        <w:rPr>
          <w:b/>
          <w:u w:val="single"/>
        </w:rPr>
      </w:pPr>
      <w:r w:rsidRPr="00B53423">
        <w:rPr>
          <w:b/>
          <w:u w:val="single"/>
        </w:rPr>
        <w:t>FOR WELDING TRANSFORMERS:</w:t>
      </w:r>
    </w:p>
    <w:p w:rsidR="00D94698" w:rsidRPr="00B53423" w:rsidRDefault="00D94698" w:rsidP="0015232B">
      <w:pPr>
        <w:ind w:left="360"/>
        <w:jc w:val="left"/>
        <w:rPr>
          <w:b/>
          <w:u w:val="single"/>
        </w:rPr>
      </w:pPr>
    </w:p>
    <w:tbl>
      <w:tblPr>
        <w:tblW w:w="8671"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720"/>
        <w:gridCol w:w="4770"/>
        <w:gridCol w:w="3181"/>
      </w:tblGrid>
      <w:tr w:rsidR="00D94698" w:rsidRPr="00B53423" w:rsidTr="00E93F0F">
        <w:trPr>
          <w:tblHeader/>
          <w:jc w:val="center"/>
        </w:trPr>
        <w:tc>
          <w:tcPr>
            <w:tcW w:w="720" w:type="dxa"/>
            <w:shd w:val="clear" w:color="auto" w:fill="DBE5F1"/>
          </w:tcPr>
          <w:p w:rsidR="00D94698" w:rsidRPr="00B53423" w:rsidRDefault="00D94698" w:rsidP="0015232B">
            <w:pPr>
              <w:jc w:val="center"/>
              <w:rPr>
                <w:b/>
              </w:rPr>
            </w:pPr>
            <w:r w:rsidRPr="00B53423">
              <w:rPr>
                <w:b/>
              </w:rPr>
              <w:t>Sl. No.</w:t>
            </w:r>
          </w:p>
        </w:tc>
        <w:tc>
          <w:tcPr>
            <w:tcW w:w="4770" w:type="dxa"/>
            <w:shd w:val="clear" w:color="auto" w:fill="DBE5F1"/>
          </w:tcPr>
          <w:p w:rsidR="00D94698" w:rsidRPr="00B53423" w:rsidRDefault="00D94698" w:rsidP="0015232B">
            <w:pPr>
              <w:jc w:val="center"/>
              <w:rPr>
                <w:b/>
              </w:rPr>
            </w:pPr>
            <w:r w:rsidRPr="00B53423">
              <w:rPr>
                <w:b/>
              </w:rPr>
              <w:t>Name Plate Rating in KVA of Individual Welding Transformer</w:t>
            </w:r>
          </w:p>
        </w:tc>
        <w:tc>
          <w:tcPr>
            <w:tcW w:w="3181" w:type="dxa"/>
            <w:shd w:val="clear" w:color="auto" w:fill="DBE5F1"/>
          </w:tcPr>
          <w:p w:rsidR="00D94698" w:rsidRPr="00B53423" w:rsidRDefault="00D94698" w:rsidP="0015232B">
            <w:pPr>
              <w:jc w:val="center"/>
              <w:rPr>
                <w:b/>
              </w:rPr>
            </w:pPr>
            <w:r w:rsidRPr="00B53423">
              <w:rPr>
                <w:b/>
              </w:rPr>
              <w:t>Capacity of the Capacitors</w:t>
            </w:r>
          </w:p>
          <w:p w:rsidR="00D94698" w:rsidRPr="00B53423" w:rsidRDefault="00D94698" w:rsidP="0015232B">
            <w:pPr>
              <w:jc w:val="center"/>
              <w:rPr>
                <w:b/>
              </w:rPr>
            </w:pPr>
            <w:r w:rsidRPr="00B53423">
              <w:rPr>
                <w:b/>
              </w:rPr>
              <w:t>(KVAR)</w:t>
            </w:r>
          </w:p>
        </w:tc>
      </w:tr>
      <w:tr w:rsidR="00D94698" w:rsidRPr="00B53423" w:rsidTr="00E93F0F">
        <w:trPr>
          <w:jc w:val="center"/>
        </w:trPr>
        <w:tc>
          <w:tcPr>
            <w:tcW w:w="720" w:type="dxa"/>
          </w:tcPr>
          <w:p w:rsidR="00D94698" w:rsidRPr="00B53423" w:rsidRDefault="00D94698" w:rsidP="0015232B">
            <w:pPr>
              <w:jc w:val="center"/>
            </w:pPr>
            <w:r w:rsidRPr="00B53423">
              <w:t>1.</w:t>
            </w:r>
          </w:p>
        </w:tc>
        <w:tc>
          <w:tcPr>
            <w:tcW w:w="4770" w:type="dxa"/>
          </w:tcPr>
          <w:p w:rsidR="00D94698" w:rsidRPr="00B53423" w:rsidRDefault="00D94698" w:rsidP="0015232B">
            <w:pPr>
              <w:jc w:val="center"/>
            </w:pPr>
            <w:r w:rsidRPr="00B53423">
              <w:t>1</w:t>
            </w:r>
          </w:p>
        </w:tc>
        <w:tc>
          <w:tcPr>
            <w:tcW w:w="3181" w:type="dxa"/>
          </w:tcPr>
          <w:p w:rsidR="00D94698" w:rsidRPr="00B53423" w:rsidRDefault="00D94698" w:rsidP="0015232B">
            <w:pPr>
              <w:jc w:val="center"/>
            </w:pPr>
            <w:r w:rsidRPr="00B53423">
              <w:t>1</w:t>
            </w:r>
          </w:p>
        </w:tc>
      </w:tr>
      <w:tr w:rsidR="00D94698" w:rsidRPr="00B53423" w:rsidTr="00E93F0F">
        <w:trPr>
          <w:jc w:val="center"/>
        </w:trPr>
        <w:tc>
          <w:tcPr>
            <w:tcW w:w="720" w:type="dxa"/>
          </w:tcPr>
          <w:p w:rsidR="00D94698" w:rsidRPr="00B53423" w:rsidRDefault="00D94698" w:rsidP="0015232B">
            <w:pPr>
              <w:jc w:val="center"/>
            </w:pPr>
            <w:r w:rsidRPr="00B53423">
              <w:t>2.</w:t>
            </w:r>
          </w:p>
        </w:tc>
        <w:tc>
          <w:tcPr>
            <w:tcW w:w="4770" w:type="dxa"/>
          </w:tcPr>
          <w:p w:rsidR="00D94698" w:rsidRPr="00B53423" w:rsidRDefault="00D94698" w:rsidP="0015232B">
            <w:pPr>
              <w:jc w:val="center"/>
            </w:pPr>
            <w:r w:rsidRPr="00B53423">
              <w:t>2</w:t>
            </w:r>
          </w:p>
        </w:tc>
        <w:tc>
          <w:tcPr>
            <w:tcW w:w="3181" w:type="dxa"/>
          </w:tcPr>
          <w:p w:rsidR="00D94698" w:rsidRPr="00B53423" w:rsidRDefault="00D94698" w:rsidP="0015232B">
            <w:pPr>
              <w:jc w:val="center"/>
            </w:pPr>
            <w:r w:rsidRPr="00B53423">
              <w:t>2</w:t>
            </w:r>
          </w:p>
        </w:tc>
      </w:tr>
      <w:tr w:rsidR="00D94698" w:rsidRPr="00B53423" w:rsidTr="00E93F0F">
        <w:trPr>
          <w:jc w:val="center"/>
        </w:trPr>
        <w:tc>
          <w:tcPr>
            <w:tcW w:w="720" w:type="dxa"/>
          </w:tcPr>
          <w:p w:rsidR="00D94698" w:rsidRPr="00B53423" w:rsidRDefault="00D94698" w:rsidP="0015232B">
            <w:pPr>
              <w:jc w:val="center"/>
            </w:pPr>
            <w:r w:rsidRPr="00B53423">
              <w:t>3.</w:t>
            </w:r>
          </w:p>
        </w:tc>
        <w:tc>
          <w:tcPr>
            <w:tcW w:w="4770" w:type="dxa"/>
          </w:tcPr>
          <w:p w:rsidR="00D94698" w:rsidRPr="00B53423" w:rsidRDefault="00D94698" w:rsidP="0015232B">
            <w:pPr>
              <w:jc w:val="center"/>
            </w:pPr>
            <w:r w:rsidRPr="00B53423">
              <w:t>3</w:t>
            </w:r>
          </w:p>
        </w:tc>
        <w:tc>
          <w:tcPr>
            <w:tcW w:w="3181" w:type="dxa"/>
          </w:tcPr>
          <w:p w:rsidR="00D94698" w:rsidRPr="00B53423" w:rsidRDefault="00D94698" w:rsidP="0015232B">
            <w:pPr>
              <w:jc w:val="center"/>
            </w:pPr>
            <w:r w:rsidRPr="00B53423">
              <w:t>3</w:t>
            </w:r>
          </w:p>
        </w:tc>
      </w:tr>
      <w:tr w:rsidR="00D94698" w:rsidRPr="00B53423" w:rsidTr="00E93F0F">
        <w:trPr>
          <w:jc w:val="center"/>
        </w:trPr>
        <w:tc>
          <w:tcPr>
            <w:tcW w:w="720" w:type="dxa"/>
          </w:tcPr>
          <w:p w:rsidR="00D94698" w:rsidRPr="00B53423" w:rsidRDefault="00D94698" w:rsidP="0015232B">
            <w:pPr>
              <w:jc w:val="center"/>
            </w:pPr>
            <w:r w:rsidRPr="00B53423">
              <w:t>4.</w:t>
            </w:r>
          </w:p>
        </w:tc>
        <w:tc>
          <w:tcPr>
            <w:tcW w:w="4770" w:type="dxa"/>
          </w:tcPr>
          <w:p w:rsidR="00D94698" w:rsidRPr="00B53423" w:rsidRDefault="00D94698" w:rsidP="0015232B">
            <w:pPr>
              <w:jc w:val="center"/>
            </w:pPr>
            <w:r w:rsidRPr="00B53423">
              <w:t>4</w:t>
            </w:r>
          </w:p>
        </w:tc>
        <w:tc>
          <w:tcPr>
            <w:tcW w:w="3181" w:type="dxa"/>
          </w:tcPr>
          <w:p w:rsidR="00D94698" w:rsidRPr="00B53423" w:rsidRDefault="00D94698" w:rsidP="0015232B">
            <w:pPr>
              <w:jc w:val="center"/>
            </w:pPr>
            <w:r w:rsidRPr="00B53423">
              <w:t>3</w:t>
            </w:r>
          </w:p>
        </w:tc>
      </w:tr>
      <w:tr w:rsidR="00D94698" w:rsidRPr="00B53423" w:rsidTr="00E93F0F">
        <w:trPr>
          <w:jc w:val="center"/>
        </w:trPr>
        <w:tc>
          <w:tcPr>
            <w:tcW w:w="720" w:type="dxa"/>
          </w:tcPr>
          <w:p w:rsidR="00D94698" w:rsidRPr="00B53423" w:rsidRDefault="00D94698" w:rsidP="0015232B">
            <w:pPr>
              <w:jc w:val="center"/>
            </w:pPr>
            <w:r w:rsidRPr="00B53423">
              <w:t>5.</w:t>
            </w:r>
          </w:p>
        </w:tc>
        <w:tc>
          <w:tcPr>
            <w:tcW w:w="4770" w:type="dxa"/>
          </w:tcPr>
          <w:p w:rsidR="00D94698" w:rsidRPr="00B53423" w:rsidRDefault="00D94698" w:rsidP="0015232B">
            <w:pPr>
              <w:jc w:val="center"/>
            </w:pPr>
            <w:r w:rsidRPr="00B53423">
              <w:t>5</w:t>
            </w:r>
          </w:p>
        </w:tc>
        <w:tc>
          <w:tcPr>
            <w:tcW w:w="3181" w:type="dxa"/>
          </w:tcPr>
          <w:p w:rsidR="00D94698" w:rsidRPr="00B53423" w:rsidRDefault="00D94698" w:rsidP="0015232B">
            <w:pPr>
              <w:jc w:val="center"/>
            </w:pPr>
            <w:r w:rsidRPr="00B53423">
              <w:t>4</w:t>
            </w:r>
          </w:p>
        </w:tc>
      </w:tr>
      <w:tr w:rsidR="00D94698" w:rsidRPr="00B53423" w:rsidTr="00E93F0F">
        <w:trPr>
          <w:jc w:val="center"/>
        </w:trPr>
        <w:tc>
          <w:tcPr>
            <w:tcW w:w="720" w:type="dxa"/>
          </w:tcPr>
          <w:p w:rsidR="00D94698" w:rsidRPr="00B53423" w:rsidRDefault="00D94698" w:rsidP="0015232B">
            <w:pPr>
              <w:jc w:val="center"/>
            </w:pPr>
            <w:r w:rsidRPr="00B53423">
              <w:t>6.</w:t>
            </w:r>
          </w:p>
        </w:tc>
        <w:tc>
          <w:tcPr>
            <w:tcW w:w="4770" w:type="dxa"/>
          </w:tcPr>
          <w:p w:rsidR="00D94698" w:rsidRPr="00B53423" w:rsidRDefault="00D94698" w:rsidP="0015232B">
            <w:pPr>
              <w:jc w:val="center"/>
            </w:pPr>
            <w:r w:rsidRPr="00B53423">
              <w:t>6</w:t>
            </w:r>
          </w:p>
        </w:tc>
        <w:tc>
          <w:tcPr>
            <w:tcW w:w="3181" w:type="dxa"/>
          </w:tcPr>
          <w:p w:rsidR="00D94698" w:rsidRPr="00B53423" w:rsidRDefault="00D94698" w:rsidP="0015232B">
            <w:pPr>
              <w:jc w:val="center"/>
            </w:pPr>
            <w:r w:rsidRPr="00B53423">
              <w:t>5</w:t>
            </w:r>
          </w:p>
        </w:tc>
      </w:tr>
      <w:tr w:rsidR="00D94698" w:rsidRPr="00B53423" w:rsidTr="00E93F0F">
        <w:trPr>
          <w:jc w:val="center"/>
        </w:trPr>
        <w:tc>
          <w:tcPr>
            <w:tcW w:w="720" w:type="dxa"/>
          </w:tcPr>
          <w:p w:rsidR="00D94698" w:rsidRPr="00B53423" w:rsidRDefault="00D94698" w:rsidP="0015232B">
            <w:pPr>
              <w:jc w:val="center"/>
            </w:pPr>
            <w:r w:rsidRPr="00B53423">
              <w:t>7.</w:t>
            </w:r>
          </w:p>
        </w:tc>
        <w:tc>
          <w:tcPr>
            <w:tcW w:w="4770" w:type="dxa"/>
          </w:tcPr>
          <w:p w:rsidR="00D94698" w:rsidRPr="00B53423" w:rsidRDefault="00D94698" w:rsidP="0015232B">
            <w:pPr>
              <w:jc w:val="center"/>
            </w:pPr>
            <w:r w:rsidRPr="00B53423">
              <w:t>7</w:t>
            </w:r>
          </w:p>
        </w:tc>
        <w:tc>
          <w:tcPr>
            <w:tcW w:w="3181" w:type="dxa"/>
          </w:tcPr>
          <w:p w:rsidR="00D94698" w:rsidRPr="00B53423" w:rsidRDefault="00D94698" w:rsidP="0015232B">
            <w:pPr>
              <w:jc w:val="center"/>
            </w:pPr>
            <w:r w:rsidRPr="00B53423">
              <w:t>6</w:t>
            </w:r>
          </w:p>
        </w:tc>
      </w:tr>
      <w:tr w:rsidR="00D94698" w:rsidRPr="00B53423" w:rsidTr="00E93F0F">
        <w:trPr>
          <w:jc w:val="center"/>
        </w:trPr>
        <w:tc>
          <w:tcPr>
            <w:tcW w:w="720" w:type="dxa"/>
          </w:tcPr>
          <w:p w:rsidR="00D94698" w:rsidRPr="00B53423" w:rsidRDefault="00D94698" w:rsidP="0015232B">
            <w:pPr>
              <w:jc w:val="center"/>
            </w:pPr>
            <w:r w:rsidRPr="00B53423">
              <w:t>8.</w:t>
            </w:r>
          </w:p>
        </w:tc>
        <w:tc>
          <w:tcPr>
            <w:tcW w:w="4770" w:type="dxa"/>
          </w:tcPr>
          <w:p w:rsidR="00D94698" w:rsidRPr="00B53423" w:rsidRDefault="00D94698" w:rsidP="0015232B">
            <w:pPr>
              <w:jc w:val="center"/>
            </w:pPr>
            <w:r w:rsidRPr="00B53423">
              <w:t>8</w:t>
            </w:r>
          </w:p>
        </w:tc>
        <w:tc>
          <w:tcPr>
            <w:tcW w:w="3181" w:type="dxa"/>
          </w:tcPr>
          <w:p w:rsidR="00D94698" w:rsidRPr="00B53423" w:rsidRDefault="00D94698" w:rsidP="0015232B">
            <w:pPr>
              <w:jc w:val="center"/>
            </w:pPr>
            <w:r w:rsidRPr="00B53423">
              <w:t>6</w:t>
            </w:r>
          </w:p>
        </w:tc>
      </w:tr>
      <w:tr w:rsidR="00D94698" w:rsidRPr="00B53423" w:rsidTr="00E93F0F">
        <w:trPr>
          <w:jc w:val="center"/>
        </w:trPr>
        <w:tc>
          <w:tcPr>
            <w:tcW w:w="720" w:type="dxa"/>
          </w:tcPr>
          <w:p w:rsidR="00D94698" w:rsidRPr="00B53423" w:rsidRDefault="00D94698" w:rsidP="0015232B">
            <w:pPr>
              <w:jc w:val="center"/>
            </w:pPr>
            <w:r w:rsidRPr="00B53423">
              <w:t>9.</w:t>
            </w:r>
          </w:p>
        </w:tc>
        <w:tc>
          <w:tcPr>
            <w:tcW w:w="4770" w:type="dxa"/>
          </w:tcPr>
          <w:p w:rsidR="00D94698" w:rsidRPr="00B53423" w:rsidRDefault="00D94698" w:rsidP="0015232B">
            <w:pPr>
              <w:jc w:val="center"/>
            </w:pPr>
            <w:r w:rsidRPr="00B53423">
              <w:t>9</w:t>
            </w:r>
          </w:p>
        </w:tc>
        <w:tc>
          <w:tcPr>
            <w:tcW w:w="3181" w:type="dxa"/>
          </w:tcPr>
          <w:p w:rsidR="00D94698" w:rsidRPr="00B53423" w:rsidRDefault="00D94698" w:rsidP="0015232B">
            <w:pPr>
              <w:jc w:val="center"/>
            </w:pPr>
            <w:r w:rsidRPr="00B53423">
              <w:t>7</w:t>
            </w:r>
          </w:p>
        </w:tc>
      </w:tr>
      <w:tr w:rsidR="00D94698" w:rsidRPr="00B53423" w:rsidTr="00E93F0F">
        <w:trPr>
          <w:jc w:val="center"/>
        </w:trPr>
        <w:tc>
          <w:tcPr>
            <w:tcW w:w="720" w:type="dxa"/>
          </w:tcPr>
          <w:p w:rsidR="00D94698" w:rsidRPr="00B53423" w:rsidRDefault="00D94698" w:rsidP="0015232B">
            <w:pPr>
              <w:jc w:val="center"/>
            </w:pPr>
            <w:r w:rsidRPr="00B53423">
              <w:t>10.</w:t>
            </w:r>
          </w:p>
        </w:tc>
        <w:tc>
          <w:tcPr>
            <w:tcW w:w="4770" w:type="dxa"/>
          </w:tcPr>
          <w:p w:rsidR="00D94698" w:rsidRPr="00B53423" w:rsidRDefault="00D94698" w:rsidP="0015232B">
            <w:pPr>
              <w:jc w:val="center"/>
            </w:pPr>
            <w:r w:rsidRPr="00B53423">
              <w:t>10</w:t>
            </w:r>
          </w:p>
        </w:tc>
        <w:tc>
          <w:tcPr>
            <w:tcW w:w="3181" w:type="dxa"/>
          </w:tcPr>
          <w:p w:rsidR="00D94698" w:rsidRPr="00B53423" w:rsidRDefault="00D94698" w:rsidP="0015232B">
            <w:pPr>
              <w:jc w:val="center"/>
            </w:pPr>
            <w:r w:rsidRPr="00B53423">
              <w:t>8</w:t>
            </w:r>
          </w:p>
        </w:tc>
      </w:tr>
      <w:tr w:rsidR="00D94698" w:rsidRPr="00B53423" w:rsidTr="00E93F0F">
        <w:trPr>
          <w:jc w:val="center"/>
        </w:trPr>
        <w:tc>
          <w:tcPr>
            <w:tcW w:w="720" w:type="dxa"/>
          </w:tcPr>
          <w:p w:rsidR="00D94698" w:rsidRPr="00B53423" w:rsidRDefault="00D94698" w:rsidP="0015232B">
            <w:pPr>
              <w:jc w:val="center"/>
            </w:pPr>
            <w:r w:rsidRPr="00B53423">
              <w:t>11.</w:t>
            </w:r>
          </w:p>
        </w:tc>
        <w:tc>
          <w:tcPr>
            <w:tcW w:w="4770" w:type="dxa"/>
          </w:tcPr>
          <w:p w:rsidR="00D94698" w:rsidRPr="00B53423" w:rsidRDefault="00D94698" w:rsidP="0015232B">
            <w:pPr>
              <w:jc w:val="center"/>
            </w:pPr>
            <w:r w:rsidRPr="00B53423">
              <w:t>11</w:t>
            </w:r>
          </w:p>
        </w:tc>
        <w:tc>
          <w:tcPr>
            <w:tcW w:w="3181" w:type="dxa"/>
          </w:tcPr>
          <w:p w:rsidR="00D94698" w:rsidRPr="00B53423" w:rsidRDefault="00D94698" w:rsidP="0015232B">
            <w:pPr>
              <w:jc w:val="center"/>
            </w:pPr>
            <w:r w:rsidRPr="00B53423">
              <w:t>9</w:t>
            </w:r>
          </w:p>
        </w:tc>
      </w:tr>
      <w:tr w:rsidR="00D94698" w:rsidRPr="00B53423" w:rsidTr="00E93F0F">
        <w:trPr>
          <w:jc w:val="center"/>
        </w:trPr>
        <w:tc>
          <w:tcPr>
            <w:tcW w:w="720" w:type="dxa"/>
          </w:tcPr>
          <w:p w:rsidR="00D94698" w:rsidRPr="00B53423" w:rsidRDefault="00D94698" w:rsidP="0015232B">
            <w:pPr>
              <w:jc w:val="center"/>
            </w:pPr>
            <w:r w:rsidRPr="00B53423">
              <w:t>12.</w:t>
            </w:r>
          </w:p>
        </w:tc>
        <w:tc>
          <w:tcPr>
            <w:tcW w:w="4770" w:type="dxa"/>
          </w:tcPr>
          <w:p w:rsidR="00D94698" w:rsidRPr="00B53423" w:rsidRDefault="00D94698" w:rsidP="0015232B">
            <w:pPr>
              <w:jc w:val="center"/>
            </w:pPr>
            <w:r w:rsidRPr="00B53423">
              <w:t>12</w:t>
            </w:r>
          </w:p>
        </w:tc>
        <w:tc>
          <w:tcPr>
            <w:tcW w:w="3181" w:type="dxa"/>
          </w:tcPr>
          <w:p w:rsidR="00D94698" w:rsidRPr="00B53423" w:rsidRDefault="00D94698" w:rsidP="0015232B">
            <w:pPr>
              <w:jc w:val="center"/>
            </w:pPr>
            <w:r w:rsidRPr="00B53423">
              <w:t>9</w:t>
            </w:r>
          </w:p>
        </w:tc>
      </w:tr>
      <w:tr w:rsidR="00D94698" w:rsidRPr="00B53423" w:rsidTr="00E93F0F">
        <w:trPr>
          <w:jc w:val="center"/>
        </w:trPr>
        <w:tc>
          <w:tcPr>
            <w:tcW w:w="720" w:type="dxa"/>
          </w:tcPr>
          <w:p w:rsidR="00D94698" w:rsidRPr="00B53423" w:rsidRDefault="00D94698" w:rsidP="0015232B">
            <w:pPr>
              <w:jc w:val="center"/>
            </w:pPr>
            <w:r w:rsidRPr="00B53423">
              <w:t>13.</w:t>
            </w:r>
          </w:p>
        </w:tc>
        <w:tc>
          <w:tcPr>
            <w:tcW w:w="4770" w:type="dxa"/>
          </w:tcPr>
          <w:p w:rsidR="00D94698" w:rsidRPr="00B53423" w:rsidRDefault="00D94698" w:rsidP="0015232B">
            <w:pPr>
              <w:jc w:val="center"/>
            </w:pPr>
            <w:r w:rsidRPr="00B53423">
              <w:t>13</w:t>
            </w:r>
          </w:p>
        </w:tc>
        <w:tc>
          <w:tcPr>
            <w:tcW w:w="3181" w:type="dxa"/>
          </w:tcPr>
          <w:p w:rsidR="00D94698" w:rsidRPr="00B53423" w:rsidRDefault="00D94698" w:rsidP="0015232B">
            <w:pPr>
              <w:jc w:val="center"/>
            </w:pPr>
            <w:r w:rsidRPr="00B53423">
              <w:t>10</w:t>
            </w:r>
          </w:p>
        </w:tc>
      </w:tr>
      <w:tr w:rsidR="00D94698" w:rsidRPr="00B53423" w:rsidTr="00E93F0F">
        <w:trPr>
          <w:jc w:val="center"/>
        </w:trPr>
        <w:tc>
          <w:tcPr>
            <w:tcW w:w="720" w:type="dxa"/>
          </w:tcPr>
          <w:p w:rsidR="00D94698" w:rsidRPr="00B53423" w:rsidRDefault="00D94698" w:rsidP="0015232B">
            <w:pPr>
              <w:jc w:val="center"/>
            </w:pPr>
            <w:r w:rsidRPr="00B53423">
              <w:t>14.</w:t>
            </w:r>
          </w:p>
        </w:tc>
        <w:tc>
          <w:tcPr>
            <w:tcW w:w="4770" w:type="dxa"/>
          </w:tcPr>
          <w:p w:rsidR="00D94698" w:rsidRPr="00B53423" w:rsidRDefault="00D94698" w:rsidP="0015232B">
            <w:pPr>
              <w:jc w:val="center"/>
            </w:pPr>
            <w:r w:rsidRPr="00B53423">
              <w:t>14</w:t>
            </w:r>
          </w:p>
        </w:tc>
        <w:tc>
          <w:tcPr>
            <w:tcW w:w="3181" w:type="dxa"/>
          </w:tcPr>
          <w:p w:rsidR="00D94698" w:rsidRPr="00B53423" w:rsidRDefault="00D94698" w:rsidP="0015232B">
            <w:pPr>
              <w:jc w:val="center"/>
            </w:pPr>
            <w:r w:rsidRPr="00B53423">
              <w:t>11</w:t>
            </w:r>
          </w:p>
        </w:tc>
      </w:tr>
      <w:tr w:rsidR="00D94698" w:rsidRPr="00B53423" w:rsidTr="00E93F0F">
        <w:trPr>
          <w:jc w:val="center"/>
        </w:trPr>
        <w:tc>
          <w:tcPr>
            <w:tcW w:w="720" w:type="dxa"/>
          </w:tcPr>
          <w:p w:rsidR="00D94698" w:rsidRPr="00B53423" w:rsidRDefault="00D94698" w:rsidP="0015232B">
            <w:pPr>
              <w:jc w:val="center"/>
            </w:pPr>
            <w:r w:rsidRPr="00B53423">
              <w:t>15.</w:t>
            </w:r>
          </w:p>
        </w:tc>
        <w:tc>
          <w:tcPr>
            <w:tcW w:w="4770" w:type="dxa"/>
          </w:tcPr>
          <w:p w:rsidR="00D94698" w:rsidRPr="00B53423" w:rsidRDefault="00D94698" w:rsidP="0015232B">
            <w:pPr>
              <w:jc w:val="center"/>
            </w:pPr>
            <w:r w:rsidRPr="00B53423">
              <w:t>15</w:t>
            </w:r>
          </w:p>
        </w:tc>
        <w:tc>
          <w:tcPr>
            <w:tcW w:w="3181" w:type="dxa"/>
          </w:tcPr>
          <w:p w:rsidR="00D94698" w:rsidRPr="00B53423" w:rsidRDefault="00D94698" w:rsidP="0015232B">
            <w:pPr>
              <w:jc w:val="center"/>
            </w:pPr>
            <w:r w:rsidRPr="00B53423">
              <w:t>12</w:t>
            </w:r>
          </w:p>
        </w:tc>
      </w:tr>
      <w:tr w:rsidR="00D94698" w:rsidRPr="00B53423" w:rsidTr="00E93F0F">
        <w:trPr>
          <w:jc w:val="center"/>
        </w:trPr>
        <w:tc>
          <w:tcPr>
            <w:tcW w:w="720" w:type="dxa"/>
          </w:tcPr>
          <w:p w:rsidR="00D94698" w:rsidRPr="00B53423" w:rsidRDefault="00D94698" w:rsidP="0015232B">
            <w:pPr>
              <w:jc w:val="center"/>
            </w:pPr>
            <w:r w:rsidRPr="00B53423">
              <w:t>16.</w:t>
            </w:r>
          </w:p>
        </w:tc>
        <w:tc>
          <w:tcPr>
            <w:tcW w:w="4770" w:type="dxa"/>
          </w:tcPr>
          <w:p w:rsidR="00D94698" w:rsidRPr="00B53423" w:rsidRDefault="00D94698" w:rsidP="0015232B">
            <w:pPr>
              <w:jc w:val="center"/>
            </w:pPr>
            <w:r w:rsidRPr="00B53423">
              <w:t>16</w:t>
            </w:r>
          </w:p>
        </w:tc>
        <w:tc>
          <w:tcPr>
            <w:tcW w:w="3181" w:type="dxa"/>
          </w:tcPr>
          <w:p w:rsidR="00D94698" w:rsidRPr="00B53423" w:rsidRDefault="00D94698" w:rsidP="0015232B">
            <w:pPr>
              <w:jc w:val="center"/>
            </w:pPr>
            <w:r w:rsidRPr="00B53423">
              <w:t>12</w:t>
            </w:r>
          </w:p>
        </w:tc>
      </w:tr>
      <w:tr w:rsidR="00D94698" w:rsidRPr="00B53423" w:rsidTr="00E93F0F">
        <w:trPr>
          <w:jc w:val="center"/>
        </w:trPr>
        <w:tc>
          <w:tcPr>
            <w:tcW w:w="720" w:type="dxa"/>
          </w:tcPr>
          <w:p w:rsidR="00D94698" w:rsidRPr="00B53423" w:rsidRDefault="00D94698" w:rsidP="0015232B">
            <w:pPr>
              <w:jc w:val="center"/>
            </w:pPr>
            <w:r w:rsidRPr="00B53423">
              <w:t>17.</w:t>
            </w:r>
          </w:p>
        </w:tc>
        <w:tc>
          <w:tcPr>
            <w:tcW w:w="4770" w:type="dxa"/>
          </w:tcPr>
          <w:p w:rsidR="00D94698" w:rsidRPr="00B53423" w:rsidRDefault="00D94698" w:rsidP="0015232B">
            <w:pPr>
              <w:jc w:val="center"/>
            </w:pPr>
            <w:r w:rsidRPr="00B53423">
              <w:t>17</w:t>
            </w:r>
          </w:p>
        </w:tc>
        <w:tc>
          <w:tcPr>
            <w:tcW w:w="3181" w:type="dxa"/>
          </w:tcPr>
          <w:p w:rsidR="00D94698" w:rsidRPr="00B53423" w:rsidRDefault="00D94698" w:rsidP="0015232B">
            <w:pPr>
              <w:jc w:val="center"/>
            </w:pPr>
            <w:r w:rsidRPr="00B53423">
              <w:t>13</w:t>
            </w:r>
          </w:p>
        </w:tc>
      </w:tr>
      <w:tr w:rsidR="00D94698" w:rsidRPr="00B53423" w:rsidTr="00E93F0F">
        <w:trPr>
          <w:jc w:val="center"/>
        </w:trPr>
        <w:tc>
          <w:tcPr>
            <w:tcW w:w="720" w:type="dxa"/>
          </w:tcPr>
          <w:p w:rsidR="00D94698" w:rsidRPr="00B53423" w:rsidRDefault="00D94698" w:rsidP="0015232B">
            <w:pPr>
              <w:jc w:val="center"/>
            </w:pPr>
            <w:r w:rsidRPr="00B53423">
              <w:t>18.</w:t>
            </w:r>
          </w:p>
        </w:tc>
        <w:tc>
          <w:tcPr>
            <w:tcW w:w="4770" w:type="dxa"/>
          </w:tcPr>
          <w:p w:rsidR="00D94698" w:rsidRPr="00B53423" w:rsidRDefault="00D94698" w:rsidP="0015232B">
            <w:pPr>
              <w:jc w:val="center"/>
            </w:pPr>
            <w:r w:rsidRPr="00B53423">
              <w:t>18</w:t>
            </w:r>
          </w:p>
        </w:tc>
        <w:tc>
          <w:tcPr>
            <w:tcW w:w="3181" w:type="dxa"/>
          </w:tcPr>
          <w:p w:rsidR="00D94698" w:rsidRPr="00B53423" w:rsidRDefault="00D94698" w:rsidP="0015232B">
            <w:pPr>
              <w:jc w:val="center"/>
            </w:pPr>
            <w:r w:rsidRPr="00B53423">
              <w:t>14</w:t>
            </w:r>
          </w:p>
        </w:tc>
      </w:tr>
      <w:tr w:rsidR="00D94698" w:rsidRPr="00B53423" w:rsidTr="00E93F0F">
        <w:trPr>
          <w:jc w:val="center"/>
        </w:trPr>
        <w:tc>
          <w:tcPr>
            <w:tcW w:w="720" w:type="dxa"/>
          </w:tcPr>
          <w:p w:rsidR="00D94698" w:rsidRPr="00B53423" w:rsidRDefault="00D94698" w:rsidP="0015232B">
            <w:pPr>
              <w:jc w:val="center"/>
            </w:pPr>
            <w:r w:rsidRPr="00B53423">
              <w:t>19.</w:t>
            </w:r>
          </w:p>
        </w:tc>
        <w:tc>
          <w:tcPr>
            <w:tcW w:w="4770" w:type="dxa"/>
          </w:tcPr>
          <w:p w:rsidR="00D94698" w:rsidRPr="00B53423" w:rsidRDefault="00D94698" w:rsidP="0015232B">
            <w:pPr>
              <w:jc w:val="center"/>
            </w:pPr>
            <w:r w:rsidRPr="00B53423">
              <w:t>19</w:t>
            </w:r>
          </w:p>
        </w:tc>
        <w:tc>
          <w:tcPr>
            <w:tcW w:w="3181" w:type="dxa"/>
          </w:tcPr>
          <w:p w:rsidR="00D94698" w:rsidRPr="00B53423" w:rsidRDefault="00D94698" w:rsidP="0015232B">
            <w:pPr>
              <w:jc w:val="center"/>
            </w:pPr>
            <w:r w:rsidRPr="00B53423">
              <w:t>15</w:t>
            </w:r>
          </w:p>
        </w:tc>
      </w:tr>
      <w:tr w:rsidR="00D94698" w:rsidRPr="00B53423" w:rsidTr="00E93F0F">
        <w:trPr>
          <w:jc w:val="center"/>
        </w:trPr>
        <w:tc>
          <w:tcPr>
            <w:tcW w:w="720" w:type="dxa"/>
          </w:tcPr>
          <w:p w:rsidR="00D94698" w:rsidRPr="00B53423" w:rsidRDefault="00D94698" w:rsidP="0015232B">
            <w:pPr>
              <w:jc w:val="center"/>
            </w:pPr>
            <w:r w:rsidRPr="00B53423">
              <w:t>20</w:t>
            </w:r>
          </w:p>
        </w:tc>
        <w:tc>
          <w:tcPr>
            <w:tcW w:w="4770" w:type="dxa"/>
          </w:tcPr>
          <w:p w:rsidR="00D94698" w:rsidRPr="00B53423" w:rsidRDefault="00D94698" w:rsidP="0015232B">
            <w:pPr>
              <w:jc w:val="center"/>
            </w:pPr>
            <w:r w:rsidRPr="00B53423">
              <w:t>20</w:t>
            </w:r>
          </w:p>
        </w:tc>
        <w:tc>
          <w:tcPr>
            <w:tcW w:w="3181" w:type="dxa"/>
          </w:tcPr>
          <w:p w:rsidR="00D94698" w:rsidRPr="00B53423" w:rsidRDefault="00D94698" w:rsidP="0015232B">
            <w:pPr>
              <w:jc w:val="center"/>
            </w:pPr>
            <w:r w:rsidRPr="00B53423">
              <w:t>15</w:t>
            </w:r>
          </w:p>
        </w:tc>
      </w:tr>
      <w:tr w:rsidR="00D94698" w:rsidRPr="00B53423" w:rsidTr="00E93F0F">
        <w:trPr>
          <w:jc w:val="center"/>
        </w:trPr>
        <w:tc>
          <w:tcPr>
            <w:tcW w:w="720" w:type="dxa"/>
          </w:tcPr>
          <w:p w:rsidR="00D94698" w:rsidRPr="00B53423" w:rsidRDefault="00D94698" w:rsidP="0015232B">
            <w:pPr>
              <w:jc w:val="center"/>
            </w:pPr>
            <w:r w:rsidRPr="00B53423">
              <w:t>21.</w:t>
            </w:r>
          </w:p>
        </w:tc>
        <w:tc>
          <w:tcPr>
            <w:tcW w:w="4770" w:type="dxa"/>
          </w:tcPr>
          <w:p w:rsidR="00D94698" w:rsidRPr="00B53423" w:rsidRDefault="00D94698" w:rsidP="0015232B">
            <w:pPr>
              <w:jc w:val="center"/>
            </w:pPr>
            <w:r w:rsidRPr="00B53423">
              <w:t>21</w:t>
            </w:r>
          </w:p>
        </w:tc>
        <w:tc>
          <w:tcPr>
            <w:tcW w:w="3181" w:type="dxa"/>
          </w:tcPr>
          <w:p w:rsidR="00D94698" w:rsidRPr="00B53423" w:rsidRDefault="00D94698" w:rsidP="0015232B">
            <w:pPr>
              <w:jc w:val="center"/>
            </w:pPr>
            <w:r w:rsidRPr="00B53423">
              <w:t>16</w:t>
            </w:r>
          </w:p>
        </w:tc>
      </w:tr>
      <w:tr w:rsidR="00D94698" w:rsidRPr="00B53423" w:rsidTr="00E93F0F">
        <w:trPr>
          <w:jc w:val="center"/>
        </w:trPr>
        <w:tc>
          <w:tcPr>
            <w:tcW w:w="720" w:type="dxa"/>
          </w:tcPr>
          <w:p w:rsidR="00D94698" w:rsidRPr="00B53423" w:rsidRDefault="00D94698" w:rsidP="0015232B">
            <w:pPr>
              <w:jc w:val="center"/>
            </w:pPr>
            <w:r w:rsidRPr="00B53423">
              <w:t>22.</w:t>
            </w:r>
          </w:p>
        </w:tc>
        <w:tc>
          <w:tcPr>
            <w:tcW w:w="4770" w:type="dxa"/>
          </w:tcPr>
          <w:p w:rsidR="00D94698" w:rsidRPr="00B53423" w:rsidRDefault="00D94698" w:rsidP="0015232B">
            <w:pPr>
              <w:jc w:val="center"/>
            </w:pPr>
            <w:r w:rsidRPr="00B53423">
              <w:t>22</w:t>
            </w:r>
          </w:p>
        </w:tc>
        <w:tc>
          <w:tcPr>
            <w:tcW w:w="3181" w:type="dxa"/>
          </w:tcPr>
          <w:p w:rsidR="00D94698" w:rsidRPr="00B53423" w:rsidRDefault="00D94698" w:rsidP="0015232B">
            <w:pPr>
              <w:jc w:val="center"/>
            </w:pPr>
            <w:r w:rsidRPr="00B53423">
              <w:t>17</w:t>
            </w:r>
          </w:p>
        </w:tc>
      </w:tr>
      <w:tr w:rsidR="00D94698" w:rsidRPr="00B53423" w:rsidTr="00E93F0F">
        <w:trPr>
          <w:jc w:val="center"/>
        </w:trPr>
        <w:tc>
          <w:tcPr>
            <w:tcW w:w="720" w:type="dxa"/>
          </w:tcPr>
          <w:p w:rsidR="00D94698" w:rsidRPr="00B53423" w:rsidRDefault="00D94698" w:rsidP="0015232B">
            <w:pPr>
              <w:jc w:val="center"/>
            </w:pPr>
            <w:r w:rsidRPr="00B53423">
              <w:t>23.</w:t>
            </w:r>
          </w:p>
        </w:tc>
        <w:tc>
          <w:tcPr>
            <w:tcW w:w="4770" w:type="dxa"/>
          </w:tcPr>
          <w:p w:rsidR="00D94698" w:rsidRPr="00B53423" w:rsidRDefault="00D94698" w:rsidP="0015232B">
            <w:pPr>
              <w:jc w:val="center"/>
            </w:pPr>
            <w:r w:rsidRPr="00B53423">
              <w:t>23</w:t>
            </w:r>
          </w:p>
        </w:tc>
        <w:tc>
          <w:tcPr>
            <w:tcW w:w="3181" w:type="dxa"/>
          </w:tcPr>
          <w:p w:rsidR="00D94698" w:rsidRPr="00B53423" w:rsidRDefault="00D94698" w:rsidP="0015232B">
            <w:pPr>
              <w:jc w:val="center"/>
            </w:pPr>
            <w:r w:rsidRPr="00B53423">
              <w:t>18</w:t>
            </w:r>
          </w:p>
        </w:tc>
      </w:tr>
      <w:tr w:rsidR="00D94698" w:rsidRPr="00B53423" w:rsidTr="00E93F0F">
        <w:trPr>
          <w:jc w:val="center"/>
        </w:trPr>
        <w:tc>
          <w:tcPr>
            <w:tcW w:w="720" w:type="dxa"/>
          </w:tcPr>
          <w:p w:rsidR="00D94698" w:rsidRPr="00B53423" w:rsidRDefault="00D94698" w:rsidP="0015232B">
            <w:pPr>
              <w:jc w:val="center"/>
            </w:pPr>
            <w:r w:rsidRPr="00B53423">
              <w:t>24.</w:t>
            </w:r>
          </w:p>
        </w:tc>
        <w:tc>
          <w:tcPr>
            <w:tcW w:w="4770" w:type="dxa"/>
          </w:tcPr>
          <w:p w:rsidR="00D94698" w:rsidRPr="00B53423" w:rsidRDefault="00D94698" w:rsidP="0015232B">
            <w:pPr>
              <w:jc w:val="center"/>
            </w:pPr>
            <w:r w:rsidRPr="00B53423">
              <w:t>24</w:t>
            </w:r>
          </w:p>
        </w:tc>
        <w:tc>
          <w:tcPr>
            <w:tcW w:w="3181" w:type="dxa"/>
          </w:tcPr>
          <w:p w:rsidR="00D94698" w:rsidRPr="00B53423" w:rsidRDefault="00D94698" w:rsidP="0015232B">
            <w:pPr>
              <w:jc w:val="center"/>
            </w:pPr>
            <w:r w:rsidRPr="00B53423">
              <w:t>19</w:t>
            </w:r>
          </w:p>
        </w:tc>
      </w:tr>
      <w:tr w:rsidR="00D94698" w:rsidRPr="00B53423" w:rsidTr="00E93F0F">
        <w:trPr>
          <w:jc w:val="center"/>
        </w:trPr>
        <w:tc>
          <w:tcPr>
            <w:tcW w:w="720" w:type="dxa"/>
          </w:tcPr>
          <w:p w:rsidR="00D94698" w:rsidRPr="00B53423" w:rsidRDefault="00D94698" w:rsidP="0015232B">
            <w:pPr>
              <w:jc w:val="center"/>
            </w:pPr>
            <w:r w:rsidRPr="00B53423">
              <w:t>25.</w:t>
            </w:r>
          </w:p>
        </w:tc>
        <w:tc>
          <w:tcPr>
            <w:tcW w:w="4770" w:type="dxa"/>
          </w:tcPr>
          <w:p w:rsidR="00D94698" w:rsidRPr="00B53423" w:rsidRDefault="00D94698" w:rsidP="0015232B">
            <w:pPr>
              <w:jc w:val="center"/>
            </w:pPr>
            <w:r w:rsidRPr="00B53423">
              <w:t>25</w:t>
            </w:r>
          </w:p>
        </w:tc>
        <w:tc>
          <w:tcPr>
            <w:tcW w:w="3181" w:type="dxa"/>
          </w:tcPr>
          <w:p w:rsidR="00D94698" w:rsidRPr="00B53423" w:rsidRDefault="00D94698" w:rsidP="0015232B">
            <w:pPr>
              <w:jc w:val="center"/>
            </w:pPr>
            <w:r w:rsidRPr="00B53423">
              <w:t>19</w:t>
            </w:r>
          </w:p>
        </w:tc>
      </w:tr>
      <w:tr w:rsidR="00D94698" w:rsidRPr="00B53423" w:rsidTr="00E93F0F">
        <w:trPr>
          <w:jc w:val="center"/>
        </w:trPr>
        <w:tc>
          <w:tcPr>
            <w:tcW w:w="720" w:type="dxa"/>
          </w:tcPr>
          <w:p w:rsidR="00D94698" w:rsidRPr="00B53423" w:rsidRDefault="00D94698" w:rsidP="0015232B">
            <w:pPr>
              <w:jc w:val="center"/>
            </w:pPr>
            <w:r w:rsidRPr="00B53423">
              <w:t>26.</w:t>
            </w:r>
          </w:p>
        </w:tc>
        <w:tc>
          <w:tcPr>
            <w:tcW w:w="4770" w:type="dxa"/>
          </w:tcPr>
          <w:p w:rsidR="00D94698" w:rsidRPr="00B53423" w:rsidRDefault="00D94698" w:rsidP="0015232B">
            <w:pPr>
              <w:jc w:val="center"/>
            </w:pPr>
            <w:r w:rsidRPr="00B53423">
              <w:t>26</w:t>
            </w:r>
          </w:p>
        </w:tc>
        <w:tc>
          <w:tcPr>
            <w:tcW w:w="3181" w:type="dxa"/>
          </w:tcPr>
          <w:p w:rsidR="00D94698" w:rsidRPr="00B53423" w:rsidRDefault="00D94698" w:rsidP="0015232B">
            <w:pPr>
              <w:jc w:val="center"/>
            </w:pPr>
            <w:r w:rsidRPr="00B53423">
              <w:t>20</w:t>
            </w:r>
          </w:p>
        </w:tc>
      </w:tr>
      <w:tr w:rsidR="00D94698" w:rsidRPr="00B53423" w:rsidTr="00E93F0F">
        <w:trPr>
          <w:jc w:val="center"/>
        </w:trPr>
        <w:tc>
          <w:tcPr>
            <w:tcW w:w="720" w:type="dxa"/>
          </w:tcPr>
          <w:p w:rsidR="00D94698" w:rsidRPr="00B53423" w:rsidRDefault="00D94698" w:rsidP="0015232B">
            <w:pPr>
              <w:jc w:val="center"/>
            </w:pPr>
            <w:r w:rsidRPr="00B53423">
              <w:t>27.</w:t>
            </w:r>
          </w:p>
        </w:tc>
        <w:tc>
          <w:tcPr>
            <w:tcW w:w="4770" w:type="dxa"/>
          </w:tcPr>
          <w:p w:rsidR="00D94698" w:rsidRPr="00B53423" w:rsidRDefault="00D94698" w:rsidP="0015232B">
            <w:pPr>
              <w:jc w:val="center"/>
            </w:pPr>
            <w:r w:rsidRPr="00B53423">
              <w:t>27</w:t>
            </w:r>
          </w:p>
        </w:tc>
        <w:tc>
          <w:tcPr>
            <w:tcW w:w="3181" w:type="dxa"/>
          </w:tcPr>
          <w:p w:rsidR="00D94698" w:rsidRPr="00B53423" w:rsidRDefault="00D94698" w:rsidP="0015232B">
            <w:pPr>
              <w:jc w:val="center"/>
            </w:pPr>
            <w:r w:rsidRPr="00B53423">
              <w:t>21</w:t>
            </w:r>
          </w:p>
        </w:tc>
      </w:tr>
      <w:tr w:rsidR="00D94698" w:rsidRPr="00B53423" w:rsidTr="00E93F0F">
        <w:trPr>
          <w:jc w:val="center"/>
        </w:trPr>
        <w:tc>
          <w:tcPr>
            <w:tcW w:w="720" w:type="dxa"/>
          </w:tcPr>
          <w:p w:rsidR="00D94698" w:rsidRPr="00B53423" w:rsidRDefault="00D94698" w:rsidP="0015232B">
            <w:pPr>
              <w:jc w:val="center"/>
            </w:pPr>
            <w:r w:rsidRPr="00B53423">
              <w:t>28.</w:t>
            </w:r>
          </w:p>
        </w:tc>
        <w:tc>
          <w:tcPr>
            <w:tcW w:w="4770" w:type="dxa"/>
          </w:tcPr>
          <w:p w:rsidR="00D94698" w:rsidRPr="00B53423" w:rsidRDefault="00D94698" w:rsidP="0015232B">
            <w:pPr>
              <w:jc w:val="center"/>
            </w:pPr>
            <w:r w:rsidRPr="00B53423">
              <w:t>28</w:t>
            </w:r>
          </w:p>
        </w:tc>
        <w:tc>
          <w:tcPr>
            <w:tcW w:w="3181" w:type="dxa"/>
          </w:tcPr>
          <w:p w:rsidR="00D94698" w:rsidRPr="00B53423" w:rsidRDefault="00D94698" w:rsidP="0015232B">
            <w:pPr>
              <w:jc w:val="center"/>
            </w:pPr>
            <w:r w:rsidRPr="00B53423">
              <w:t>22</w:t>
            </w:r>
          </w:p>
        </w:tc>
      </w:tr>
      <w:tr w:rsidR="00D94698" w:rsidRPr="00B53423" w:rsidTr="00E93F0F">
        <w:trPr>
          <w:jc w:val="center"/>
        </w:trPr>
        <w:tc>
          <w:tcPr>
            <w:tcW w:w="720" w:type="dxa"/>
          </w:tcPr>
          <w:p w:rsidR="00D94698" w:rsidRPr="00B53423" w:rsidRDefault="00D94698" w:rsidP="0015232B">
            <w:pPr>
              <w:jc w:val="center"/>
            </w:pPr>
            <w:r w:rsidRPr="00B53423">
              <w:t>29.</w:t>
            </w:r>
          </w:p>
        </w:tc>
        <w:tc>
          <w:tcPr>
            <w:tcW w:w="4770" w:type="dxa"/>
          </w:tcPr>
          <w:p w:rsidR="00D94698" w:rsidRPr="00B53423" w:rsidRDefault="00D94698" w:rsidP="0015232B">
            <w:pPr>
              <w:jc w:val="center"/>
            </w:pPr>
            <w:r w:rsidRPr="00B53423">
              <w:t>29</w:t>
            </w:r>
          </w:p>
        </w:tc>
        <w:tc>
          <w:tcPr>
            <w:tcW w:w="3181" w:type="dxa"/>
          </w:tcPr>
          <w:p w:rsidR="00D94698" w:rsidRPr="00B53423" w:rsidRDefault="00D94698" w:rsidP="0015232B">
            <w:pPr>
              <w:jc w:val="center"/>
            </w:pPr>
            <w:r w:rsidRPr="00B53423">
              <w:t>22</w:t>
            </w:r>
          </w:p>
        </w:tc>
      </w:tr>
      <w:tr w:rsidR="00D94698" w:rsidRPr="00B53423" w:rsidTr="00E93F0F">
        <w:trPr>
          <w:jc w:val="center"/>
        </w:trPr>
        <w:tc>
          <w:tcPr>
            <w:tcW w:w="720" w:type="dxa"/>
          </w:tcPr>
          <w:p w:rsidR="00D94698" w:rsidRPr="00B53423" w:rsidRDefault="00D94698" w:rsidP="0015232B">
            <w:pPr>
              <w:jc w:val="center"/>
            </w:pPr>
            <w:r w:rsidRPr="00B53423">
              <w:t>30.</w:t>
            </w:r>
          </w:p>
        </w:tc>
        <w:tc>
          <w:tcPr>
            <w:tcW w:w="4770" w:type="dxa"/>
          </w:tcPr>
          <w:p w:rsidR="00D94698" w:rsidRPr="00B53423" w:rsidRDefault="00D94698" w:rsidP="0015232B">
            <w:pPr>
              <w:jc w:val="center"/>
            </w:pPr>
            <w:r w:rsidRPr="00B53423">
              <w:t>30</w:t>
            </w:r>
          </w:p>
        </w:tc>
        <w:tc>
          <w:tcPr>
            <w:tcW w:w="3181" w:type="dxa"/>
          </w:tcPr>
          <w:p w:rsidR="00D94698" w:rsidRPr="00B53423" w:rsidRDefault="00D94698" w:rsidP="0015232B">
            <w:pPr>
              <w:jc w:val="center"/>
            </w:pPr>
            <w:r w:rsidRPr="00B53423">
              <w:t>23</w:t>
            </w:r>
          </w:p>
        </w:tc>
      </w:tr>
      <w:tr w:rsidR="00D94698" w:rsidRPr="00B53423" w:rsidTr="00E93F0F">
        <w:trPr>
          <w:jc w:val="center"/>
        </w:trPr>
        <w:tc>
          <w:tcPr>
            <w:tcW w:w="720" w:type="dxa"/>
          </w:tcPr>
          <w:p w:rsidR="00D94698" w:rsidRPr="00B53423" w:rsidRDefault="00D94698" w:rsidP="0015232B">
            <w:pPr>
              <w:jc w:val="center"/>
            </w:pPr>
            <w:r w:rsidRPr="00B53423">
              <w:t>31.</w:t>
            </w:r>
          </w:p>
        </w:tc>
        <w:tc>
          <w:tcPr>
            <w:tcW w:w="4770" w:type="dxa"/>
          </w:tcPr>
          <w:p w:rsidR="00D94698" w:rsidRPr="00B53423" w:rsidRDefault="00D94698" w:rsidP="0015232B">
            <w:pPr>
              <w:jc w:val="center"/>
            </w:pPr>
            <w:r w:rsidRPr="00B53423">
              <w:t>31</w:t>
            </w:r>
          </w:p>
        </w:tc>
        <w:tc>
          <w:tcPr>
            <w:tcW w:w="3181" w:type="dxa"/>
          </w:tcPr>
          <w:p w:rsidR="00D94698" w:rsidRPr="00B53423" w:rsidRDefault="00D94698" w:rsidP="0015232B">
            <w:pPr>
              <w:jc w:val="center"/>
            </w:pPr>
            <w:r w:rsidRPr="00B53423">
              <w:t>24</w:t>
            </w:r>
          </w:p>
        </w:tc>
      </w:tr>
      <w:tr w:rsidR="00D94698" w:rsidRPr="00B53423" w:rsidTr="00E93F0F">
        <w:trPr>
          <w:jc w:val="center"/>
        </w:trPr>
        <w:tc>
          <w:tcPr>
            <w:tcW w:w="720" w:type="dxa"/>
          </w:tcPr>
          <w:p w:rsidR="00D94698" w:rsidRPr="00B53423" w:rsidRDefault="00D94698" w:rsidP="0015232B">
            <w:pPr>
              <w:jc w:val="center"/>
            </w:pPr>
            <w:r w:rsidRPr="00B53423">
              <w:t>32.</w:t>
            </w:r>
          </w:p>
        </w:tc>
        <w:tc>
          <w:tcPr>
            <w:tcW w:w="4770" w:type="dxa"/>
          </w:tcPr>
          <w:p w:rsidR="00D94698" w:rsidRPr="00B53423" w:rsidRDefault="00D94698" w:rsidP="0015232B">
            <w:pPr>
              <w:jc w:val="center"/>
            </w:pPr>
            <w:r w:rsidRPr="00B53423">
              <w:t>32</w:t>
            </w:r>
          </w:p>
        </w:tc>
        <w:tc>
          <w:tcPr>
            <w:tcW w:w="3181" w:type="dxa"/>
          </w:tcPr>
          <w:p w:rsidR="00D94698" w:rsidRPr="00B53423" w:rsidRDefault="00D94698" w:rsidP="0015232B">
            <w:pPr>
              <w:jc w:val="center"/>
            </w:pPr>
            <w:r w:rsidRPr="00B53423">
              <w:t>25</w:t>
            </w:r>
          </w:p>
        </w:tc>
      </w:tr>
      <w:tr w:rsidR="00D94698" w:rsidRPr="00B53423" w:rsidTr="00E93F0F">
        <w:trPr>
          <w:jc w:val="center"/>
        </w:trPr>
        <w:tc>
          <w:tcPr>
            <w:tcW w:w="720" w:type="dxa"/>
          </w:tcPr>
          <w:p w:rsidR="00D94698" w:rsidRPr="00B53423" w:rsidRDefault="00D94698" w:rsidP="0015232B">
            <w:pPr>
              <w:jc w:val="center"/>
            </w:pPr>
            <w:r w:rsidRPr="00B53423">
              <w:t>33.</w:t>
            </w:r>
          </w:p>
        </w:tc>
        <w:tc>
          <w:tcPr>
            <w:tcW w:w="4770" w:type="dxa"/>
          </w:tcPr>
          <w:p w:rsidR="00D94698" w:rsidRPr="00B53423" w:rsidRDefault="00D94698" w:rsidP="0015232B">
            <w:pPr>
              <w:jc w:val="center"/>
            </w:pPr>
            <w:r w:rsidRPr="00B53423">
              <w:t>33</w:t>
            </w:r>
          </w:p>
        </w:tc>
        <w:tc>
          <w:tcPr>
            <w:tcW w:w="3181" w:type="dxa"/>
          </w:tcPr>
          <w:p w:rsidR="00D94698" w:rsidRPr="00B53423" w:rsidRDefault="00D94698" w:rsidP="0015232B">
            <w:pPr>
              <w:jc w:val="center"/>
            </w:pPr>
            <w:r w:rsidRPr="00B53423">
              <w:t>25</w:t>
            </w:r>
          </w:p>
        </w:tc>
      </w:tr>
      <w:tr w:rsidR="00D94698" w:rsidRPr="00B53423" w:rsidTr="00E93F0F">
        <w:trPr>
          <w:jc w:val="center"/>
        </w:trPr>
        <w:tc>
          <w:tcPr>
            <w:tcW w:w="720" w:type="dxa"/>
          </w:tcPr>
          <w:p w:rsidR="00D94698" w:rsidRPr="00B53423" w:rsidRDefault="00D94698" w:rsidP="0015232B">
            <w:pPr>
              <w:jc w:val="center"/>
            </w:pPr>
            <w:r w:rsidRPr="00B53423">
              <w:t>34.</w:t>
            </w:r>
          </w:p>
        </w:tc>
        <w:tc>
          <w:tcPr>
            <w:tcW w:w="4770" w:type="dxa"/>
          </w:tcPr>
          <w:p w:rsidR="00D94698" w:rsidRPr="00B53423" w:rsidRDefault="00D94698" w:rsidP="0015232B">
            <w:pPr>
              <w:jc w:val="center"/>
            </w:pPr>
            <w:r w:rsidRPr="00B53423">
              <w:t>34</w:t>
            </w:r>
          </w:p>
        </w:tc>
        <w:tc>
          <w:tcPr>
            <w:tcW w:w="3181" w:type="dxa"/>
          </w:tcPr>
          <w:p w:rsidR="00D94698" w:rsidRPr="00B53423" w:rsidRDefault="00D94698" w:rsidP="0015232B">
            <w:pPr>
              <w:jc w:val="center"/>
            </w:pPr>
            <w:r w:rsidRPr="00B53423">
              <w:t>26</w:t>
            </w:r>
          </w:p>
        </w:tc>
      </w:tr>
      <w:tr w:rsidR="00D94698" w:rsidRPr="00B53423" w:rsidTr="00E93F0F">
        <w:trPr>
          <w:jc w:val="center"/>
        </w:trPr>
        <w:tc>
          <w:tcPr>
            <w:tcW w:w="720" w:type="dxa"/>
          </w:tcPr>
          <w:p w:rsidR="00D94698" w:rsidRPr="00B53423" w:rsidRDefault="00D94698" w:rsidP="0015232B">
            <w:pPr>
              <w:jc w:val="center"/>
            </w:pPr>
            <w:r w:rsidRPr="00B53423">
              <w:t>35.</w:t>
            </w:r>
          </w:p>
        </w:tc>
        <w:tc>
          <w:tcPr>
            <w:tcW w:w="4770" w:type="dxa"/>
          </w:tcPr>
          <w:p w:rsidR="00D94698" w:rsidRPr="00B53423" w:rsidRDefault="00D94698" w:rsidP="0015232B">
            <w:pPr>
              <w:jc w:val="center"/>
            </w:pPr>
            <w:r w:rsidRPr="00B53423">
              <w:t>35</w:t>
            </w:r>
          </w:p>
        </w:tc>
        <w:tc>
          <w:tcPr>
            <w:tcW w:w="3181" w:type="dxa"/>
          </w:tcPr>
          <w:p w:rsidR="00D94698" w:rsidRPr="00B53423" w:rsidRDefault="00D94698" w:rsidP="0015232B">
            <w:pPr>
              <w:jc w:val="center"/>
            </w:pPr>
            <w:r w:rsidRPr="00B53423">
              <w:t>27</w:t>
            </w:r>
          </w:p>
        </w:tc>
      </w:tr>
      <w:bookmarkEnd w:id="1024"/>
      <w:bookmarkEnd w:id="1025"/>
    </w:tbl>
    <w:p w:rsidR="00D94698" w:rsidRPr="00B53423" w:rsidRDefault="00D94698" w:rsidP="0015232B">
      <w:pPr>
        <w:spacing w:before="0" w:after="200"/>
        <w:jc w:val="left"/>
        <w:rPr>
          <w:rFonts w:cs="Arial"/>
          <w:b/>
          <w:bCs/>
          <w:iCs/>
          <w:kern w:val="32"/>
          <w:szCs w:val="32"/>
        </w:rPr>
      </w:pPr>
      <w:r w:rsidRPr="00B53423">
        <w:rPr>
          <w:iCs/>
        </w:rPr>
        <w:br w:type="page"/>
      </w:r>
    </w:p>
    <w:p w:rsidR="00DE37E0" w:rsidRPr="00B53423" w:rsidRDefault="00DE37E0" w:rsidP="0015232B">
      <w:pPr>
        <w:pStyle w:val="Heading2"/>
        <w:keepNext w:val="0"/>
        <w:ind w:left="810" w:hanging="1170"/>
        <w:rPr>
          <w:iCs/>
          <w:color w:val="auto"/>
        </w:rPr>
      </w:pPr>
      <w:bookmarkStart w:id="1040" w:name="_Ref399494264"/>
      <w:bookmarkStart w:id="1041" w:name="_Toc399626261"/>
      <w:r w:rsidRPr="00B53423">
        <w:rPr>
          <w:iCs/>
          <w:color w:val="auto"/>
        </w:rPr>
        <w:t xml:space="preserve">LIST OF PERSONS WHO HAVE ATTENDED PUBLIC HEARING AT </w:t>
      </w:r>
      <w:r w:rsidR="00EB6CB1" w:rsidRPr="00B53423">
        <w:rPr>
          <w:iCs/>
          <w:color w:val="auto"/>
        </w:rPr>
        <w:t xml:space="preserve">KANPUR </w:t>
      </w:r>
      <w:r w:rsidRPr="00B53423">
        <w:rPr>
          <w:iCs/>
          <w:color w:val="auto"/>
        </w:rPr>
        <w:t>FOR ARR &amp; TARIFF DETERMINATION FOR FY 201</w:t>
      </w:r>
      <w:bookmarkEnd w:id="1022"/>
      <w:r w:rsidR="00EB6CB1" w:rsidRPr="00B53423">
        <w:rPr>
          <w:iCs/>
          <w:color w:val="auto"/>
        </w:rPr>
        <w:t>4-15 AND TRUE-UP OF FY 2008-09 to FY 2011-12.</w:t>
      </w:r>
      <w:bookmarkEnd w:id="1023"/>
      <w:bookmarkEnd w:id="1040"/>
      <w:bookmarkEnd w:id="1041"/>
    </w:p>
    <w:p w:rsidR="008E5045" w:rsidRPr="00B53423" w:rsidRDefault="008E5045" w:rsidP="0015232B">
      <w:pPr>
        <w:pStyle w:val="Heading2"/>
        <w:keepNext w:val="0"/>
        <w:numPr>
          <w:ilvl w:val="0"/>
          <w:numId w:val="0"/>
        </w:numPr>
        <w:ind w:left="576"/>
      </w:pPr>
    </w:p>
    <w:p w:rsidR="008E5045" w:rsidRPr="00B53423" w:rsidRDefault="008E5045" w:rsidP="0015232B">
      <w:pPr>
        <w:pStyle w:val="Heading2"/>
        <w:keepNext w:val="0"/>
        <w:numPr>
          <w:ilvl w:val="0"/>
          <w:numId w:val="0"/>
        </w:numPr>
        <w:ind w:left="576"/>
      </w:pPr>
    </w:p>
    <w:tbl>
      <w:tblPr>
        <w:tblW w:w="5348"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829"/>
        <w:gridCol w:w="3769"/>
        <w:gridCol w:w="4905"/>
      </w:tblGrid>
      <w:tr w:rsidR="00EC0E85" w:rsidRPr="00B53423" w:rsidTr="00EC0E85">
        <w:trPr>
          <w:trHeight w:val="300"/>
          <w:tblHeader/>
        </w:trPr>
        <w:tc>
          <w:tcPr>
            <w:tcW w:w="5000" w:type="pct"/>
            <w:gridSpan w:val="3"/>
            <w:shd w:val="clear" w:color="000000" w:fill="C5D9F1"/>
            <w:noWrap/>
            <w:vAlign w:val="bottom"/>
            <w:hideMark/>
          </w:tcPr>
          <w:p w:rsidR="00EC0E85" w:rsidRPr="00B53423" w:rsidRDefault="00EC0E85" w:rsidP="0015232B">
            <w:pPr>
              <w:spacing w:before="0" w:line="240" w:lineRule="auto"/>
              <w:jc w:val="center"/>
              <w:rPr>
                <w:rFonts w:asciiTheme="minorHAnsi" w:hAnsiTheme="minorHAnsi" w:cstheme="minorHAnsi"/>
                <w:b/>
                <w:bCs/>
                <w:color w:val="000000"/>
                <w:lang w:val="en-US"/>
              </w:rPr>
            </w:pPr>
            <w:bookmarkStart w:id="1042" w:name="_Toc357733360"/>
            <w:r w:rsidRPr="00B53423">
              <w:rPr>
                <w:rFonts w:asciiTheme="minorHAnsi" w:hAnsiTheme="minorHAnsi" w:cstheme="minorHAnsi"/>
                <w:b/>
                <w:bCs/>
                <w:color w:val="000000"/>
                <w:lang w:val="en-US"/>
              </w:rPr>
              <w:t>List of Persons who attended Public Hearing in Kanpur on 4</w:t>
            </w:r>
            <w:r w:rsidRPr="00B53423">
              <w:rPr>
                <w:rFonts w:asciiTheme="minorHAnsi" w:hAnsiTheme="minorHAnsi" w:cstheme="minorHAnsi"/>
                <w:b/>
                <w:bCs/>
                <w:color w:val="000000"/>
                <w:vertAlign w:val="superscript"/>
                <w:lang w:val="en-US"/>
              </w:rPr>
              <w:t>th</w:t>
            </w:r>
            <w:r w:rsidRPr="00B53423">
              <w:rPr>
                <w:rFonts w:asciiTheme="minorHAnsi" w:hAnsiTheme="minorHAnsi" w:cstheme="minorHAnsi"/>
                <w:b/>
                <w:bCs/>
                <w:color w:val="000000"/>
                <w:lang w:val="en-US"/>
              </w:rPr>
              <w:t xml:space="preserve"> July, 2014</w:t>
            </w:r>
          </w:p>
        </w:tc>
      </w:tr>
      <w:tr w:rsidR="00EC0E85" w:rsidRPr="00B53423" w:rsidTr="00EC0E85">
        <w:trPr>
          <w:trHeight w:val="300"/>
          <w:tblHeader/>
        </w:trPr>
        <w:tc>
          <w:tcPr>
            <w:tcW w:w="436" w:type="pct"/>
            <w:shd w:val="clear" w:color="000000" w:fill="C5D9F1"/>
            <w:noWrap/>
            <w:vAlign w:val="bottom"/>
            <w:hideMark/>
          </w:tcPr>
          <w:p w:rsidR="00EC0E85" w:rsidRPr="00B53423" w:rsidRDefault="00EC0E85" w:rsidP="0015232B">
            <w:pPr>
              <w:spacing w:before="0" w:line="240" w:lineRule="auto"/>
              <w:jc w:val="center"/>
              <w:rPr>
                <w:rFonts w:asciiTheme="minorHAnsi" w:hAnsiTheme="minorHAnsi" w:cstheme="minorHAnsi"/>
                <w:b/>
                <w:bCs/>
                <w:color w:val="000000"/>
                <w:lang w:val="en-US"/>
              </w:rPr>
            </w:pPr>
            <w:r w:rsidRPr="00B53423">
              <w:rPr>
                <w:rFonts w:asciiTheme="minorHAnsi" w:hAnsiTheme="minorHAnsi" w:cstheme="minorHAnsi"/>
                <w:b/>
                <w:bCs/>
                <w:color w:val="000000"/>
                <w:lang w:val="en-US"/>
              </w:rPr>
              <w:t>S.N</w:t>
            </w:r>
          </w:p>
        </w:tc>
        <w:tc>
          <w:tcPr>
            <w:tcW w:w="1983" w:type="pct"/>
            <w:shd w:val="clear" w:color="000000" w:fill="C5D9F1"/>
            <w:noWrap/>
            <w:vAlign w:val="bottom"/>
            <w:hideMark/>
          </w:tcPr>
          <w:p w:rsidR="00EC0E85" w:rsidRPr="00B53423" w:rsidRDefault="00EC0E85" w:rsidP="0015232B">
            <w:pPr>
              <w:spacing w:before="0" w:line="240" w:lineRule="auto"/>
              <w:jc w:val="left"/>
              <w:rPr>
                <w:rFonts w:asciiTheme="minorHAnsi" w:hAnsiTheme="minorHAnsi" w:cstheme="minorHAnsi"/>
                <w:b/>
                <w:bCs/>
                <w:color w:val="000000"/>
                <w:lang w:val="en-US"/>
              </w:rPr>
            </w:pPr>
            <w:r w:rsidRPr="00B53423">
              <w:rPr>
                <w:rFonts w:asciiTheme="minorHAnsi" w:hAnsiTheme="minorHAnsi" w:cstheme="minorHAnsi"/>
                <w:b/>
                <w:bCs/>
                <w:color w:val="000000"/>
                <w:lang w:val="en-US"/>
              </w:rPr>
              <w:t>Name</w:t>
            </w:r>
          </w:p>
        </w:tc>
        <w:tc>
          <w:tcPr>
            <w:tcW w:w="2581" w:type="pct"/>
            <w:shd w:val="clear" w:color="000000" w:fill="C5D9F1"/>
            <w:noWrap/>
            <w:vAlign w:val="bottom"/>
            <w:hideMark/>
          </w:tcPr>
          <w:p w:rsidR="00EC0E85" w:rsidRPr="00B53423" w:rsidRDefault="00EC0E85" w:rsidP="0015232B">
            <w:pPr>
              <w:spacing w:before="0" w:line="240" w:lineRule="auto"/>
              <w:jc w:val="left"/>
              <w:rPr>
                <w:rFonts w:asciiTheme="minorHAnsi" w:hAnsiTheme="minorHAnsi" w:cstheme="minorHAnsi"/>
                <w:b/>
                <w:bCs/>
                <w:color w:val="000000"/>
                <w:lang w:val="en-US"/>
              </w:rPr>
            </w:pPr>
            <w:r w:rsidRPr="00B53423">
              <w:rPr>
                <w:rFonts w:asciiTheme="minorHAnsi" w:hAnsiTheme="minorHAnsi" w:cstheme="minorHAnsi"/>
                <w:b/>
                <w:bCs/>
                <w:color w:val="000000"/>
                <w:lang w:val="en-US"/>
              </w:rPr>
              <w:t>Organization</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G.C. Shrivastava</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Consumer </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A.L. Panday</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KESCO</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D.C.Verma</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UPPCL</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S.A Razvi</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UPPCL</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Mohd. Ghufran</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UPPCL</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Ms. </w:t>
            </w:r>
            <w:r w:rsidR="00EC0E85" w:rsidRPr="00B53423">
              <w:rPr>
                <w:rFonts w:asciiTheme="minorHAnsi" w:hAnsiTheme="minorHAnsi" w:cstheme="minorHAnsi"/>
                <w:color w:val="000000"/>
                <w:lang w:val="en-US"/>
              </w:rPr>
              <w:t>Chhavi Chauhan</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 ABPS Consultant (UPERC)</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Raman Gulati</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ABPS Consultant (UPERC)</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Hemant Tiwari</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UPERC</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Abinash Kumar Agrawal</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ABPS Consultant (UPERC)</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Dharmendra Gupta</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A2Z Group Gurgaon</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Alok Agarwal</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Indian Industries Association (IIA)</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Sunil Vaish</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Indian Industries Association (IIA)</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A.K.Arora</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NPCL</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Manmohan Rajpal</w:t>
            </w:r>
          </w:p>
        </w:tc>
        <w:tc>
          <w:tcPr>
            <w:tcW w:w="2581" w:type="pct"/>
            <w:shd w:val="clear" w:color="auto" w:fill="auto"/>
            <w:noWrap/>
            <w:hideMark/>
          </w:tcPr>
          <w:p w:rsidR="00EC0E85" w:rsidRPr="00B53423" w:rsidRDefault="00EC0E85" w:rsidP="0015232B">
            <w:pPr>
              <w:spacing w:before="0" w:line="240" w:lineRule="auto"/>
            </w:pPr>
            <w:r w:rsidRPr="00B53423">
              <w:rPr>
                <w:rFonts w:asciiTheme="minorHAnsi" w:hAnsiTheme="minorHAnsi" w:cstheme="minorHAnsi"/>
                <w:color w:val="000000"/>
                <w:lang w:val="en-US"/>
              </w:rPr>
              <w:t>Indian Industries Association (IIA)</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Navin Khanna</w:t>
            </w:r>
          </w:p>
        </w:tc>
        <w:tc>
          <w:tcPr>
            <w:tcW w:w="2581" w:type="pct"/>
            <w:shd w:val="clear" w:color="auto" w:fill="auto"/>
            <w:noWrap/>
            <w:hideMark/>
          </w:tcPr>
          <w:p w:rsidR="00EC0E85" w:rsidRPr="00B53423" w:rsidRDefault="00EC0E85" w:rsidP="0015232B">
            <w:pPr>
              <w:spacing w:before="0" w:line="240" w:lineRule="auto"/>
            </w:pPr>
            <w:r w:rsidRPr="00B53423">
              <w:rPr>
                <w:rFonts w:asciiTheme="minorHAnsi" w:hAnsiTheme="minorHAnsi" w:cstheme="minorHAnsi"/>
                <w:color w:val="000000"/>
                <w:lang w:val="en-US"/>
              </w:rPr>
              <w:t>Indian Industries Association (IIA)</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S.B.Verma</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KESCO</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A.P. Pathak</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KESCO</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V.D Roy</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Member State Advisory Committee</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Vishnu Tiwari</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INEXT</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U.N. Singh</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CM (E) Gail India Ltd.</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Atul Agarwal</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SM (F) Gail India Ltd.</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Ramesh Kumar</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CE (commercial), KESKO</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Krishna</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Consumer</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M</w:t>
            </w:r>
            <w:r w:rsidRPr="00B53423">
              <w:rPr>
                <w:rFonts w:asciiTheme="minorHAnsi" w:hAnsiTheme="minorHAnsi" w:cstheme="minorHAnsi"/>
                <w:color w:val="000000"/>
                <w:lang w:val="en-US"/>
              </w:rPr>
              <w:t>.</w:t>
            </w:r>
            <w:r w:rsidR="00EC0E85" w:rsidRPr="00B53423">
              <w:rPr>
                <w:rFonts w:asciiTheme="minorHAnsi" w:hAnsiTheme="minorHAnsi" w:cstheme="minorHAnsi"/>
                <w:color w:val="000000"/>
                <w:lang w:val="en-US"/>
              </w:rPr>
              <w:t xml:space="preserve"> Ahmad</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President Shramik Basti Sewa Samiti UP</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Umang Agarwal</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Gen Secretary, FITA</w:t>
            </w:r>
          </w:p>
        </w:tc>
      </w:tr>
      <w:tr w:rsidR="00EC0E85" w:rsidRPr="00B53423" w:rsidTr="00EC0E85">
        <w:trPr>
          <w:trHeight w:val="300"/>
        </w:trPr>
        <w:tc>
          <w:tcPr>
            <w:tcW w:w="436" w:type="pct"/>
            <w:shd w:val="clear" w:color="auto" w:fill="auto"/>
            <w:noWrap/>
            <w:vAlign w:val="bottom"/>
            <w:hideMark/>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hideMark/>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Gaurav</w:t>
            </w:r>
          </w:p>
        </w:tc>
        <w:tc>
          <w:tcPr>
            <w:tcW w:w="2581" w:type="pct"/>
            <w:shd w:val="clear" w:color="auto" w:fill="auto"/>
            <w:noWrap/>
            <w:vAlign w:val="bottom"/>
            <w:hideMark/>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Hindustan Times</w:t>
            </w:r>
          </w:p>
        </w:tc>
      </w:tr>
      <w:tr w:rsidR="00EC0E85" w:rsidRPr="00B53423" w:rsidTr="00EC0E85">
        <w:trPr>
          <w:trHeight w:val="300"/>
        </w:trPr>
        <w:tc>
          <w:tcPr>
            <w:tcW w:w="436" w:type="pct"/>
            <w:shd w:val="clear" w:color="auto" w:fill="auto"/>
            <w:noWrap/>
            <w:vAlign w:val="bottom"/>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Kedar Nath Gupta</w:t>
            </w:r>
          </w:p>
        </w:tc>
        <w:tc>
          <w:tcPr>
            <w:tcW w:w="2581" w:type="pct"/>
            <w:shd w:val="clear" w:color="auto" w:fill="auto"/>
            <w:noWrap/>
            <w:vAlign w:val="bottom"/>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Consumer</w:t>
            </w:r>
          </w:p>
        </w:tc>
      </w:tr>
      <w:tr w:rsidR="00EC0E85" w:rsidRPr="00B53423" w:rsidTr="00EC0E85">
        <w:trPr>
          <w:trHeight w:val="300"/>
        </w:trPr>
        <w:tc>
          <w:tcPr>
            <w:tcW w:w="436" w:type="pct"/>
            <w:shd w:val="clear" w:color="auto" w:fill="auto"/>
            <w:noWrap/>
            <w:vAlign w:val="bottom"/>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Surendra Panday</w:t>
            </w:r>
          </w:p>
        </w:tc>
        <w:tc>
          <w:tcPr>
            <w:tcW w:w="2581" w:type="pct"/>
            <w:shd w:val="clear" w:color="auto" w:fill="auto"/>
            <w:noWrap/>
            <w:vAlign w:val="bottom"/>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consumer</w:t>
            </w:r>
          </w:p>
        </w:tc>
      </w:tr>
      <w:tr w:rsidR="00EC0E85" w:rsidRPr="00B53423" w:rsidTr="00EC0E85">
        <w:trPr>
          <w:trHeight w:val="300"/>
        </w:trPr>
        <w:tc>
          <w:tcPr>
            <w:tcW w:w="436" w:type="pct"/>
            <w:shd w:val="clear" w:color="auto" w:fill="auto"/>
            <w:noWrap/>
            <w:vAlign w:val="bottom"/>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Dharm Prakash Gupta</w:t>
            </w:r>
          </w:p>
        </w:tc>
        <w:tc>
          <w:tcPr>
            <w:tcW w:w="2581" w:type="pct"/>
            <w:shd w:val="clear" w:color="auto" w:fill="auto"/>
            <w:noWrap/>
            <w:vAlign w:val="bottom"/>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GBMS college</w:t>
            </w:r>
          </w:p>
        </w:tc>
      </w:tr>
      <w:tr w:rsidR="00EC0E85" w:rsidRPr="00B53423" w:rsidTr="00EC0E85">
        <w:trPr>
          <w:trHeight w:val="300"/>
        </w:trPr>
        <w:tc>
          <w:tcPr>
            <w:tcW w:w="436" w:type="pct"/>
            <w:shd w:val="clear" w:color="auto" w:fill="auto"/>
            <w:noWrap/>
            <w:vAlign w:val="bottom"/>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Ms. </w:t>
            </w:r>
            <w:r w:rsidR="00EC0E85" w:rsidRPr="00B53423">
              <w:rPr>
                <w:rFonts w:asciiTheme="minorHAnsi" w:hAnsiTheme="minorHAnsi" w:cstheme="minorHAnsi"/>
                <w:color w:val="000000"/>
                <w:lang w:val="en-US"/>
              </w:rPr>
              <w:t>Rani Gupta</w:t>
            </w:r>
          </w:p>
        </w:tc>
        <w:tc>
          <w:tcPr>
            <w:tcW w:w="2581" w:type="pct"/>
            <w:shd w:val="clear" w:color="auto" w:fill="auto"/>
            <w:noWrap/>
            <w:vAlign w:val="bottom"/>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Dainik Bhaskar</w:t>
            </w:r>
          </w:p>
        </w:tc>
      </w:tr>
      <w:tr w:rsidR="00EC0E85" w:rsidRPr="00B53423" w:rsidTr="00EC0E85">
        <w:trPr>
          <w:trHeight w:val="300"/>
        </w:trPr>
        <w:tc>
          <w:tcPr>
            <w:tcW w:w="436" w:type="pct"/>
            <w:shd w:val="clear" w:color="auto" w:fill="auto"/>
            <w:noWrap/>
            <w:vAlign w:val="bottom"/>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Manish Diwedi</w:t>
            </w:r>
          </w:p>
        </w:tc>
        <w:tc>
          <w:tcPr>
            <w:tcW w:w="2581" w:type="pct"/>
            <w:shd w:val="clear" w:color="auto" w:fill="auto"/>
            <w:noWrap/>
            <w:vAlign w:val="bottom"/>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EE,KESKO</w:t>
            </w:r>
          </w:p>
        </w:tc>
      </w:tr>
      <w:tr w:rsidR="00EC0E85" w:rsidRPr="00B53423" w:rsidTr="00EC0E85">
        <w:trPr>
          <w:trHeight w:val="300"/>
        </w:trPr>
        <w:tc>
          <w:tcPr>
            <w:tcW w:w="436" w:type="pct"/>
            <w:shd w:val="clear" w:color="auto" w:fill="auto"/>
            <w:noWrap/>
            <w:vAlign w:val="bottom"/>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Jaspal Singh</w:t>
            </w:r>
          </w:p>
        </w:tc>
        <w:tc>
          <w:tcPr>
            <w:tcW w:w="2581" w:type="pct"/>
            <w:shd w:val="clear" w:color="auto" w:fill="auto"/>
            <w:noWrap/>
            <w:vAlign w:val="bottom"/>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Consumer </w:t>
            </w:r>
          </w:p>
        </w:tc>
      </w:tr>
      <w:tr w:rsidR="00EC0E85" w:rsidRPr="00B53423" w:rsidTr="00EC0E85">
        <w:trPr>
          <w:trHeight w:val="300"/>
        </w:trPr>
        <w:tc>
          <w:tcPr>
            <w:tcW w:w="436" w:type="pct"/>
            <w:shd w:val="clear" w:color="auto" w:fill="auto"/>
            <w:noWrap/>
            <w:vAlign w:val="bottom"/>
          </w:tcPr>
          <w:p w:rsidR="00EC0E85" w:rsidRPr="00B53423" w:rsidRDefault="00EC0E85" w:rsidP="000174C0">
            <w:pPr>
              <w:pStyle w:val="ListParagraph"/>
              <w:numPr>
                <w:ilvl w:val="0"/>
                <w:numId w:val="77"/>
              </w:numPr>
              <w:spacing w:before="0" w:line="240" w:lineRule="auto"/>
              <w:ind w:left="450" w:hanging="270"/>
              <w:contextualSpacing/>
              <w:jc w:val="center"/>
              <w:rPr>
                <w:rFonts w:asciiTheme="minorHAnsi" w:hAnsiTheme="minorHAnsi" w:cstheme="minorHAnsi"/>
                <w:color w:val="000000"/>
                <w:lang w:val="en-US"/>
              </w:rPr>
            </w:pPr>
          </w:p>
        </w:tc>
        <w:tc>
          <w:tcPr>
            <w:tcW w:w="1983" w:type="pct"/>
            <w:shd w:val="clear" w:color="auto" w:fill="auto"/>
            <w:noWrap/>
            <w:vAlign w:val="bottom"/>
          </w:tcPr>
          <w:p w:rsidR="00EC0E85" w:rsidRPr="00B53423" w:rsidRDefault="00F701BA"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 xml:space="preserve">Mr. </w:t>
            </w:r>
            <w:r w:rsidR="00EC0E85" w:rsidRPr="00B53423">
              <w:rPr>
                <w:rFonts w:asciiTheme="minorHAnsi" w:hAnsiTheme="minorHAnsi" w:cstheme="minorHAnsi"/>
                <w:color w:val="000000"/>
                <w:lang w:val="en-US"/>
              </w:rPr>
              <w:t>A.K. Singh</w:t>
            </w:r>
          </w:p>
        </w:tc>
        <w:tc>
          <w:tcPr>
            <w:tcW w:w="2581" w:type="pct"/>
            <w:shd w:val="clear" w:color="auto" w:fill="auto"/>
            <w:noWrap/>
            <w:vAlign w:val="bottom"/>
          </w:tcPr>
          <w:p w:rsidR="00EC0E85" w:rsidRPr="00B53423" w:rsidRDefault="00EC0E85" w:rsidP="0015232B">
            <w:pPr>
              <w:spacing w:before="0" w:line="240" w:lineRule="auto"/>
              <w:jc w:val="left"/>
              <w:rPr>
                <w:rFonts w:asciiTheme="minorHAnsi" w:hAnsiTheme="minorHAnsi" w:cstheme="minorHAnsi"/>
                <w:color w:val="000000"/>
                <w:lang w:val="en-US"/>
              </w:rPr>
            </w:pPr>
            <w:r w:rsidRPr="00B53423">
              <w:rPr>
                <w:rFonts w:asciiTheme="minorHAnsi" w:hAnsiTheme="minorHAnsi" w:cstheme="minorHAnsi"/>
                <w:color w:val="000000"/>
                <w:lang w:val="en-US"/>
              </w:rPr>
              <w:t>EE, KESCO</w:t>
            </w:r>
          </w:p>
        </w:tc>
      </w:tr>
    </w:tbl>
    <w:p w:rsidR="008E5045" w:rsidRPr="00B53423" w:rsidRDefault="00281BD9" w:rsidP="0015232B">
      <w:pPr>
        <w:spacing w:before="0" w:after="200"/>
        <w:jc w:val="left"/>
      </w:pPr>
      <w:r w:rsidRPr="00B53423">
        <w:rPr>
          <w:b/>
          <w:i/>
          <w:sz w:val="20"/>
          <w:szCs w:val="20"/>
        </w:rPr>
        <w:t>Note: The above list may not be exhaustive and does not include names of some of the stakeholders whose names were illegible</w:t>
      </w:r>
      <w:r w:rsidRPr="00B53423">
        <w:t>.</w:t>
      </w:r>
    </w:p>
    <w:p w:rsidR="005119F7" w:rsidRPr="00B53423" w:rsidRDefault="005119F7" w:rsidP="0015232B">
      <w:pPr>
        <w:pStyle w:val="Heading1"/>
        <w:keepNext w:val="0"/>
        <w:numPr>
          <w:ilvl w:val="1"/>
          <w:numId w:val="1"/>
        </w:numPr>
        <w:spacing w:line="276" w:lineRule="auto"/>
        <w:ind w:left="720" w:hanging="1080"/>
        <w:rPr>
          <w:iCs/>
          <w:color w:val="auto"/>
        </w:rPr>
        <w:sectPr w:rsidR="005119F7" w:rsidRPr="00B53423" w:rsidSect="0022134B">
          <w:headerReference w:type="default" r:id="rId35"/>
          <w:footerReference w:type="default" r:id="rId36"/>
          <w:pgSz w:w="11909" w:h="16834"/>
          <w:pgMar w:top="1440" w:right="1440" w:bottom="1440" w:left="1800" w:header="720" w:footer="720" w:gutter="0"/>
          <w:pgNumType w:chapSep="colon"/>
          <w:cols w:space="720"/>
        </w:sectPr>
      </w:pPr>
    </w:p>
    <w:p w:rsidR="00DE37E0" w:rsidRPr="00B53423" w:rsidRDefault="00DE37E0" w:rsidP="0015232B">
      <w:pPr>
        <w:pStyle w:val="Heading2"/>
        <w:keepNext w:val="0"/>
        <w:ind w:left="810" w:hanging="1170"/>
      </w:pPr>
      <w:bookmarkStart w:id="1043" w:name="_Ref397182972"/>
      <w:bookmarkStart w:id="1044" w:name="_Toc399626262"/>
      <w:r w:rsidRPr="00B53423">
        <w:t>FUEL AND POWER PURCHASE COST ADJUSTMENT SURCHARGE</w:t>
      </w:r>
      <w:bookmarkEnd w:id="1042"/>
      <w:bookmarkEnd w:id="1043"/>
      <w:bookmarkEnd w:id="1044"/>
    </w:p>
    <w:p w:rsidR="009E0DE9" w:rsidRPr="00B53423" w:rsidRDefault="009E0DE9" w:rsidP="0015232B">
      <w:pPr>
        <w:pStyle w:val="Heading2"/>
        <w:keepNext w:val="0"/>
        <w:numPr>
          <w:ilvl w:val="0"/>
          <w:numId w:val="0"/>
        </w:numPr>
        <w:ind w:left="576"/>
      </w:pPr>
    </w:p>
    <w:p w:rsidR="00BE7A5A" w:rsidRPr="00B53423" w:rsidRDefault="00BE7A5A" w:rsidP="0015232B">
      <w:pPr>
        <w:pStyle w:val="Heading3"/>
        <w:keepNext w:val="0"/>
        <w:numPr>
          <w:ilvl w:val="0"/>
          <w:numId w:val="0"/>
        </w:numPr>
        <w:ind w:left="936"/>
        <w:jc w:val="center"/>
        <w:rPr>
          <w:b/>
        </w:rPr>
      </w:pPr>
      <w:r w:rsidRPr="00B53423">
        <w:rPr>
          <w:b/>
        </w:rPr>
        <w:t>APPROPRIATION OF APPROVED POWER PURCHASE FOR FY 2014-15: FPPCA</w:t>
      </w:r>
    </w:p>
    <w:tbl>
      <w:tblPr>
        <w:tblW w:w="5566" w:type="pct"/>
        <w:tblInd w:w="-9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37"/>
        <w:gridCol w:w="1067"/>
        <w:gridCol w:w="54"/>
        <w:gridCol w:w="146"/>
        <w:gridCol w:w="921"/>
        <w:gridCol w:w="11"/>
        <w:gridCol w:w="13"/>
        <w:gridCol w:w="124"/>
        <w:gridCol w:w="929"/>
        <w:gridCol w:w="20"/>
        <w:gridCol w:w="118"/>
        <w:gridCol w:w="936"/>
        <w:gridCol w:w="41"/>
        <w:gridCol w:w="13"/>
        <w:gridCol w:w="77"/>
        <w:gridCol w:w="986"/>
        <w:gridCol w:w="34"/>
        <w:gridCol w:w="47"/>
        <w:gridCol w:w="1007"/>
        <w:gridCol w:w="60"/>
        <w:gridCol w:w="1067"/>
        <w:gridCol w:w="1067"/>
        <w:gridCol w:w="31"/>
        <w:gridCol w:w="1036"/>
        <w:gridCol w:w="65"/>
        <w:gridCol w:w="1002"/>
        <w:gridCol w:w="95"/>
        <w:gridCol w:w="972"/>
        <w:gridCol w:w="125"/>
        <w:gridCol w:w="943"/>
        <w:gridCol w:w="142"/>
        <w:gridCol w:w="1188"/>
      </w:tblGrid>
      <w:tr w:rsidR="00BE7A5A" w:rsidRPr="00B53423" w:rsidTr="006571C9">
        <w:trPr>
          <w:trHeight w:val="431"/>
        </w:trPr>
        <w:tc>
          <w:tcPr>
            <w:tcW w:w="5000" w:type="pct"/>
            <w:gridSpan w:val="32"/>
            <w:shd w:val="clear" w:color="auto" w:fill="B8CCE4" w:themeFill="accent1" w:themeFillTint="66"/>
            <w:noWrap/>
            <w:vAlign w:val="center"/>
            <w:hideMark/>
          </w:tcPr>
          <w:p w:rsidR="00BE7A5A" w:rsidRPr="00B53423" w:rsidRDefault="00BE7A5A" w:rsidP="0015232B">
            <w:pPr>
              <w:spacing w:before="0" w:line="240" w:lineRule="auto"/>
              <w:jc w:val="center"/>
              <w:rPr>
                <w:rFonts w:cs="Calibri"/>
                <w:b/>
                <w:bCs/>
                <w:lang w:val="en-IN" w:eastAsia="en-IN"/>
              </w:rPr>
            </w:pPr>
            <w:r w:rsidRPr="00B53423">
              <w:rPr>
                <w:rFonts w:cs="Calibri"/>
                <w:b/>
                <w:bCs/>
                <w:lang w:val="en-IN" w:eastAsia="en-IN"/>
              </w:rPr>
              <w:t>FY 2014-15</w:t>
            </w:r>
          </w:p>
        </w:tc>
      </w:tr>
      <w:tr w:rsidR="00BE7A5A" w:rsidRPr="00B53423" w:rsidTr="006571C9">
        <w:trPr>
          <w:trHeight w:val="411"/>
        </w:trPr>
        <w:tc>
          <w:tcPr>
            <w:tcW w:w="753" w:type="pct"/>
            <w:shd w:val="clear" w:color="auto" w:fill="B8CCE4" w:themeFill="accent1" w:themeFillTint="66"/>
            <w:vAlign w:val="center"/>
            <w:hideMark/>
          </w:tcPr>
          <w:p w:rsidR="00BE7A5A" w:rsidRPr="00B53423" w:rsidRDefault="00BE7A5A" w:rsidP="0015232B">
            <w:pPr>
              <w:spacing w:before="0" w:line="240" w:lineRule="auto"/>
              <w:jc w:val="left"/>
              <w:rPr>
                <w:rFonts w:cs="Calibri"/>
                <w:b/>
                <w:bCs/>
                <w:lang w:val="en-IN" w:eastAsia="en-IN"/>
              </w:rPr>
            </w:pPr>
            <w:r w:rsidRPr="00B53423">
              <w:rPr>
                <w:rFonts w:cs="Calibri"/>
                <w:b/>
                <w:bCs/>
                <w:lang w:val="en-IN" w:eastAsia="en-IN"/>
              </w:rPr>
              <w:t>DVVNL</w:t>
            </w:r>
          </w:p>
        </w:tc>
        <w:tc>
          <w:tcPr>
            <w:tcW w:w="376"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Apr</w:t>
            </w:r>
          </w:p>
        </w:tc>
        <w:tc>
          <w:tcPr>
            <w:tcW w:w="317" w:type="pct"/>
            <w:gridSpan w:val="4"/>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May</w:t>
            </w:r>
          </w:p>
        </w:tc>
        <w:tc>
          <w:tcPr>
            <w:tcW w:w="316"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Jun</w:t>
            </w:r>
          </w:p>
        </w:tc>
        <w:tc>
          <w:tcPr>
            <w:tcW w:w="316" w:type="pct"/>
            <w:gridSpan w:val="4"/>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Jul</w:t>
            </w:r>
          </w:p>
        </w:tc>
        <w:tc>
          <w:tcPr>
            <w:tcW w:w="316"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Aug</w:t>
            </w:r>
          </w:p>
        </w:tc>
        <w:tc>
          <w:tcPr>
            <w:tcW w:w="31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Sep</w:t>
            </w:r>
          </w:p>
        </w:tc>
        <w:tc>
          <w:tcPr>
            <w:tcW w:w="317" w:type="pct"/>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Oct</w:t>
            </w:r>
          </w:p>
        </w:tc>
        <w:tc>
          <w:tcPr>
            <w:tcW w:w="316" w:type="pct"/>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Nov</w:t>
            </w:r>
          </w:p>
        </w:tc>
        <w:tc>
          <w:tcPr>
            <w:tcW w:w="31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Dec</w:t>
            </w:r>
          </w:p>
        </w:tc>
        <w:tc>
          <w:tcPr>
            <w:tcW w:w="31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Jan</w:t>
            </w:r>
          </w:p>
        </w:tc>
        <w:tc>
          <w:tcPr>
            <w:tcW w:w="31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Feb</w:t>
            </w:r>
          </w:p>
        </w:tc>
        <w:tc>
          <w:tcPr>
            <w:tcW w:w="31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Mar</w:t>
            </w:r>
          </w:p>
        </w:tc>
        <w:tc>
          <w:tcPr>
            <w:tcW w:w="394"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Calibri"/>
                <w:b/>
                <w:bCs/>
                <w:lang w:val="en-IN" w:eastAsia="en-IN"/>
              </w:rPr>
              <w:t>Total</w:t>
            </w:r>
          </w:p>
        </w:tc>
      </w:tr>
      <w:tr w:rsidR="00BE7A5A" w:rsidRPr="00B53423" w:rsidTr="006571C9">
        <w:trPr>
          <w:trHeight w:val="713"/>
        </w:trPr>
        <w:tc>
          <w:tcPr>
            <w:tcW w:w="753" w:type="pct"/>
            <w:shd w:val="clear" w:color="auto" w:fill="auto"/>
            <w:hideMark/>
          </w:tcPr>
          <w:p w:rsidR="00BE7A5A" w:rsidRPr="00B53423" w:rsidRDefault="00BE7A5A" w:rsidP="0015232B">
            <w:pPr>
              <w:spacing w:before="0" w:line="240" w:lineRule="auto"/>
              <w:jc w:val="left"/>
              <w:rPr>
                <w:rFonts w:cs="Calibri"/>
                <w:lang w:val="en-IN" w:eastAsia="en-IN"/>
              </w:rPr>
            </w:pPr>
            <w:r w:rsidRPr="00B53423">
              <w:rPr>
                <w:rFonts w:cs="Calibri"/>
                <w:lang w:val="en-IN" w:eastAsia="en-IN"/>
              </w:rPr>
              <w:t>Allocation of Approved Power Purchase (MU)</w:t>
            </w:r>
          </w:p>
        </w:tc>
        <w:tc>
          <w:tcPr>
            <w:tcW w:w="376"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   1,743.00</w:t>
            </w:r>
          </w:p>
        </w:tc>
        <w:tc>
          <w:tcPr>
            <w:tcW w:w="317" w:type="pct"/>
            <w:gridSpan w:val="4"/>
            <w:shd w:val="clear" w:color="auto" w:fill="auto"/>
            <w:vAlign w:val="center"/>
            <w:hideMark/>
          </w:tcPr>
          <w:p w:rsidR="00BE7A5A" w:rsidRPr="00B53423" w:rsidRDefault="00BE7A5A" w:rsidP="0015232B">
            <w:pPr>
              <w:jc w:val="center"/>
              <w:rPr>
                <w:rFonts w:cs="Calibri"/>
              </w:rPr>
            </w:pPr>
            <w:r w:rsidRPr="00B53423">
              <w:rPr>
                <w:rFonts w:cs="Calibri"/>
              </w:rPr>
              <w:t xml:space="preserve">1,915.50 </w:t>
            </w:r>
          </w:p>
        </w:tc>
        <w:tc>
          <w:tcPr>
            <w:tcW w:w="316"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1,909.51 </w:t>
            </w:r>
          </w:p>
        </w:tc>
        <w:tc>
          <w:tcPr>
            <w:tcW w:w="316" w:type="pct"/>
            <w:gridSpan w:val="4"/>
            <w:shd w:val="clear" w:color="auto" w:fill="auto"/>
            <w:vAlign w:val="center"/>
            <w:hideMark/>
          </w:tcPr>
          <w:p w:rsidR="00BE7A5A" w:rsidRPr="00B53423" w:rsidRDefault="00BE7A5A" w:rsidP="0015232B">
            <w:pPr>
              <w:jc w:val="right"/>
              <w:rPr>
                <w:rFonts w:cs="Calibri"/>
              </w:rPr>
            </w:pPr>
            <w:r w:rsidRPr="00B53423">
              <w:rPr>
                <w:rFonts w:cs="Calibri"/>
              </w:rPr>
              <w:t xml:space="preserve">1,912.07 </w:t>
            </w:r>
          </w:p>
        </w:tc>
        <w:tc>
          <w:tcPr>
            <w:tcW w:w="316"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1,929.20 </w:t>
            </w:r>
          </w:p>
        </w:tc>
        <w:tc>
          <w:tcPr>
            <w:tcW w:w="31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1,616.51 </w:t>
            </w:r>
          </w:p>
        </w:tc>
        <w:tc>
          <w:tcPr>
            <w:tcW w:w="317" w:type="pct"/>
            <w:shd w:val="clear" w:color="auto" w:fill="auto"/>
            <w:vAlign w:val="center"/>
            <w:hideMark/>
          </w:tcPr>
          <w:p w:rsidR="00BE7A5A" w:rsidRPr="00B53423" w:rsidRDefault="00BE7A5A" w:rsidP="0015232B">
            <w:pPr>
              <w:jc w:val="right"/>
              <w:rPr>
                <w:rFonts w:cs="Calibri"/>
              </w:rPr>
            </w:pPr>
            <w:r w:rsidRPr="00B53423">
              <w:rPr>
                <w:rFonts w:cs="Calibri"/>
              </w:rPr>
              <w:t xml:space="preserve">1,607.52 </w:t>
            </w:r>
          </w:p>
        </w:tc>
        <w:tc>
          <w:tcPr>
            <w:tcW w:w="316" w:type="pct"/>
            <w:shd w:val="clear" w:color="auto" w:fill="auto"/>
            <w:vAlign w:val="center"/>
            <w:hideMark/>
          </w:tcPr>
          <w:p w:rsidR="00BE7A5A" w:rsidRPr="00B53423" w:rsidRDefault="00BE7A5A" w:rsidP="0015232B">
            <w:pPr>
              <w:jc w:val="right"/>
              <w:rPr>
                <w:rFonts w:cs="Calibri"/>
              </w:rPr>
            </w:pPr>
            <w:r w:rsidRPr="00B53423">
              <w:rPr>
                <w:rFonts w:cs="Calibri"/>
              </w:rPr>
              <w:t xml:space="preserve">1,435.45 </w:t>
            </w:r>
          </w:p>
        </w:tc>
        <w:tc>
          <w:tcPr>
            <w:tcW w:w="31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1,492.59 </w:t>
            </w:r>
          </w:p>
        </w:tc>
        <w:tc>
          <w:tcPr>
            <w:tcW w:w="31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1,524.48 </w:t>
            </w:r>
          </w:p>
        </w:tc>
        <w:tc>
          <w:tcPr>
            <w:tcW w:w="31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1,340.21 </w:t>
            </w:r>
          </w:p>
        </w:tc>
        <w:tc>
          <w:tcPr>
            <w:tcW w:w="31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1,561.08 </w:t>
            </w:r>
          </w:p>
        </w:tc>
        <w:tc>
          <w:tcPr>
            <w:tcW w:w="394"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 19,987.52 </w:t>
            </w:r>
          </w:p>
        </w:tc>
      </w:tr>
      <w:tr w:rsidR="00BE7A5A" w:rsidRPr="00B53423" w:rsidTr="006571C9">
        <w:trPr>
          <w:trHeight w:val="765"/>
        </w:trPr>
        <w:tc>
          <w:tcPr>
            <w:tcW w:w="753" w:type="pct"/>
            <w:shd w:val="clear" w:color="auto" w:fill="auto"/>
            <w:vAlign w:val="center"/>
            <w:hideMark/>
          </w:tcPr>
          <w:p w:rsidR="00BE7A5A" w:rsidRPr="00B53423" w:rsidRDefault="00BE7A5A" w:rsidP="0015232B">
            <w:pPr>
              <w:spacing w:before="0" w:line="240" w:lineRule="auto"/>
              <w:jc w:val="left"/>
              <w:rPr>
                <w:rFonts w:cs="Calibri"/>
                <w:lang w:val="en-IN" w:eastAsia="en-IN"/>
              </w:rPr>
            </w:pPr>
            <w:r w:rsidRPr="00B53423">
              <w:rPr>
                <w:rFonts w:cs="Calibri"/>
                <w:lang w:val="en-IN" w:eastAsia="en-IN"/>
              </w:rPr>
              <w:t>Approved average power (Rs/kWh)</w:t>
            </w:r>
          </w:p>
        </w:tc>
        <w:tc>
          <w:tcPr>
            <w:tcW w:w="376"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7" w:type="pct"/>
            <w:gridSpan w:val="4"/>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4"/>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7" w:type="pct"/>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94"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            3.49 </w:t>
            </w:r>
          </w:p>
        </w:tc>
      </w:tr>
      <w:tr w:rsidR="00BE7A5A" w:rsidRPr="00B53423" w:rsidTr="006571C9">
        <w:trPr>
          <w:trHeight w:val="840"/>
        </w:trPr>
        <w:tc>
          <w:tcPr>
            <w:tcW w:w="753" w:type="pct"/>
            <w:shd w:val="clear" w:color="auto" w:fill="auto"/>
            <w:hideMark/>
          </w:tcPr>
          <w:p w:rsidR="00BE7A5A" w:rsidRPr="00B53423" w:rsidRDefault="00BE7A5A" w:rsidP="0015232B">
            <w:pPr>
              <w:spacing w:before="0" w:line="240" w:lineRule="auto"/>
              <w:jc w:val="left"/>
              <w:rPr>
                <w:rFonts w:cs="Calibri"/>
                <w:b/>
                <w:bCs/>
                <w:lang w:val="en-IN" w:eastAsia="en-IN"/>
              </w:rPr>
            </w:pPr>
            <w:r w:rsidRPr="00B53423">
              <w:rPr>
                <w:rFonts w:cs="Calibri"/>
                <w:b/>
                <w:bCs/>
                <w:lang w:val="en-IN" w:eastAsia="en-IN"/>
              </w:rPr>
              <w:t>Allocated Approved Power Purchase Cost (Rs. Crores)</w:t>
            </w:r>
          </w:p>
          <w:p w:rsidR="00BE7A5A" w:rsidRPr="00B53423" w:rsidRDefault="00BE7A5A" w:rsidP="0015232B">
            <w:pPr>
              <w:spacing w:before="0" w:line="240" w:lineRule="auto"/>
              <w:jc w:val="left"/>
              <w:rPr>
                <w:rFonts w:cs="Calibri"/>
                <w:b/>
                <w:bCs/>
                <w:lang w:val="en-IN" w:eastAsia="en-IN"/>
              </w:rPr>
            </w:pPr>
          </w:p>
        </w:tc>
        <w:tc>
          <w:tcPr>
            <w:tcW w:w="376"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607.67 </w:t>
            </w:r>
          </w:p>
        </w:tc>
        <w:tc>
          <w:tcPr>
            <w:tcW w:w="317" w:type="pct"/>
            <w:gridSpan w:val="4"/>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667.81 </w:t>
            </w:r>
          </w:p>
        </w:tc>
        <w:tc>
          <w:tcPr>
            <w:tcW w:w="316"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665.72 </w:t>
            </w:r>
          </w:p>
        </w:tc>
        <w:tc>
          <w:tcPr>
            <w:tcW w:w="316" w:type="pct"/>
            <w:gridSpan w:val="4"/>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666.62 </w:t>
            </w:r>
          </w:p>
        </w:tc>
        <w:tc>
          <w:tcPr>
            <w:tcW w:w="316"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672.58 </w:t>
            </w:r>
          </w:p>
        </w:tc>
        <w:tc>
          <w:tcPr>
            <w:tcW w:w="31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563.57 </w:t>
            </w:r>
          </w:p>
        </w:tc>
        <w:tc>
          <w:tcPr>
            <w:tcW w:w="317" w:type="pct"/>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560.44 </w:t>
            </w:r>
          </w:p>
        </w:tc>
        <w:tc>
          <w:tcPr>
            <w:tcW w:w="316" w:type="pct"/>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500.45 </w:t>
            </w:r>
          </w:p>
        </w:tc>
        <w:tc>
          <w:tcPr>
            <w:tcW w:w="31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520.37 </w:t>
            </w:r>
          </w:p>
        </w:tc>
        <w:tc>
          <w:tcPr>
            <w:tcW w:w="31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531.49 </w:t>
            </w:r>
          </w:p>
        </w:tc>
        <w:tc>
          <w:tcPr>
            <w:tcW w:w="31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467.24 </w:t>
            </w:r>
          </w:p>
        </w:tc>
        <w:tc>
          <w:tcPr>
            <w:tcW w:w="31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544.25 </w:t>
            </w:r>
          </w:p>
        </w:tc>
        <w:tc>
          <w:tcPr>
            <w:tcW w:w="394"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6,968.34 </w:t>
            </w:r>
          </w:p>
        </w:tc>
      </w:tr>
      <w:tr w:rsidR="00BE7A5A" w:rsidRPr="00B53423" w:rsidTr="006571C9">
        <w:trPr>
          <w:trHeight w:val="393"/>
        </w:trPr>
        <w:tc>
          <w:tcPr>
            <w:tcW w:w="5000" w:type="pct"/>
            <w:gridSpan w:val="32"/>
            <w:shd w:val="clear" w:color="auto" w:fill="B8CCE4" w:themeFill="accent1" w:themeFillTint="66"/>
            <w:noWrap/>
            <w:vAlign w:val="center"/>
            <w:hideMark/>
          </w:tcPr>
          <w:p w:rsidR="00BE7A5A" w:rsidRPr="00B53423" w:rsidRDefault="00BE7A5A" w:rsidP="0015232B">
            <w:pPr>
              <w:spacing w:before="0" w:line="240" w:lineRule="auto"/>
              <w:jc w:val="center"/>
              <w:rPr>
                <w:rFonts w:cs="Calibri"/>
                <w:b/>
                <w:bCs/>
                <w:lang w:val="en-IN" w:eastAsia="en-IN"/>
              </w:rPr>
            </w:pPr>
            <w:r w:rsidRPr="00B53423">
              <w:rPr>
                <w:rFonts w:cs="Calibri"/>
                <w:b/>
                <w:bCs/>
                <w:lang w:val="en-IN" w:eastAsia="en-IN"/>
              </w:rPr>
              <w:t>FY 2014-15</w:t>
            </w:r>
          </w:p>
        </w:tc>
      </w:tr>
      <w:tr w:rsidR="00BE7A5A" w:rsidRPr="00B53423" w:rsidTr="006571C9">
        <w:trPr>
          <w:trHeight w:val="397"/>
        </w:trPr>
        <w:tc>
          <w:tcPr>
            <w:tcW w:w="753" w:type="pct"/>
            <w:shd w:val="clear" w:color="auto" w:fill="B8CCE4" w:themeFill="accent1" w:themeFillTint="66"/>
            <w:vAlign w:val="center"/>
            <w:hideMark/>
          </w:tcPr>
          <w:p w:rsidR="00BE7A5A" w:rsidRPr="00B53423" w:rsidRDefault="00BE7A5A" w:rsidP="0015232B">
            <w:pPr>
              <w:spacing w:before="0" w:line="240" w:lineRule="auto"/>
              <w:jc w:val="left"/>
              <w:rPr>
                <w:rFonts w:cs="Calibri"/>
                <w:b/>
                <w:bCs/>
                <w:lang w:val="en-IN" w:eastAsia="en-IN"/>
              </w:rPr>
            </w:pPr>
            <w:r w:rsidRPr="00B53423">
              <w:rPr>
                <w:rFonts w:cs="Calibri"/>
                <w:b/>
                <w:bCs/>
                <w:lang w:val="en-IN" w:eastAsia="en-IN"/>
              </w:rPr>
              <w:t>MVVNL</w:t>
            </w:r>
          </w:p>
        </w:tc>
        <w:tc>
          <w:tcPr>
            <w:tcW w:w="376"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Apr</w:t>
            </w:r>
          </w:p>
        </w:tc>
        <w:tc>
          <w:tcPr>
            <w:tcW w:w="317" w:type="pct"/>
            <w:gridSpan w:val="4"/>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May</w:t>
            </w:r>
          </w:p>
        </w:tc>
        <w:tc>
          <w:tcPr>
            <w:tcW w:w="316"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Jun</w:t>
            </w:r>
          </w:p>
        </w:tc>
        <w:tc>
          <w:tcPr>
            <w:tcW w:w="316" w:type="pct"/>
            <w:gridSpan w:val="4"/>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Jul</w:t>
            </w:r>
          </w:p>
        </w:tc>
        <w:tc>
          <w:tcPr>
            <w:tcW w:w="316"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Aug</w:t>
            </w:r>
          </w:p>
        </w:tc>
        <w:tc>
          <w:tcPr>
            <w:tcW w:w="31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Sep</w:t>
            </w:r>
          </w:p>
        </w:tc>
        <w:tc>
          <w:tcPr>
            <w:tcW w:w="317" w:type="pct"/>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Oct</w:t>
            </w:r>
          </w:p>
        </w:tc>
        <w:tc>
          <w:tcPr>
            <w:tcW w:w="316" w:type="pct"/>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Nov</w:t>
            </w:r>
          </w:p>
        </w:tc>
        <w:tc>
          <w:tcPr>
            <w:tcW w:w="31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Dec</w:t>
            </w:r>
          </w:p>
        </w:tc>
        <w:tc>
          <w:tcPr>
            <w:tcW w:w="31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Jan</w:t>
            </w:r>
          </w:p>
        </w:tc>
        <w:tc>
          <w:tcPr>
            <w:tcW w:w="31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Feb</w:t>
            </w:r>
          </w:p>
        </w:tc>
        <w:tc>
          <w:tcPr>
            <w:tcW w:w="31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Mar</w:t>
            </w:r>
          </w:p>
        </w:tc>
        <w:tc>
          <w:tcPr>
            <w:tcW w:w="394"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Calibri"/>
                <w:b/>
                <w:bCs/>
                <w:lang w:val="en-IN" w:eastAsia="en-IN"/>
              </w:rPr>
              <w:t>Total</w:t>
            </w:r>
          </w:p>
        </w:tc>
      </w:tr>
      <w:tr w:rsidR="00BE7A5A" w:rsidRPr="00B53423" w:rsidTr="006571C9">
        <w:trPr>
          <w:trHeight w:val="649"/>
        </w:trPr>
        <w:tc>
          <w:tcPr>
            <w:tcW w:w="753" w:type="pct"/>
            <w:shd w:val="clear" w:color="auto" w:fill="auto"/>
            <w:hideMark/>
          </w:tcPr>
          <w:p w:rsidR="00BE7A5A" w:rsidRPr="00B53423" w:rsidRDefault="00BE7A5A" w:rsidP="0015232B">
            <w:pPr>
              <w:spacing w:before="0" w:line="240" w:lineRule="auto"/>
              <w:jc w:val="left"/>
              <w:rPr>
                <w:rFonts w:cs="Calibri"/>
                <w:lang w:val="en-IN" w:eastAsia="en-IN"/>
              </w:rPr>
            </w:pPr>
            <w:r w:rsidRPr="00B53423">
              <w:rPr>
                <w:rFonts w:cs="Calibri"/>
                <w:lang w:val="en-IN" w:eastAsia="en-IN"/>
              </w:rPr>
              <w:t>Allocation of Purchases  Energy (MU)</w:t>
            </w:r>
          </w:p>
        </w:tc>
        <w:tc>
          <w:tcPr>
            <w:tcW w:w="376"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   1,380.58 </w:t>
            </w:r>
          </w:p>
        </w:tc>
        <w:tc>
          <w:tcPr>
            <w:tcW w:w="317" w:type="pct"/>
            <w:gridSpan w:val="4"/>
            <w:shd w:val="clear" w:color="auto" w:fill="auto"/>
            <w:vAlign w:val="center"/>
            <w:hideMark/>
          </w:tcPr>
          <w:p w:rsidR="00BE7A5A" w:rsidRPr="00B53423" w:rsidRDefault="00BE7A5A" w:rsidP="0015232B">
            <w:pPr>
              <w:jc w:val="right"/>
              <w:rPr>
                <w:rFonts w:cs="Calibri"/>
              </w:rPr>
            </w:pPr>
            <w:r w:rsidRPr="00B53423">
              <w:rPr>
                <w:rFonts w:cs="Calibri"/>
              </w:rPr>
              <w:t xml:space="preserve">1,517.21 </w:t>
            </w:r>
          </w:p>
        </w:tc>
        <w:tc>
          <w:tcPr>
            <w:tcW w:w="316"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1,512.46 </w:t>
            </w:r>
          </w:p>
        </w:tc>
        <w:tc>
          <w:tcPr>
            <w:tcW w:w="316" w:type="pct"/>
            <w:gridSpan w:val="4"/>
            <w:shd w:val="clear" w:color="auto" w:fill="auto"/>
            <w:vAlign w:val="center"/>
            <w:hideMark/>
          </w:tcPr>
          <w:p w:rsidR="00BE7A5A" w:rsidRPr="00B53423" w:rsidRDefault="00BE7A5A" w:rsidP="0015232B">
            <w:pPr>
              <w:jc w:val="right"/>
              <w:rPr>
                <w:rFonts w:cs="Calibri"/>
              </w:rPr>
            </w:pPr>
            <w:r w:rsidRPr="00B53423">
              <w:rPr>
                <w:rFonts w:cs="Calibri"/>
              </w:rPr>
              <w:t xml:space="preserve">1,514.50 </w:t>
            </w:r>
          </w:p>
        </w:tc>
        <w:tc>
          <w:tcPr>
            <w:tcW w:w="316"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1,528.06 </w:t>
            </w:r>
          </w:p>
        </w:tc>
        <w:tc>
          <w:tcPr>
            <w:tcW w:w="31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1,280.39 </w:t>
            </w:r>
          </w:p>
        </w:tc>
        <w:tc>
          <w:tcPr>
            <w:tcW w:w="317" w:type="pct"/>
            <w:shd w:val="clear" w:color="auto" w:fill="auto"/>
            <w:vAlign w:val="center"/>
            <w:hideMark/>
          </w:tcPr>
          <w:p w:rsidR="00BE7A5A" w:rsidRPr="00B53423" w:rsidRDefault="00BE7A5A" w:rsidP="0015232B">
            <w:pPr>
              <w:jc w:val="right"/>
              <w:rPr>
                <w:rFonts w:cs="Calibri"/>
              </w:rPr>
            </w:pPr>
            <w:r w:rsidRPr="00B53423">
              <w:rPr>
                <w:rFonts w:cs="Calibri"/>
              </w:rPr>
              <w:t xml:space="preserve">1,273.27 </w:t>
            </w:r>
          </w:p>
        </w:tc>
        <w:tc>
          <w:tcPr>
            <w:tcW w:w="316" w:type="pct"/>
            <w:shd w:val="clear" w:color="auto" w:fill="auto"/>
            <w:vAlign w:val="center"/>
            <w:hideMark/>
          </w:tcPr>
          <w:p w:rsidR="00BE7A5A" w:rsidRPr="00B53423" w:rsidRDefault="00BE7A5A" w:rsidP="0015232B">
            <w:pPr>
              <w:jc w:val="right"/>
              <w:rPr>
                <w:rFonts w:cs="Calibri"/>
              </w:rPr>
            </w:pPr>
            <w:r w:rsidRPr="00B53423">
              <w:rPr>
                <w:rFonts w:cs="Calibri"/>
              </w:rPr>
              <w:t xml:space="preserve">1,136.98 </w:t>
            </w:r>
          </w:p>
        </w:tc>
        <w:tc>
          <w:tcPr>
            <w:tcW w:w="31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1,182.24 </w:t>
            </w:r>
          </w:p>
        </w:tc>
        <w:tc>
          <w:tcPr>
            <w:tcW w:w="31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1,207.50 </w:t>
            </w:r>
          </w:p>
        </w:tc>
        <w:tc>
          <w:tcPr>
            <w:tcW w:w="31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1,061.54 </w:t>
            </w:r>
          </w:p>
        </w:tc>
        <w:tc>
          <w:tcPr>
            <w:tcW w:w="31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1,236.48 </w:t>
            </w:r>
          </w:p>
        </w:tc>
        <w:tc>
          <w:tcPr>
            <w:tcW w:w="394"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 15,831.53 </w:t>
            </w:r>
          </w:p>
        </w:tc>
      </w:tr>
      <w:tr w:rsidR="00BE7A5A" w:rsidRPr="00B53423" w:rsidTr="006571C9">
        <w:trPr>
          <w:trHeight w:val="765"/>
        </w:trPr>
        <w:tc>
          <w:tcPr>
            <w:tcW w:w="753" w:type="pct"/>
            <w:shd w:val="clear" w:color="auto" w:fill="auto"/>
            <w:vAlign w:val="center"/>
            <w:hideMark/>
          </w:tcPr>
          <w:p w:rsidR="00BE7A5A" w:rsidRPr="00B53423" w:rsidRDefault="00BE7A5A" w:rsidP="0015232B">
            <w:pPr>
              <w:spacing w:before="0" w:line="240" w:lineRule="auto"/>
              <w:jc w:val="left"/>
              <w:rPr>
                <w:rFonts w:cs="Calibri"/>
                <w:lang w:val="en-IN" w:eastAsia="en-IN"/>
              </w:rPr>
            </w:pPr>
            <w:r w:rsidRPr="00B53423">
              <w:rPr>
                <w:rFonts w:cs="Calibri"/>
                <w:lang w:val="en-IN" w:eastAsia="en-IN"/>
              </w:rPr>
              <w:t>Approved average power (Rs/kWh)</w:t>
            </w:r>
          </w:p>
        </w:tc>
        <w:tc>
          <w:tcPr>
            <w:tcW w:w="376"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7" w:type="pct"/>
            <w:gridSpan w:val="4"/>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4"/>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7" w:type="pct"/>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94"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            3.49 </w:t>
            </w:r>
          </w:p>
        </w:tc>
      </w:tr>
      <w:tr w:rsidR="00BE7A5A" w:rsidRPr="00B53423" w:rsidTr="006571C9">
        <w:trPr>
          <w:trHeight w:val="974"/>
        </w:trPr>
        <w:tc>
          <w:tcPr>
            <w:tcW w:w="753" w:type="pct"/>
            <w:shd w:val="clear" w:color="auto" w:fill="auto"/>
            <w:hideMark/>
          </w:tcPr>
          <w:p w:rsidR="00BE7A5A" w:rsidRPr="00B53423" w:rsidRDefault="00BE7A5A" w:rsidP="0015232B">
            <w:pPr>
              <w:spacing w:before="0" w:line="240" w:lineRule="auto"/>
              <w:jc w:val="left"/>
              <w:rPr>
                <w:rFonts w:cs="Calibri"/>
                <w:b/>
                <w:bCs/>
                <w:lang w:val="en-IN" w:eastAsia="en-IN"/>
              </w:rPr>
            </w:pPr>
            <w:r w:rsidRPr="00B53423">
              <w:rPr>
                <w:rFonts w:cs="Calibri"/>
                <w:b/>
                <w:bCs/>
                <w:lang w:val="en-IN" w:eastAsia="en-IN"/>
              </w:rPr>
              <w:t>Allocated Approved Power Purchase Cost (Rs. Crores)</w:t>
            </w:r>
          </w:p>
        </w:tc>
        <w:tc>
          <w:tcPr>
            <w:tcW w:w="376"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481.32 </w:t>
            </w:r>
          </w:p>
        </w:tc>
        <w:tc>
          <w:tcPr>
            <w:tcW w:w="317" w:type="pct"/>
            <w:gridSpan w:val="4"/>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528.95 </w:t>
            </w:r>
          </w:p>
        </w:tc>
        <w:tc>
          <w:tcPr>
            <w:tcW w:w="316"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527.30 </w:t>
            </w:r>
          </w:p>
        </w:tc>
        <w:tc>
          <w:tcPr>
            <w:tcW w:w="316" w:type="pct"/>
            <w:gridSpan w:val="4"/>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528.01 </w:t>
            </w:r>
          </w:p>
        </w:tc>
        <w:tc>
          <w:tcPr>
            <w:tcW w:w="316"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532.73 </w:t>
            </w:r>
          </w:p>
        </w:tc>
        <w:tc>
          <w:tcPr>
            <w:tcW w:w="31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446.39 </w:t>
            </w:r>
          </w:p>
        </w:tc>
        <w:tc>
          <w:tcPr>
            <w:tcW w:w="317" w:type="pct"/>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443.91 </w:t>
            </w:r>
          </w:p>
        </w:tc>
        <w:tc>
          <w:tcPr>
            <w:tcW w:w="316" w:type="pct"/>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396.39 </w:t>
            </w:r>
          </w:p>
        </w:tc>
        <w:tc>
          <w:tcPr>
            <w:tcW w:w="31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412.17 </w:t>
            </w:r>
          </w:p>
        </w:tc>
        <w:tc>
          <w:tcPr>
            <w:tcW w:w="31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420.97 </w:t>
            </w:r>
          </w:p>
        </w:tc>
        <w:tc>
          <w:tcPr>
            <w:tcW w:w="31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370.09 </w:t>
            </w:r>
          </w:p>
        </w:tc>
        <w:tc>
          <w:tcPr>
            <w:tcW w:w="31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431.08 </w:t>
            </w:r>
          </w:p>
        </w:tc>
        <w:tc>
          <w:tcPr>
            <w:tcW w:w="394"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5,519.42 </w:t>
            </w:r>
          </w:p>
        </w:tc>
      </w:tr>
      <w:tr w:rsidR="00BE7A5A" w:rsidRPr="00B53423" w:rsidTr="006571C9">
        <w:trPr>
          <w:trHeight w:val="255"/>
        </w:trPr>
        <w:tc>
          <w:tcPr>
            <w:tcW w:w="5000" w:type="pct"/>
            <w:gridSpan w:val="32"/>
            <w:shd w:val="clear" w:color="auto" w:fill="B8CCE4" w:themeFill="accent1" w:themeFillTint="66"/>
            <w:noWrap/>
            <w:vAlign w:val="center"/>
            <w:hideMark/>
          </w:tcPr>
          <w:p w:rsidR="00BE7A5A" w:rsidRPr="00B53423" w:rsidRDefault="00BE7A5A" w:rsidP="0015232B">
            <w:pPr>
              <w:spacing w:before="0" w:line="240" w:lineRule="auto"/>
              <w:jc w:val="center"/>
              <w:rPr>
                <w:rFonts w:cs="Calibri"/>
                <w:b/>
                <w:bCs/>
                <w:lang w:val="en-IN" w:eastAsia="en-IN"/>
              </w:rPr>
            </w:pPr>
            <w:r w:rsidRPr="00B53423">
              <w:rPr>
                <w:rFonts w:cs="Calibri"/>
                <w:b/>
                <w:bCs/>
                <w:lang w:val="en-IN" w:eastAsia="en-IN"/>
              </w:rPr>
              <w:t>FY 2014-15</w:t>
            </w:r>
          </w:p>
        </w:tc>
      </w:tr>
      <w:tr w:rsidR="00BE7A5A" w:rsidRPr="00B53423" w:rsidTr="006571C9">
        <w:trPr>
          <w:trHeight w:val="255"/>
        </w:trPr>
        <w:tc>
          <w:tcPr>
            <w:tcW w:w="753" w:type="pct"/>
            <w:shd w:val="clear" w:color="auto" w:fill="B8CCE4" w:themeFill="accent1" w:themeFillTint="66"/>
            <w:hideMark/>
          </w:tcPr>
          <w:p w:rsidR="00BE7A5A" w:rsidRPr="00B53423" w:rsidRDefault="00BE7A5A" w:rsidP="0015232B">
            <w:pPr>
              <w:spacing w:before="0" w:line="240" w:lineRule="auto"/>
              <w:jc w:val="left"/>
              <w:rPr>
                <w:rFonts w:cs="Calibri"/>
                <w:b/>
                <w:bCs/>
                <w:lang w:val="en-IN" w:eastAsia="en-IN"/>
              </w:rPr>
            </w:pPr>
            <w:r w:rsidRPr="00B53423">
              <w:rPr>
                <w:rFonts w:cs="Calibri"/>
                <w:b/>
                <w:bCs/>
                <w:lang w:val="en-IN" w:eastAsia="en-IN"/>
              </w:rPr>
              <w:t>PuVVNL</w:t>
            </w:r>
          </w:p>
        </w:tc>
        <w:tc>
          <w:tcPr>
            <w:tcW w:w="316" w:type="pct"/>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Apr</w:t>
            </w:r>
          </w:p>
        </w:tc>
        <w:tc>
          <w:tcPr>
            <w:tcW w:w="340" w:type="pct"/>
            <w:gridSpan w:val="5"/>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May</w:t>
            </w:r>
          </w:p>
        </w:tc>
        <w:tc>
          <w:tcPr>
            <w:tcW w:w="318"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Jun</w:t>
            </w:r>
          </w:p>
        </w:tc>
        <w:tc>
          <w:tcPr>
            <w:tcW w:w="328" w:type="pct"/>
            <w:gridSpan w:val="4"/>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Jul</w:t>
            </w:r>
          </w:p>
        </w:tc>
        <w:tc>
          <w:tcPr>
            <w:tcW w:w="325"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Aug</w:t>
            </w:r>
          </w:p>
        </w:tc>
        <w:tc>
          <w:tcPr>
            <w:tcW w:w="330"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Sep</w:t>
            </w:r>
          </w:p>
        </w:tc>
        <w:tc>
          <w:tcPr>
            <w:tcW w:w="317" w:type="pct"/>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Oct</w:t>
            </w:r>
          </w:p>
        </w:tc>
        <w:tc>
          <w:tcPr>
            <w:tcW w:w="325"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Nov</w:t>
            </w:r>
          </w:p>
        </w:tc>
        <w:tc>
          <w:tcPr>
            <w:tcW w:w="32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Dec</w:t>
            </w:r>
          </w:p>
        </w:tc>
        <w:tc>
          <w:tcPr>
            <w:tcW w:w="325"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Jan</w:t>
            </w:r>
          </w:p>
        </w:tc>
        <w:tc>
          <w:tcPr>
            <w:tcW w:w="325"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Feb</w:t>
            </w:r>
          </w:p>
        </w:tc>
        <w:tc>
          <w:tcPr>
            <w:tcW w:w="322"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Mar</w:t>
            </w:r>
          </w:p>
        </w:tc>
        <w:tc>
          <w:tcPr>
            <w:tcW w:w="351" w:type="pct"/>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Calibri"/>
                <w:b/>
                <w:bCs/>
                <w:lang w:val="en-IN" w:eastAsia="en-IN"/>
              </w:rPr>
              <w:t>Total</w:t>
            </w:r>
          </w:p>
        </w:tc>
      </w:tr>
      <w:tr w:rsidR="00BE7A5A" w:rsidRPr="00B53423" w:rsidTr="006571C9">
        <w:trPr>
          <w:trHeight w:val="313"/>
        </w:trPr>
        <w:tc>
          <w:tcPr>
            <w:tcW w:w="753" w:type="pct"/>
            <w:shd w:val="clear" w:color="auto" w:fill="auto"/>
            <w:hideMark/>
          </w:tcPr>
          <w:p w:rsidR="00BE7A5A" w:rsidRPr="00B53423" w:rsidRDefault="00BE7A5A" w:rsidP="0015232B">
            <w:pPr>
              <w:spacing w:before="0" w:line="240" w:lineRule="auto"/>
              <w:jc w:val="left"/>
              <w:rPr>
                <w:rFonts w:cs="Calibri"/>
                <w:lang w:val="en-IN" w:eastAsia="en-IN"/>
              </w:rPr>
            </w:pPr>
            <w:r w:rsidRPr="00B53423">
              <w:rPr>
                <w:rFonts w:cs="Calibri"/>
                <w:lang w:val="en-IN" w:eastAsia="en-IN"/>
              </w:rPr>
              <w:t>Allocation of Purchases  Energy (MU)</w:t>
            </w:r>
          </w:p>
        </w:tc>
        <w:tc>
          <w:tcPr>
            <w:tcW w:w="316" w:type="pct"/>
            <w:shd w:val="clear" w:color="auto" w:fill="auto"/>
            <w:vAlign w:val="center"/>
            <w:hideMark/>
          </w:tcPr>
          <w:p w:rsidR="00BE7A5A" w:rsidRPr="00B53423" w:rsidRDefault="00BE7A5A" w:rsidP="0015232B">
            <w:pPr>
              <w:jc w:val="right"/>
              <w:rPr>
                <w:rFonts w:cs="Calibri"/>
              </w:rPr>
            </w:pPr>
            <w:r w:rsidRPr="00B53423">
              <w:rPr>
                <w:rFonts w:cs="Calibri"/>
              </w:rPr>
              <w:t xml:space="preserve">1,714.46 </w:t>
            </w:r>
          </w:p>
        </w:tc>
        <w:tc>
          <w:tcPr>
            <w:tcW w:w="340" w:type="pct"/>
            <w:gridSpan w:val="5"/>
            <w:shd w:val="clear" w:color="auto" w:fill="auto"/>
            <w:vAlign w:val="center"/>
            <w:hideMark/>
          </w:tcPr>
          <w:p w:rsidR="00BE7A5A" w:rsidRPr="00B53423" w:rsidRDefault="00BE7A5A" w:rsidP="0015232B">
            <w:pPr>
              <w:jc w:val="right"/>
              <w:rPr>
                <w:rFonts w:cs="Calibri"/>
              </w:rPr>
            </w:pPr>
            <w:r w:rsidRPr="00B53423">
              <w:rPr>
                <w:rFonts w:cs="Calibri"/>
              </w:rPr>
              <w:t xml:space="preserve">1,884.14 </w:t>
            </w:r>
          </w:p>
        </w:tc>
        <w:tc>
          <w:tcPr>
            <w:tcW w:w="318"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1,878.24 </w:t>
            </w:r>
          </w:p>
        </w:tc>
        <w:tc>
          <w:tcPr>
            <w:tcW w:w="328" w:type="pct"/>
            <w:gridSpan w:val="4"/>
            <w:shd w:val="clear" w:color="auto" w:fill="auto"/>
            <w:vAlign w:val="center"/>
            <w:hideMark/>
          </w:tcPr>
          <w:p w:rsidR="00BE7A5A" w:rsidRPr="00B53423" w:rsidRDefault="00BE7A5A" w:rsidP="0015232B">
            <w:pPr>
              <w:jc w:val="right"/>
              <w:rPr>
                <w:rFonts w:cs="Calibri"/>
              </w:rPr>
            </w:pPr>
            <w:r w:rsidRPr="00B53423">
              <w:rPr>
                <w:rFonts w:cs="Calibri"/>
              </w:rPr>
              <w:t xml:space="preserve">1,880.77 </w:t>
            </w:r>
          </w:p>
        </w:tc>
        <w:tc>
          <w:tcPr>
            <w:tcW w:w="325"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1,897.61 </w:t>
            </w:r>
          </w:p>
        </w:tc>
        <w:tc>
          <w:tcPr>
            <w:tcW w:w="330"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1,590.04 </w:t>
            </w:r>
          </w:p>
        </w:tc>
        <w:tc>
          <w:tcPr>
            <w:tcW w:w="317" w:type="pct"/>
            <w:shd w:val="clear" w:color="auto" w:fill="auto"/>
            <w:vAlign w:val="center"/>
            <w:hideMark/>
          </w:tcPr>
          <w:p w:rsidR="00BE7A5A" w:rsidRPr="00B53423" w:rsidRDefault="00BE7A5A" w:rsidP="0015232B">
            <w:pPr>
              <w:jc w:val="right"/>
              <w:rPr>
                <w:rFonts w:cs="Calibri"/>
              </w:rPr>
            </w:pPr>
            <w:r w:rsidRPr="00B53423">
              <w:rPr>
                <w:rFonts w:cs="Calibri"/>
              </w:rPr>
              <w:t xml:space="preserve">1,581.20 </w:t>
            </w:r>
          </w:p>
        </w:tc>
        <w:tc>
          <w:tcPr>
            <w:tcW w:w="325"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1,411.94 </w:t>
            </w:r>
          </w:p>
        </w:tc>
        <w:tc>
          <w:tcPr>
            <w:tcW w:w="32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1,468.15 </w:t>
            </w:r>
          </w:p>
        </w:tc>
        <w:tc>
          <w:tcPr>
            <w:tcW w:w="325"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1,499.52 </w:t>
            </w:r>
          </w:p>
        </w:tc>
        <w:tc>
          <w:tcPr>
            <w:tcW w:w="325"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1,318.26 </w:t>
            </w:r>
          </w:p>
        </w:tc>
        <w:tc>
          <w:tcPr>
            <w:tcW w:w="322"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1,535.52 </w:t>
            </w:r>
          </w:p>
        </w:tc>
        <w:tc>
          <w:tcPr>
            <w:tcW w:w="351" w:type="pct"/>
            <w:shd w:val="clear" w:color="auto" w:fill="auto"/>
            <w:vAlign w:val="center"/>
            <w:hideMark/>
          </w:tcPr>
          <w:p w:rsidR="00BE7A5A" w:rsidRPr="00B53423" w:rsidRDefault="00BE7A5A" w:rsidP="0015232B">
            <w:pPr>
              <w:jc w:val="right"/>
              <w:rPr>
                <w:rFonts w:cs="Calibri"/>
              </w:rPr>
            </w:pPr>
            <w:r w:rsidRPr="00B53423">
              <w:rPr>
                <w:rFonts w:cs="Calibri"/>
              </w:rPr>
              <w:t xml:space="preserve">19,660.27 </w:t>
            </w:r>
          </w:p>
        </w:tc>
      </w:tr>
      <w:tr w:rsidR="00BE7A5A" w:rsidRPr="00B53423" w:rsidTr="006571C9">
        <w:trPr>
          <w:trHeight w:val="481"/>
        </w:trPr>
        <w:tc>
          <w:tcPr>
            <w:tcW w:w="753" w:type="pct"/>
            <w:shd w:val="clear" w:color="auto" w:fill="auto"/>
            <w:hideMark/>
          </w:tcPr>
          <w:p w:rsidR="00BE7A5A" w:rsidRPr="00B53423" w:rsidRDefault="00BE7A5A" w:rsidP="0015232B">
            <w:pPr>
              <w:spacing w:before="0" w:line="240" w:lineRule="auto"/>
              <w:jc w:val="left"/>
              <w:rPr>
                <w:rFonts w:cs="Calibri"/>
                <w:lang w:val="en-IN" w:eastAsia="en-IN"/>
              </w:rPr>
            </w:pPr>
            <w:r w:rsidRPr="00B53423">
              <w:rPr>
                <w:rFonts w:cs="Calibri"/>
                <w:lang w:val="en-IN" w:eastAsia="en-IN"/>
              </w:rPr>
              <w:t>Approved average power (Rs/kWh)</w:t>
            </w:r>
          </w:p>
        </w:tc>
        <w:tc>
          <w:tcPr>
            <w:tcW w:w="316" w:type="pct"/>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40" w:type="pct"/>
            <w:gridSpan w:val="5"/>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8"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8" w:type="pct"/>
            <w:gridSpan w:val="4"/>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5"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30"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7" w:type="pct"/>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5"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5"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5"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2"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51" w:type="pct"/>
            <w:shd w:val="clear" w:color="auto" w:fill="auto"/>
            <w:vAlign w:val="center"/>
            <w:hideMark/>
          </w:tcPr>
          <w:p w:rsidR="00BE7A5A" w:rsidRPr="00B53423" w:rsidRDefault="00BE7A5A" w:rsidP="0015232B">
            <w:pPr>
              <w:jc w:val="right"/>
              <w:rPr>
                <w:rFonts w:cs="Calibri"/>
              </w:rPr>
            </w:pPr>
            <w:r w:rsidRPr="00B53423">
              <w:rPr>
                <w:rFonts w:cs="Calibri"/>
              </w:rPr>
              <w:t xml:space="preserve">     3.49 </w:t>
            </w:r>
          </w:p>
        </w:tc>
      </w:tr>
      <w:tr w:rsidR="00BE7A5A" w:rsidRPr="00B53423" w:rsidTr="006571C9">
        <w:trPr>
          <w:trHeight w:val="765"/>
        </w:trPr>
        <w:tc>
          <w:tcPr>
            <w:tcW w:w="753" w:type="pct"/>
            <w:shd w:val="clear" w:color="auto" w:fill="auto"/>
            <w:hideMark/>
          </w:tcPr>
          <w:p w:rsidR="00BE7A5A" w:rsidRPr="00B53423" w:rsidRDefault="00BE7A5A" w:rsidP="0015232B">
            <w:pPr>
              <w:spacing w:before="0" w:line="240" w:lineRule="auto"/>
              <w:jc w:val="left"/>
              <w:rPr>
                <w:rFonts w:cs="Calibri"/>
                <w:b/>
                <w:bCs/>
                <w:lang w:val="en-IN" w:eastAsia="en-IN"/>
              </w:rPr>
            </w:pPr>
            <w:r w:rsidRPr="00B53423">
              <w:rPr>
                <w:rFonts w:cs="Calibri"/>
                <w:b/>
                <w:bCs/>
                <w:lang w:val="en-IN" w:eastAsia="en-IN"/>
              </w:rPr>
              <w:t>Allocated Approved Power Purchase Cost (Rs. Crore)</w:t>
            </w:r>
          </w:p>
        </w:tc>
        <w:tc>
          <w:tcPr>
            <w:tcW w:w="316" w:type="pct"/>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597.72 </w:t>
            </w:r>
          </w:p>
        </w:tc>
        <w:tc>
          <w:tcPr>
            <w:tcW w:w="340" w:type="pct"/>
            <w:gridSpan w:val="5"/>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656.87 </w:t>
            </w:r>
          </w:p>
        </w:tc>
        <w:tc>
          <w:tcPr>
            <w:tcW w:w="318"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654.82 </w:t>
            </w:r>
          </w:p>
        </w:tc>
        <w:tc>
          <w:tcPr>
            <w:tcW w:w="328" w:type="pct"/>
            <w:gridSpan w:val="4"/>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655.70 </w:t>
            </w:r>
          </w:p>
        </w:tc>
        <w:tc>
          <w:tcPr>
            <w:tcW w:w="325"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661.57 </w:t>
            </w:r>
          </w:p>
        </w:tc>
        <w:tc>
          <w:tcPr>
            <w:tcW w:w="330"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554.34 </w:t>
            </w:r>
          </w:p>
        </w:tc>
        <w:tc>
          <w:tcPr>
            <w:tcW w:w="317" w:type="pct"/>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551.26 </w:t>
            </w:r>
          </w:p>
        </w:tc>
        <w:tc>
          <w:tcPr>
            <w:tcW w:w="325"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492.25 </w:t>
            </w:r>
          </w:p>
        </w:tc>
        <w:tc>
          <w:tcPr>
            <w:tcW w:w="32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511.85 </w:t>
            </w:r>
          </w:p>
        </w:tc>
        <w:tc>
          <w:tcPr>
            <w:tcW w:w="325"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522.78 </w:t>
            </w:r>
          </w:p>
        </w:tc>
        <w:tc>
          <w:tcPr>
            <w:tcW w:w="325"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459.59 </w:t>
            </w:r>
          </w:p>
        </w:tc>
        <w:tc>
          <w:tcPr>
            <w:tcW w:w="322"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535.33 </w:t>
            </w:r>
          </w:p>
        </w:tc>
        <w:tc>
          <w:tcPr>
            <w:tcW w:w="351" w:type="pct"/>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6,854.25 </w:t>
            </w:r>
          </w:p>
        </w:tc>
      </w:tr>
      <w:tr w:rsidR="00BE7A5A" w:rsidRPr="00B53423" w:rsidTr="006571C9">
        <w:trPr>
          <w:trHeight w:val="255"/>
        </w:trPr>
        <w:tc>
          <w:tcPr>
            <w:tcW w:w="5000" w:type="pct"/>
            <w:gridSpan w:val="32"/>
            <w:shd w:val="clear" w:color="auto" w:fill="B8CCE4" w:themeFill="accent1" w:themeFillTint="66"/>
            <w:noWrap/>
            <w:vAlign w:val="center"/>
            <w:hideMark/>
          </w:tcPr>
          <w:p w:rsidR="00BE7A5A" w:rsidRPr="00B53423" w:rsidRDefault="00BE7A5A" w:rsidP="0015232B">
            <w:pPr>
              <w:spacing w:before="0" w:line="240" w:lineRule="auto"/>
              <w:jc w:val="center"/>
              <w:rPr>
                <w:rFonts w:cs="Calibri"/>
                <w:b/>
                <w:bCs/>
                <w:lang w:val="en-IN" w:eastAsia="en-IN"/>
              </w:rPr>
            </w:pPr>
            <w:r w:rsidRPr="00B53423">
              <w:rPr>
                <w:rFonts w:cs="Calibri"/>
                <w:b/>
                <w:bCs/>
                <w:lang w:val="en-IN" w:eastAsia="en-IN"/>
              </w:rPr>
              <w:t>FY 2014-15</w:t>
            </w:r>
          </w:p>
        </w:tc>
      </w:tr>
      <w:tr w:rsidR="00BE7A5A" w:rsidRPr="00B53423" w:rsidTr="006571C9">
        <w:trPr>
          <w:trHeight w:val="255"/>
        </w:trPr>
        <w:tc>
          <w:tcPr>
            <w:tcW w:w="753" w:type="pct"/>
            <w:shd w:val="clear" w:color="auto" w:fill="B8CCE4" w:themeFill="accent1" w:themeFillTint="66"/>
            <w:hideMark/>
          </w:tcPr>
          <w:p w:rsidR="00BE7A5A" w:rsidRPr="00B53423" w:rsidRDefault="00BE7A5A" w:rsidP="0015232B">
            <w:pPr>
              <w:spacing w:before="0" w:line="240" w:lineRule="auto"/>
              <w:jc w:val="left"/>
              <w:rPr>
                <w:rFonts w:cs="Calibri"/>
                <w:b/>
                <w:bCs/>
                <w:lang w:val="en-IN" w:eastAsia="en-IN"/>
              </w:rPr>
            </w:pPr>
            <w:r w:rsidRPr="00B53423">
              <w:rPr>
                <w:rFonts w:cs="Calibri"/>
                <w:b/>
                <w:bCs/>
                <w:lang w:val="en-IN" w:eastAsia="en-IN"/>
              </w:rPr>
              <w:t>PaVVNL</w:t>
            </w:r>
          </w:p>
        </w:tc>
        <w:tc>
          <w:tcPr>
            <w:tcW w:w="333"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Apr</w:t>
            </w:r>
          </w:p>
        </w:tc>
        <w:tc>
          <w:tcPr>
            <w:tcW w:w="31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May</w:t>
            </w:r>
          </w:p>
        </w:tc>
        <w:tc>
          <w:tcPr>
            <w:tcW w:w="319" w:type="pct"/>
            <w:gridSpan w:val="4"/>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Jun</w:t>
            </w:r>
          </w:p>
        </w:tc>
        <w:tc>
          <w:tcPr>
            <w:tcW w:w="318"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Jul</w:t>
            </w:r>
          </w:p>
        </w:tc>
        <w:tc>
          <w:tcPr>
            <w:tcW w:w="340" w:type="pct"/>
            <w:gridSpan w:val="5"/>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Aug</w:t>
            </w:r>
          </w:p>
        </w:tc>
        <w:tc>
          <w:tcPr>
            <w:tcW w:w="330"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Sep</w:t>
            </w:r>
          </w:p>
        </w:tc>
        <w:tc>
          <w:tcPr>
            <w:tcW w:w="317" w:type="pct"/>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Oct</w:t>
            </w:r>
          </w:p>
        </w:tc>
        <w:tc>
          <w:tcPr>
            <w:tcW w:w="325"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Nov</w:t>
            </w:r>
          </w:p>
        </w:tc>
        <w:tc>
          <w:tcPr>
            <w:tcW w:w="32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Dec</w:t>
            </w:r>
          </w:p>
        </w:tc>
        <w:tc>
          <w:tcPr>
            <w:tcW w:w="325"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Jan</w:t>
            </w:r>
          </w:p>
        </w:tc>
        <w:tc>
          <w:tcPr>
            <w:tcW w:w="325"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Feb</w:t>
            </w:r>
          </w:p>
        </w:tc>
        <w:tc>
          <w:tcPr>
            <w:tcW w:w="322"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Mar</w:t>
            </w:r>
          </w:p>
        </w:tc>
        <w:tc>
          <w:tcPr>
            <w:tcW w:w="351" w:type="pct"/>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Calibri"/>
                <w:b/>
                <w:bCs/>
                <w:lang w:val="en-IN" w:eastAsia="en-IN"/>
              </w:rPr>
              <w:t>Total</w:t>
            </w:r>
          </w:p>
        </w:tc>
      </w:tr>
      <w:tr w:rsidR="00BE7A5A" w:rsidRPr="00B53423" w:rsidTr="006571C9">
        <w:trPr>
          <w:trHeight w:val="448"/>
        </w:trPr>
        <w:tc>
          <w:tcPr>
            <w:tcW w:w="753" w:type="pct"/>
            <w:shd w:val="clear" w:color="auto" w:fill="auto"/>
            <w:hideMark/>
          </w:tcPr>
          <w:p w:rsidR="00BE7A5A" w:rsidRPr="00B53423" w:rsidRDefault="00BE7A5A" w:rsidP="0015232B">
            <w:pPr>
              <w:spacing w:before="0" w:line="240" w:lineRule="auto"/>
              <w:jc w:val="left"/>
              <w:rPr>
                <w:rFonts w:cs="Calibri"/>
                <w:lang w:val="en-IN" w:eastAsia="en-IN"/>
              </w:rPr>
            </w:pPr>
            <w:r w:rsidRPr="00B53423">
              <w:rPr>
                <w:rFonts w:cs="Calibri"/>
                <w:lang w:val="en-IN" w:eastAsia="en-IN"/>
              </w:rPr>
              <w:t>Allocation of Purchases  Energy (MU)</w:t>
            </w:r>
          </w:p>
        </w:tc>
        <w:tc>
          <w:tcPr>
            <w:tcW w:w="333"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 2,468.47 </w:t>
            </w:r>
          </w:p>
        </w:tc>
        <w:tc>
          <w:tcPr>
            <w:tcW w:w="31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2,712.77 </w:t>
            </w:r>
          </w:p>
        </w:tc>
        <w:tc>
          <w:tcPr>
            <w:tcW w:w="319" w:type="pct"/>
            <w:gridSpan w:val="4"/>
            <w:shd w:val="clear" w:color="auto" w:fill="auto"/>
            <w:vAlign w:val="center"/>
            <w:hideMark/>
          </w:tcPr>
          <w:p w:rsidR="00BE7A5A" w:rsidRPr="00B53423" w:rsidRDefault="00BE7A5A" w:rsidP="0015232B">
            <w:pPr>
              <w:jc w:val="right"/>
              <w:rPr>
                <w:rFonts w:cs="Calibri"/>
              </w:rPr>
            </w:pPr>
            <w:r w:rsidRPr="00B53423">
              <w:rPr>
                <w:rFonts w:cs="Calibri"/>
              </w:rPr>
              <w:t xml:space="preserve">2,704.28 </w:t>
            </w:r>
          </w:p>
        </w:tc>
        <w:tc>
          <w:tcPr>
            <w:tcW w:w="318"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2,707.92 </w:t>
            </w:r>
          </w:p>
        </w:tc>
        <w:tc>
          <w:tcPr>
            <w:tcW w:w="340" w:type="pct"/>
            <w:gridSpan w:val="5"/>
            <w:shd w:val="clear" w:color="auto" w:fill="auto"/>
            <w:vAlign w:val="center"/>
            <w:hideMark/>
          </w:tcPr>
          <w:p w:rsidR="00BE7A5A" w:rsidRPr="00B53423" w:rsidRDefault="00BE7A5A" w:rsidP="0015232B">
            <w:pPr>
              <w:jc w:val="right"/>
              <w:rPr>
                <w:rFonts w:cs="Calibri"/>
              </w:rPr>
            </w:pPr>
            <w:r w:rsidRPr="00B53423">
              <w:rPr>
                <w:rFonts w:cs="Calibri"/>
              </w:rPr>
              <w:t xml:space="preserve">2,732.16 </w:t>
            </w:r>
          </w:p>
        </w:tc>
        <w:tc>
          <w:tcPr>
            <w:tcW w:w="330"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2,289.33 </w:t>
            </w:r>
          </w:p>
        </w:tc>
        <w:tc>
          <w:tcPr>
            <w:tcW w:w="317" w:type="pct"/>
            <w:shd w:val="clear" w:color="auto" w:fill="auto"/>
            <w:vAlign w:val="center"/>
            <w:hideMark/>
          </w:tcPr>
          <w:p w:rsidR="00BE7A5A" w:rsidRPr="00B53423" w:rsidRDefault="00BE7A5A" w:rsidP="0015232B">
            <w:pPr>
              <w:jc w:val="right"/>
              <w:rPr>
                <w:rFonts w:cs="Calibri"/>
              </w:rPr>
            </w:pPr>
            <w:r w:rsidRPr="00B53423">
              <w:rPr>
                <w:rFonts w:cs="Calibri"/>
              </w:rPr>
              <w:t xml:space="preserve">2,276.60 </w:t>
            </w:r>
          </w:p>
        </w:tc>
        <w:tc>
          <w:tcPr>
            <w:tcW w:w="325"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2,032.91 </w:t>
            </w:r>
          </w:p>
        </w:tc>
        <w:tc>
          <w:tcPr>
            <w:tcW w:w="32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2,113.84 </w:t>
            </w:r>
          </w:p>
        </w:tc>
        <w:tc>
          <w:tcPr>
            <w:tcW w:w="325"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2,159.00 </w:t>
            </w:r>
          </w:p>
        </w:tc>
        <w:tc>
          <w:tcPr>
            <w:tcW w:w="325"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1,898.03 </w:t>
            </w:r>
          </w:p>
        </w:tc>
        <w:tc>
          <w:tcPr>
            <w:tcW w:w="322"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2,210.83 </w:t>
            </w:r>
          </w:p>
        </w:tc>
        <w:tc>
          <w:tcPr>
            <w:tcW w:w="351" w:type="pct"/>
            <w:shd w:val="clear" w:color="auto" w:fill="auto"/>
            <w:vAlign w:val="center"/>
            <w:hideMark/>
          </w:tcPr>
          <w:p w:rsidR="00BE7A5A" w:rsidRPr="00B53423" w:rsidRDefault="00BE7A5A" w:rsidP="0015232B">
            <w:pPr>
              <w:jc w:val="right"/>
              <w:rPr>
                <w:rFonts w:cs="Calibri"/>
              </w:rPr>
            </w:pPr>
            <w:r w:rsidRPr="00B53423">
              <w:rPr>
                <w:rFonts w:cs="Calibri"/>
              </w:rPr>
              <w:t xml:space="preserve">28,306.73 </w:t>
            </w:r>
          </w:p>
        </w:tc>
      </w:tr>
      <w:tr w:rsidR="00BE7A5A" w:rsidRPr="00B53423" w:rsidTr="006571C9">
        <w:trPr>
          <w:trHeight w:val="555"/>
        </w:trPr>
        <w:tc>
          <w:tcPr>
            <w:tcW w:w="753" w:type="pct"/>
            <w:shd w:val="clear" w:color="auto" w:fill="auto"/>
            <w:hideMark/>
          </w:tcPr>
          <w:p w:rsidR="00BE7A5A" w:rsidRPr="00B53423" w:rsidRDefault="00BE7A5A" w:rsidP="0015232B">
            <w:pPr>
              <w:spacing w:before="0" w:line="240" w:lineRule="auto"/>
              <w:jc w:val="left"/>
              <w:rPr>
                <w:rFonts w:cs="Calibri"/>
                <w:lang w:val="en-IN" w:eastAsia="en-IN"/>
              </w:rPr>
            </w:pPr>
            <w:r w:rsidRPr="00B53423">
              <w:rPr>
                <w:rFonts w:cs="Calibri"/>
                <w:lang w:val="en-IN" w:eastAsia="en-IN"/>
              </w:rPr>
              <w:t>Approved average power (Rs/kWh)</w:t>
            </w:r>
          </w:p>
        </w:tc>
        <w:tc>
          <w:tcPr>
            <w:tcW w:w="333"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9" w:type="pct"/>
            <w:gridSpan w:val="4"/>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8"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40" w:type="pct"/>
            <w:gridSpan w:val="5"/>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30"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7" w:type="pct"/>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5"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5"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5"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2"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51" w:type="pct"/>
            <w:shd w:val="clear" w:color="auto" w:fill="auto"/>
            <w:vAlign w:val="center"/>
            <w:hideMark/>
          </w:tcPr>
          <w:p w:rsidR="00BE7A5A" w:rsidRPr="00B53423" w:rsidRDefault="00BE7A5A" w:rsidP="0015232B">
            <w:pPr>
              <w:jc w:val="right"/>
              <w:rPr>
                <w:rFonts w:cs="Calibri"/>
              </w:rPr>
            </w:pPr>
            <w:r w:rsidRPr="00B53423">
              <w:rPr>
                <w:rFonts w:cs="Calibri"/>
              </w:rPr>
              <w:t xml:space="preserve">3.49 </w:t>
            </w:r>
          </w:p>
        </w:tc>
      </w:tr>
      <w:tr w:rsidR="00BE7A5A" w:rsidRPr="00B53423" w:rsidTr="006571C9">
        <w:trPr>
          <w:trHeight w:val="765"/>
        </w:trPr>
        <w:tc>
          <w:tcPr>
            <w:tcW w:w="753" w:type="pct"/>
            <w:shd w:val="clear" w:color="auto" w:fill="auto"/>
            <w:hideMark/>
          </w:tcPr>
          <w:p w:rsidR="00BE7A5A" w:rsidRPr="00B53423" w:rsidRDefault="00BE7A5A" w:rsidP="0015232B">
            <w:pPr>
              <w:spacing w:before="0" w:line="240" w:lineRule="auto"/>
              <w:jc w:val="left"/>
              <w:rPr>
                <w:rFonts w:cs="Calibri"/>
                <w:b/>
                <w:bCs/>
                <w:lang w:val="en-IN" w:eastAsia="en-IN"/>
              </w:rPr>
            </w:pPr>
            <w:r w:rsidRPr="00B53423">
              <w:rPr>
                <w:rFonts w:cs="Calibri"/>
                <w:b/>
                <w:bCs/>
                <w:lang w:val="en-IN" w:eastAsia="en-IN"/>
              </w:rPr>
              <w:t>Allocated Approved Power Purchase Cost (Rs. Crore)</w:t>
            </w:r>
          </w:p>
        </w:tc>
        <w:tc>
          <w:tcPr>
            <w:tcW w:w="333"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860.59 </w:t>
            </w:r>
          </w:p>
        </w:tc>
        <w:tc>
          <w:tcPr>
            <w:tcW w:w="31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945.76 </w:t>
            </w:r>
          </w:p>
        </w:tc>
        <w:tc>
          <w:tcPr>
            <w:tcW w:w="319" w:type="pct"/>
            <w:gridSpan w:val="4"/>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942.81 </w:t>
            </w:r>
          </w:p>
        </w:tc>
        <w:tc>
          <w:tcPr>
            <w:tcW w:w="318"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944.07 </w:t>
            </w:r>
          </w:p>
        </w:tc>
        <w:tc>
          <w:tcPr>
            <w:tcW w:w="340" w:type="pct"/>
            <w:gridSpan w:val="5"/>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952.53 </w:t>
            </w:r>
          </w:p>
        </w:tc>
        <w:tc>
          <w:tcPr>
            <w:tcW w:w="330"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798.14 </w:t>
            </w:r>
          </w:p>
        </w:tc>
        <w:tc>
          <w:tcPr>
            <w:tcW w:w="317" w:type="pct"/>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793.70 </w:t>
            </w:r>
          </w:p>
        </w:tc>
        <w:tc>
          <w:tcPr>
            <w:tcW w:w="325"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708.74 </w:t>
            </w:r>
          </w:p>
        </w:tc>
        <w:tc>
          <w:tcPr>
            <w:tcW w:w="32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736.96 </w:t>
            </w:r>
          </w:p>
        </w:tc>
        <w:tc>
          <w:tcPr>
            <w:tcW w:w="325"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752.70 </w:t>
            </w:r>
          </w:p>
        </w:tc>
        <w:tc>
          <w:tcPr>
            <w:tcW w:w="325"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661.72 </w:t>
            </w:r>
          </w:p>
        </w:tc>
        <w:tc>
          <w:tcPr>
            <w:tcW w:w="322"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770.77 </w:t>
            </w:r>
          </w:p>
        </w:tc>
        <w:tc>
          <w:tcPr>
            <w:tcW w:w="351" w:type="pct"/>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9,868.70 </w:t>
            </w:r>
          </w:p>
        </w:tc>
      </w:tr>
      <w:tr w:rsidR="00BE7A5A" w:rsidRPr="00B53423" w:rsidTr="006571C9">
        <w:trPr>
          <w:trHeight w:val="255"/>
        </w:trPr>
        <w:tc>
          <w:tcPr>
            <w:tcW w:w="5000" w:type="pct"/>
            <w:gridSpan w:val="32"/>
            <w:shd w:val="clear" w:color="auto" w:fill="B8CCE4" w:themeFill="accent1" w:themeFillTint="66"/>
            <w:noWrap/>
            <w:vAlign w:val="center"/>
            <w:hideMark/>
          </w:tcPr>
          <w:p w:rsidR="00BE7A5A" w:rsidRPr="00B53423" w:rsidRDefault="00BE7A5A" w:rsidP="0015232B">
            <w:pPr>
              <w:spacing w:before="0" w:line="240" w:lineRule="auto"/>
              <w:jc w:val="center"/>
              <w:rPr>
                <w:rFonts w:cs="Calibri"/>
                <w:b/>
                <w:bCs/>
                <w:lang w:val="en-IN" w:eastAsia="en-IN"/>
              </w:rPr>
            </w:pPr>
            <w:r w:rsidRPr="00B53423">
              <w:rPr>
                <w:rFonts w:cs="Calibri"/>
                <w:b/>
                <w:bCs/>
                <w:lang w:val="en-IN" w:eastAsia="en-IN"/>
              </w:rPr>
              <w:t>FY 2014-15</w:t>
            </w:r>
          </w:p>
        </w:tc>
      </w:tr>
      <w:tr w:rsidR="00BE7A5A" w:rsidRPr="00B53423" w:rsidTr="006571C9">
        <w:trPr>
          <w:trHeight w:val="255"/>
        </w:trPr>
        <w:tc>
          <w:tcPr>
            <w:tcW w:w="753" w:type="pct"/>
            <w:shd w:val="clear" w:color="auto" w:fill="B8CCE4" w:themeFill="accent1" w:themeFillTint="66"/>
            <w:hideMark/>
          </w:tcPr>
          <w:p w:rsidR="00BE7A5A" w:rsidRPr="00B53423" w:rsidRDefault="00BE7A5A" w:rsidP="0015232B">
            <w:pPr>
              <w:spacing w:before="0" w:line="240" w:lineRule="auto"/>
              <w:jc w:val="left"/>
              <w:rPr>
                <w:rFonts w:cs="Calibri"/>
                <w:b/>
                <w:bCs/>
                <w:lang w:val="en-IN" w:eastAsia="en-IN"/>
              </w:rPr>
            </w:pPr>
            <w:r w:rsidRPr="00B53423">
              <w:rPr>
                <w:rFonts w:cs="Calibri"/>
                <w:b/>
                <w:bCs/>
                <w:lang w:val="en-IN" w:eastAsia="en-IN"/>
              </w:rPr>
              <w:t>KESCO</w:t>
            </w:r>
          </w:p>
        </w:tc>
        <w:tc>
          <w:tcPr>
            <w:tcW w:w="333"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Apr</w:t>
            </w:r>
          </w:p>
        </w:tc>
        <w:tc>
          <w:tcPr>
            <w:tcW w:w="319"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May</w:t>
            </w:r>
          </w:p>
        </w:tc>
        <w:tc>
          <w:tcPr>
            <w:tcW w:w="321" w:type="pct"/>
            <w:gridSpan w:val="4"/>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Jun</w:t>
            </w:r>
          </w:p>
        </w:tc>
        <w:tc>
          <w:tcPr>
            <w:tcW w:w="328" w:type="pct"/>
            <w:gridSpan w:val="4"/>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Jul</w:t>
            </w:r>
          </w:p>
        </w:tc>
        <w:tc>
          <w:tcPr>
            <w:tcW w:w="325"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Aug</w:t>
            </w:r>
          </w:p>
        </w:tc>
        <w:tc>
          <w:tcPr>
            <w:tcW w:w="330"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Sep</w:t>
            </w:r>
          </w:p>
        </w:tc>
        <w:tc>
          <w:tcPr>
            <w:tcW w:w="317" w:type="pct"/>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Oct</w:t>
            </w:r>
          </w:p>
        </w:tc>
        <w:tc>
          <w:tcPr>
            <w:tcW w:w="325"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Nov</w:t>
            </w:r>
          </w:p>
        </w:tc>
        <w:tc>
          <w:tcPr>
            <w:tcW w:w="32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Dec</w:t>
            </w:r>
          </w:p>
        </w:tc>
        <w:tc>
          <w:tcPr>
            <w:tcW w:w="325"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Jan</w:t>
            </w:r>
          </w:p>
        </w:tc>
        <w:tc>
          <w:tcPr>
            <w:tcW w:w="325"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Feb</w:t>
            </w:r>
          </w:p>
        </w:tc>
        <w:tc>
          <w:tcPr>
            <w:tcW w:w="322"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Mar</w:t>
            </w:r>
          </w:p>
        </w:tc>
        <w:tc>
          <w:tcPr>
            <w:tcW w:w="351" w:type="pct"/>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Calibri"/>
                <w:b/>
                <w:bCs/>
                <w:lang w:val="en-IN" w:eastAsia="en-IN"/>
              </w:rPr>
              <w:t>Total</w:t>
            </w:r>
          </w:p>
        </w:tc>
      </w:tr>
      <w:tr w:rsidR="00BE7A5A" w:rsidRPr="00B53423" w:rsidTr="006571C9">
        <w:trPr>
          <w:trHeight w:val="313"/>
        </w:trPr>
        <w:tc>
          <w:tcPr>
            <w:tcW w:w="753" w:type="pct"/>
            <w:shd w:val="clear" w:color="auto" w:fill="auto"/>
            <w:hideMark/>
          </w:tcPr>
          <w:p w:rsidR="00BE7A5A" w:rsidRPr="00B53423" w:rsidRDefault="00BE7A5A" w:rsidP="0015232B">
            <w:pPr>
              <w:spacing w:before="0" w:line="240" w:lineRule="auto"/>
              <w:jc w:val="left"/>
              <w:rPr>
                <w:rFonts w:cs="Calibri"/>
                <w:lang w:val="en-IN" w:eastAsia="en-IN"/>
              </w:rPr>
            </w:pPr>
            <w:r w:rsidRPr="00B53423">
              <w:rPr>
                <w:rFonts w:cs="Calibri"/>
                <w:lang w:val="en-IN" w:eastAsia="en-IN"/>
              </w:rPr>
              <w:t>Allocation of Purchases  Energy (MU)</w:t>
            </w:r>
          </w:p>
        </w:tc>
        <w:tc>
          <w:tcPr>
            <w:tcW w:w="333"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    295.82 </w:t>
            </w:r>
          </w:p>
        </w:tc>
        <w:tc>
          <w:tcPr>
            <w:tcW w:w="319"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   325.10 </w:t>
            </w:r>
          </w:p>
        </w:tc>
        <w:tc>
          <w:tcPr>
            <w:tcW w:w="321" w:type="pct"/>
            <w:gridSpan w:val="4"/>
            <w:shd w:val="clear" w:color="auto" w:fill="auto"/>
            <w:vAlign w:val="center"/>
            <w:hideMark/>
          </w:tcPr>
          <w:p w:rsidR="00BE7A5A" w:rsidRPr="00B53423" w:rsidRDefault="00BE7A5A" w:rsidP="0015232B">
            <w:pPr>
              <w:jc w:val="right"/>
              <w:rPr>
                <w:rFonts w:cs="Calibri"/>
              </w:rPr>
            </w:pPr>
            <w:r w:rsidRPr="00B53423">
              <w:rPr>
                <w:rFonts w:cs="Calibri"/>
              </w:rPr>
              <w:t xml:space="preserve">   324.08 </w:t>
            </w:r>
          </w:p>
        </w:tc>
        <w:tc>
          <w:tcPr>
            <w:tcW w:w="328" w:type="pct"/>
            <w:gridSpan w:val="4"/>
            <w:shd w:val="clear" w:color="auto" w:fill="auto"/>
            <w:vAlign w:val="center"/>
            <w:hideMark/>
          </w:tcPr>
          <w:p w:rsidR="00BE7A5A" w:rsidRPr="00B53423" w:rsidRDefault="00BE7A5A" w:rsidP="0015232B">
            <w:pPr>
              <w:jc w:val="right"/>
              <w:rPr>
                <w:rFonts w:cs="Calibri"/>
              </w:rPr>
            </w:pPr>
            <w:r w:rsidRPr="00B53423">
              <w:rPr>
                <w:rFonts w:cs="Calibri"/>
              </w:rPr>
              <w:t xml:space="preserve">    324.52 </w:t>
            </w:r>
          </w:p>
        </w:tc>
        <w:tc>
          <w:tcPr>
            <w:tcW w:w="325"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  327.42 </w:t>
            </w:r>
          </w:p>
        </w:tc>
        <w:tc>
          <w:tcPr>
            <w:tcW w:w="330" w:type="pct"/>
            <w:gridSpan w:val="3"/>
            <w:shd w:val="clear" w:color="auto" w:fill="auto"/>
            <w:vAlign w:val="center"/>
            <w:hideMark/>
          </w:tcPr>
          <w:p w:rsidR="00BE7A5A" w:rsidRPr="00B53423" w:rsidRDefault="00BE7A5A" w:rsidP="0015232B">
            <w:pPr>
              <w:jc w:val="right"/>
              <w:rPr>
                <w:rFonts w:cs="Calibri"/>
              </w:rPr>
            </w:pPr>
            <w:r w:rsidRPr="00B53423">
              <w:rPr>
                <w:rFonts w:cs="Calibri"/>
              </w:rPr>
              <w:t xml:space="preserve">    274.35 </w:t>
            </w:r>
          </w:p>
        </w:tc>
        <w:tc>
          <w:tcPr>
            <w:tcW w:w="317" w:type="pct"/>
            <w:shd w:val="clear" w:color="auto" w:fill="auto"/>
            <w:vAlign w:val="center"/>
            <w:hideMark/>
          </w:tcPr>
          <w:p w:rsidR="00BE7A5A" w:rsidRPr="00B53423" w:rsidRDefault="00BE7A5A" w:rsidP="0015232B">
            <w:pPr>
              <w:jc w:val="right"/>
              <w:rPr>
                <w:rFonts w:cs="Calibri"/>
              </w:rPr>
            </w:pPr>
            <w:r w:rsidRPr="00B53423">
              <w:rPr>
                <w:rFonts w:cs="Calibri"/>
              </w:rPr>
              <w:t xml:space="preserve">   272.83 </w:t>
            </w:r>
          </w:p>
        </w:tc>
        <w:tc>
          <w:tcPr>
            <w:tcW w:w="325"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   243.62 </w:t>
            </w:r>
          </w:p>
        </w:tc>
        <w:tc>
          <w:tcPr>
            <w:tcW w:w="326"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  253.32 </w:t>
            </w:r>
          </w:p>
        </w:tc>
        <w:tc>
          <w:tcPr>
            <w:tcW w:w="325"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   258.74 </w:t>
            </w:r>
          </w:p>
        </w:tc>
        <w:tc>
          <w:tcPr>
            <w:tcW w:w="325"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   227.46 </w:t>
            </w:r>
          </w:p>
        </w:tc>
        <w:tc>
          <w:tcPr>
            <w:tcW w:w="322" w:type="pct"/>
            <w:gridSpan w:val="2"/>
            <w:shd w:val="clear" w:color="auto" w:fill="auto"/>
            <w:vAlign w:val="center"/>
            <w:hideMark/>
          </w:tcPr>
          <w:p w:rsidR="00BE7A5A" w:rsidRPr="00B53423" w:rsidRDefault="00BE7A5A" w:rsidP="0015232B">
            <w:pPr>
              <w:jc w:val="right"/>
              <w:rPr>
                <w:rFonts w:cs="Calibri"/>
              </w:rPr>
            </w:pPr>
            <w:r w:rsidRPr="00B53423">
              <w:rPr>
                <w:rFonts w:cs="Calibri"/>
              </w:rPr>
              <w:t xml:space="preserve">  264.95 </w:t>
            </w:r>
          </w:p>
        </w:tc>
        <w:tc>
          <w:tcPr>
            <w:tcW w:w="351" w:type="pct"/>
            <w:shd w:val="clear" w:color="auto" w:fill="auto"/>
            <w:vAlign w:val="center"/>
            <w:hideMark/>
          </w:tcPr>
          <w:p w:rsidR="00BE7A5A" w:rsidRPr="00B53423" w:rsidRDefault="00BE7A5A" w:rsidP="0015232B">
            <w:pPr>
              <w:jc w:val="right"/>
              <w:rPr>
                <w:rFonts w:cs="Calibri"/>
              </w:rPr>
            </w:pPr>
            <w:r w:rsidRPr="00B53423">
              <w:rPr>
                <w:rFonts w:cs="Calibri"/>
              </w:rPr>
              <w:t xml:space="preserve">  3,392.29 </w:t>
            </w:r>
          </w:p>
        </w:tc>
      </w:tr>
      <w:tr w:rsidR="00BE7A5A" w:rsidRPr="00B53423" w:rsidTr="006571C9">
        <w:trPr>
          <w:trHeight w:val="435"/>
        </w:trPr>
        <w:tc>
          <w:tcPr>
            <w:tcW w:w="753" w:type="pct"/>
            <w:shd w:val="clear" w:color="auto" w:fill="auto"/>
            <w:hideMark/>
          </w:tcPr>
          <w:p w:rsidR="00BE7A5A" w:rsidRPr="00B53423" w:rsidRDefault="00BE7A5A" w:rsidP="0015232B">
            <w:pPr>
              <w:spacing w:before="0" w:line="240" w:lineRule="auto"/>
              <w:jc w:val="left"/>
              <w:rPr>
                <w:rFonts w:cs="Calibri"/>
                <w:lang w:val="en-IN" w:eastAsia="en-IN"/>
              </w:rPr>
            </w:pPr>
            <w:r w:rsidRPr="00B53423">
              <w:rPr>
                <w:rFonts w:cs="Calibri"/>
                <w:lang w:val="en-IN" w:eastAsia="en-IN"/>
              </w:rPr>
              <w:t>Approved average power (Rs/kWh)</w:t>
            </w:r>
          </w:p>
        </w:tc>
        <w:tc>
          <w:tcPr>
            <w:tcW w:w="333"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9"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1" w:type="pct"/>
            <w:gridSpan w:val="4"/>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8" w:type="pct"/>
            <w:gridSpan w:val="4"/>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5"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30" w:type="pct"/>
            <w:gridSpan w:val="3"/>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17" w:type="pct"/>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5"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6"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5"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5"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22" w:type="pct"/>
            <w:gridSpan w:val="2"/>
            <w:shd w:val="clear" w:color="auto" w:fill="auto"/>
            <w:noWrap/>
            <w:vAlign w:val="center"/>
            <w:hideMark/>
          </w:tcPr>
          <w:p w:rsidR="00BE7A5A" w:rsidRPr="00B53423" w:rsidRDefault="00BE7A5A" w:rsidP="0015232B">
            <w:pPr>
              <w:jc w:val="right"/>
              <w:rPr>
                <w:rFonts w:ascii="Arial" w:hAnsi="Arial" w:cs="Arial"/>
              </w:rPr>
            </w:pPr>
            <w:r w:rsidRPr="00B53423">
              <w:rPr>
                <w:rFonts w:ascii="Arial" w:hAnsi="Arial" w:cs="Arial"/>
              </w:rPr>
              <w:t> </w:t>
            </w:r>
          </w:p>
        </w:tc>
        <w:tc>
          <w:tcPr>
            <w:tcW w:w="351" w:type="pct"/>
            <w:shd w:val="clear" w:color="auto" w:fill="auto"/>
            <w:vAlign w:val="center"/>
            <w:hideMark/>
          </w:tcPr>
          <w:p w:rsidR="00BE7A5A" w:rsidRPr="00B53423" w:rsidRDefault="00BE7A5A" w:rsidP="0015232B">
            <w:pPr>
              <w:jc w:val="right"/>
              <w:rPr>
                <w:rFonts w:cs="Calibri"/>
              </w:rPr>
            </w:pPr>
            <w:r w:rsidRPr="00B53423">
              <w:rPr>
                <w:rFonts w:cs="Calibri"/>
              </w:rPr>
              <w:t xml:space="preserve">        3.49 </w:t>
            </w:r>
          </w:p>
        </w:tc>
      </w:tr>
      <w:tr w:rsidR="00BE7A5A" w:rsidRPr="00B53423" w:rsidTr="006571C9">
        <w:trPr>
          <w:trHeight w:val="765"/>
        </w:trPr>
        <w:tc>
          <w:tcPr>
            <w:tcW w:w="753" w:type="pct"/>
            <w:shd w:val="clear" w:color="auto" w:fill="auto"/>
            <w:hideMark/>
          </w:tcPr>
          <w:p w:rsidR="00BE7A5A" w:rsidRPr="00B53423" w:rsidRDefault="00BE7A5A" w:rsidP="0015232B">
            <w:pPr>
              <w:spacing w:before="0" w:line="240" w:lineRule="auto"/>
              <w:jc w:val="left"/>
              <w:rPr>
                <w:rFonts w:cs="Calibri"/>
                <w:b/>
                <w:bCs/>
                <w:lang w:val="en-IN" w:eastAsia="en-IN"/>
              </w:rPr>
            </w:pPr>
            <w:r w:rsidRPr="00B53423">
              <w:rPr>
                <w:rFonts w:cs="Calibri"/>
                <w:b/>
                <w:bCs/>
                <w:lang w:val="en-IN" w:eastAsia="en-IN"/>
              </w:rPr>
              <w:t>Allocated Approved Power Purchase Cost (Rs. Crore)</w:t>
            </w:r>
          </w:p>
          <w:p w:rsidR="00BE7A5A" w:rsidRPr="00B53423" w:rsidRDefault="00BE7A5A" w:rsidP="0015232B">
            <w:pPr>
              <w:spacing w:before="0" w:line="240" w:lineRule="auto"/>
              <w:jc w:val="left"/>
              <w:rPr>
                <w:rFonts w:cs="Calibri"/>
                <w:b/>
                <w:bCs/>
                <w:lang w:val="en-IN" w:eastAsia="en-IN"/>
              </w:rPr>
            </w:pPr>
          </w:p>
        </w:tc>
        <w:tc>
          <w:tcPr>
            <w:tcW w:w="333"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103.13 </w:t>
            </w:r>
          </w:p>
        </w:tc>
        <w:tc>
          <w:tcPr>
            <w:tcW w:w="319"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113.34 </w:t>
            </w:r>
          </w:p>
        </w:tc>
        <w:tc>
          <w:tcPr>
            <w:tcW w:w="321" w:type="pct"/>
            <w:gridSpan w:val="4"/>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112.99 </w:t>
            </w:r>
          </w:p>
        </w:tc>
        <w:tc>
          <w:tcPr>
            <w:tcW w:w="328" w:type="pct"/>
            <w:gridSpan w:val="4"/>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113.14 </w:t>
            </w:r>
          </w:p>
        </w:tc>
        <w:tc>
          <w:tcPr>
            <w:tcW w:w="325"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114.15 </w:t>
            </w:r>
          </w:p>
        </w:tc>
        <w:tc>
          <w:tcPr>
            <w:tcW w:w="330" w:type="pct"/>
            <w:gridSpan w:val="3"/>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95.65 </w:t>
            </w:r>
          </w:p>
        </w:tc>
        <w:tc>
          <w:tcPr>
            <w:tcW w:w="317" w:type="pct"/>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95.12 </w:t>
            </w:r>
          </w:p>
        </w:tc>
        <w:tc>
          <w:tcPr>
            <w:tcW w:w="325"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84.94 </w:t>
            </w:r>
          </w:p>
        </w:tc>
        <w:tc>
          <w:tcPr>
            <w:tcW w:w="326"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88.32 </w:t>
            </w:r>
          </w:p>
        </w:tc>
        <w:tc>
          <w:tcPr>
            <w:tcW w:w="325"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90.20 </w:t>
            </w:r>
          </w:p>
        </w:tc>
        <w:tc>
          <w:tcPr>
            <w:tcW w:w="325"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79.30 </w:t>
            </w:r>
          </w:p>
        </w:tc>
        <w:tc>
          <w:tcPr>
            <w:tcW w:w="322" w:type="pct"/>
            <w:gridSpan w:val="2"/>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92.37 </w:t>
            </w:r>
          </w:p>
        </w:tc>
        <w:tc>
          <w:tcPr>
            <w:tcW w:w="351" w:type="pct"/>
            <w:shd w:val="clear" w:color="auto" w:fill="auto"/>
            <w:vAlign w:val="center"/>
            <w:hideMark/>
          </w:tcPr>
          <w:p w:rsidR="00BE7A5A" w:rsidRPr="00B53423" w:rsidRDefault="00BE7A5A" w:rsidP="0015232B">
            <w:pPr>
              <w:jc w:val="right"/>
              <w:rPr>
                <w:rFonts w:cs="Calibri"/>
                <w:b/>
                <w:bCs/>
              </w:rPr>
            </w:pPr>
            <w:r w:rsidRPr="00B53423">
              <w:rPr>
                <w:rFonts w:cs="Calibri"/>
                <w:b/>
                <w:bCs/>
              </w:rPr>
              <w:t xml:space="preserve">  1,182.67 </w:t>
            </w:r>
          </w:p>
        </w:tc>
      </w:tr>
      <w:tr w:rsidR="00BE7A5A" w:rsidRPr="00B53423" w:rsidTr="006571C9">
        <w:trPr>
          <w:trHeight w:val="255"/>
        </w:trPr>
        <w:tc>
          <w:tcPr>
            <w:tcW w:w="5000" w:type="pct"/>
            <w:gridSpan w:val="32"/>
            <w:shd w:val="clear" w:color="auto" w:fill="B8CCE4" w:themeFill="accent1" w:themeFillTint="66"/>
            <w:noWrap/>
            <w:vAlign w:val="center"/>
            <w:hideMark/>
          </w:tcPr>
          <w:p w:rsidR="00BE7A5A" w:rsidRPr="00B53423" w:rsidRDefault="00BE7A5A" w:rsidP="0015232B">
            <w:pPr>
              <w:spacing w:before="0" w:line="240" w:lineRule="auto"/>
              <w:jc w:val="center"/>
              <w:rPr>
                <w:rFonts w:cs="Calibri"/>
                <w:b/>
                <w:bCs/>
                <w:lang w:val="en-IN" w:eastAsia="en-IN"/>
              </w:rPr>
            </w:pPr>
            <w:r w:rsidRPr="00B53423">
              <w:rPr>
                <w:rFonts w:cs="Calibri"/>
                <w:b/>
                <w:bCs/>
                <w:lang w:val="en-IN" w:eastAsia="en-IN"/>
              </w:rPr>
              <w:t>FY 2014-15</w:t>
            </w:r>
          </w:p>
        </w:tc>
      </w:tr>
      <w:tr w:rsidR="00BE7A5A" w:rsidRPr="00B53423" w:rsidTr="006571C9">
        <w:trPr>
          <w:trHeight w:val="431"/>
        </w:trPr>
        <w:tc>
          <w:tcPr>
            <w:tcW w:w="753" w:type="pct"/>
            <w:shd w:val="clear" w:color="auto" w:fill="B8CCE4" w:themeFill="accent1" w:themeFillTint="66"/>
            <w:vAlign w:val="center"/>
            <w:hideMark/>
          </w:tcPr>
          <w:p w:rsidR="00BE7A5A" w:rsidRPr="00B53423" w:rsidRDefault="00BE7A5A" w:rsidP="0015232B">
            <w:pPr>
              <w:spacing w:before="0" w:line="240" w:lineRule="auto"/>
              <w:jc w:val="left"/>
              <w:rPr>
                <w:rFonts w:cs="Calibri"/>
                <w:b/>
                <w:bCs/>
                <w:lang w:val="en-IN" w:eastAsia="en-IN"/>
              </w:rPr>
            </w:pPr>
            <w:r w:rsidRPr="00B53423">
              <w:rPr>
                <w:rFonts w:cs="Calibri"/>
                <w:b/>
                <w:bCs/>
                <w:lang w:val="en-IN" w:eastAsia="en-IN"/>
              </w:rPr>
              <w:t>Total - UPPCL</w:t>
            </w:r>
          </w:p>
        </w:tc>
        <w:tc>
          <w:tcPr>
            <w:tcW w:w="333"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Apr</w:t>
            </w:r>
          </w:p>
        </w:tc>
        <w:tc>
          <w:tcPr>
            <w:tcW w:w="319"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May</w:t>
            </w:r>
          </w:p>
        </w:tc>
        <w:tc>
          <w:tcPr>
            <w:tcW w:w="321" w:type="pct"/>
            <w:gridSpan w:val="4"/>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Jun</w:t>
            </w:r>
          </w:p>
        </w:tc>
        <w:tc>
          <w:tcPr>
            <w:tcW w:w="324"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Jul</w:t>
            </w:r>
          </w:p>
        </w:tc>
        <w:tc>
          <w:tcPr>
            <w:tcW w:w="319"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Aug</w:t>
            </w:r>
          </w:p>
        </w:tc>
        <w:tc>
          <w:tcPr>
            <w:tcW w:w="322" w:type="pct"/>
            <w:gridSpan w:val="3"/>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Sep</w:t>
            </w:r>
          </w:p>
        </w:tc>
        <w:tc>
          <w:tcPr>
            <w:tcW w:w="334"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Oct</w:t>
            </w:r>
          </w:p>
        </w:tc>
        <w:tc>
          <w:tcPr>
            <w:tcW w:w="325"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Nov</w:t>
            </w:r>
          </w:p>
        </w:tc>
        <w:tc>
          <w:tcPr>
            <w:tcW w:w="326"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Dec</w:t>
            </w:r>
          </w:p>
        </w:tc>
        <w:tc>
          <w:tcPr>
            <w:tcW w:w="325"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Jan</w:t>
            </w:r>
          </w:p>
        </w:tc>
        <w:tc>
          <w:tcPr>
            <w:tcW w:w="325"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Feb</w:t>
            </w:r>
          </w:p>
        </w:tc>
        <w:tc>
          <w:tcPr>
            <w:tcW w:w="322" w:type="pct"/>
            <w:gridSpan w:val="2"/>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Arial"/>
                <w:b/>
                <w:bCs/>
              </w:rPr>
              <w:t>Mar</w:t>
            </w:r>
          </w:p>
        </w:tc>
        <w:tc>
          <w:tcPr>
            <w:tcW w:w="351" w:type="pct"/>
            <w:shd w:val="clear" w:color="auto" w:fill="B8CCE4" w:themeFill="accent1" w:themeFillTint="66"/>
            <w:vAlign w:val="center"/>
            <w:hideMark/>
          </w:tcPr>
          <w:p w:rsidR="00BE7A5A" w:rsidRPr="00B53423" w:rsidRDefault="00BE7A5A" w:rsidP="0015232B">
            <w:pPr>
              <w:spacing w:before="0" w:line="240" w:lineRule="auto"/>
              <w:jc w:val="center"/>
              <w:rPr>
                <w:rFonts w:cs="Calibri"/>
                <w:b/>
                <w:bCs/>
                <w:lang w:val="en-IN" w:eastAsia="en-IN"/>
              </w:rPr>
            </w:pPr>
            <w:r w:rsidRPr="00B53423">
              <w:rPr>
                <w:rFonts w:cs="Calibri"/>
                <w:b/>
                <w:bCs/>
                <w:lang w:val="en-IN" w:eastAsia="en-IN"/>
              </w:rPr>
              <w:t>Total</w:t>
            </w:r>
          </w:p>
        </w:tc>
      </w:tr>
      <w:tr w:rsidR="00BE7A5A" w:rsidRPr="00B53423" w:rsidTr="006571C9">
        <w:trPr>
          <w:trHeight w:val="765"/>
        </w:trPr>
        <w:tc>
          <w:tcPr>
            <w:tcW w:w="753" w:type="pct"/>
            <w:shd w:val="clear" w:color="auto" w:fill="auto"/>
            <w:hideMark/>
          </w:tcPr>
          <w:p w:rsidR="00BE7A5A" w:rsidRPr="00B53423" w:rsidRDefault="00BE7A5A" w:rsidP="0015232B">
            <w:pPr>
              <w:spacing w:before="0" w:line="240" w:lineRule="auto"/>
              <w:jc w:val="left"/>
              <w:rPr>
                <w:rFonts w:cs="Calibri"/>
                <w:lang w:val="en-IN" w:eastAsia="en-IN"/>
              </w:rPr>
            </w:pPr>
            <w:r w:rsidRPr="00B53423">
              <w:rPr>
                <w:rFonts w:cs="Calibri"/>
                <w:lang w:val="en-IN" w:eastAsia="en-IN"/>
              </w:rPr>
              <w:t>Allocation of Purchases  Energy (MU)</w:t>
            </w:r>
          </w:p>
        </w:tc>
        <w:tc>
          <w:tcPr>
            <w:tcW w:w="333" w:type="pct"/>
            <w:gridSpan w:val="2"/>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7,602.32 </w:t>
            </w:r>
          </w:p>
        </w:tc>
        <w:tc>
          <w:tcPr>
            <w:tcW w:w="319" w:type="pct"/>
            <w:gridSpan w:val="3"/>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8,354.71 </w:t>
            </w:r>
          </w:p>
        </w:tc>
        <w:tc>
          <w:tcPr>
            <w:tcW w:w="321" w:type="pct"/>
            <w:gridSpan w:val="4"/>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8,328.57 </w:t>
            </w:r>
          </w:p>
        </w:tc>
        <w:tc>
          <w:tcPr>
            <w:tcW w:w="324" w:type="pct"/>
            <w:gridSpan w:val="3"/>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8,339.77 </w:t>
            </w:r>
          </w:p>
        </w:tc>
        <w:tc>
          <w:tcPr>
            <w:tcW w:w="319" w:type="pct"/>
            <w:gridSpan w:val="3"/>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8,414.45 </w:t>
            </w:r>
          </w:p>
        </w:tc>
        <w:tc>
          <w:tcPr>
            <w:tcW w:w="322" w:type="pct"/>
            <w:gridSpan w:val="3"/>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7,050.63 </w:t>
            </w:r>
          </w:p>
        </w:tc>
        <w:tc>
          <w:tcPr>
            <w:tcW w:w="334" w:type="pct"/>
            <w:gridSpan w:val="2"/>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7,011.42 </w:t>
            </w:r>
          </w:p>
        </w:tc>
        <w:tc>
          <w:tcPr>
            <w:tcW w:w="325" w:type="pct"/>
            <w:gridSpan w:val="2"/>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6,260.90 </w:t>
            </w:r>
          </w:p>
        </w:tc>
        <w:tc>
          <w:tcPr>
            <w:tcW w:w="326" w:type="pct"/>
            <w:gridSpan w:val="2"/>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6,510.14 </w:t>
            </w:r>
          </w:p>
        </w:tc>
        <w:tc>
          <w:tcPr>
            <w:tcW w:w="325" w:type="pct"/>
            <w:gridSpan w:val="2"/>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6,649.23 </w:t>
            </w:r>
          </w:p>
        </w:tc>
        <w:tc>
          <w:tcPr>
            <w:tcW w:w="325" w:type="pct"/>
            <w:gridSpan w:val="2"/>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5,845.50 </w:t>
            </w:r>
          </w:p>
        </w:tc>
        <w:tc>
          <w:tcPr>
            <w:tcW w:w="322" w:type="pct"/>
            <w:gridSpan w:val="2"/>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6,808.85 </w:t>
            </w:r>
          </w:p>
        </w:tc>
        <w:tc>
          <w:tcPr>
            <w:tcW w:w="351" w:type="pct"/>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87,178.35 </w:t>
            </w:r>
          </w:p>
        </w:tc>
      </w:tr>
      <w:tr w:rsidR="00BE7A5A" w:rsidRPr="00B53423" w:rsidTr="006571C9">
        <w:trPr>
          <w:trHeight w:val="765"/>
        </w:trPr>
        <w:tc>
          <w:tcPr>
            <w:tcW w:w="753" w:type="pct"/>
            <w:shd w:val="clear" w:color="auto" w:fill="auto"/>
            <w:vAlign w:val="center"/>
            <w:hideMark/>
          </w:tcPr>
          <w:p w:rsidR="00BE7A5A" w:rsidRPr="00B53423" w:rsidRDefault="00BE7A5A" w:rsidP="0015232B">
            <w:pPr>
              <w:spacing w:before="0" w:line="240" w:lineRule="auto"/>
              <w:jc w:val="left"/>
              <w:rPr>
                <w:rFonts w:cs="Calibri"/>
                <w:lang w:val="en-IN" w:eastAsia="en-IN"/>
              </w:rPr>
            </w:pPr>
            <w:r w:rsidRPr="00B53423">
              <w:rPr>
                <w:rFonts w:cs="Calibri"/>
                <w:lang w:val="en-IN" w:eastAsia="en-IN"/>
              </w:rPr>
              <w:t>Approved average power (Rs/kWh)</w:t>
            </w:r>
          </w:p>
        </w:tc>
        <w:tc>
          <w:tcPr>
            <w:tcW w:w="333" w:type="pct"/>
            <w:gridSpan w:val="2"/>
            <w:shd w:val="clear" w:color="auto" w:fill="auto"/>
            <w:noWrap/>
            <w:vAlign w:val="bottom"/>
            <w:hideMark/>
          </w:tcPr>
          <w:p w:rsidR="00BE7A5A" w:rsidRPr="00B53423" w:rsidRDefault="00BE7A5A" w:rsidP="0015232B">
            <w:pPr>
              <w:rPr>
                <w:rFonts w:ascii="Arial" w:hAnsi="Arial" w:cs="Arial"/>
                <w:sz w:val="20"/>
                <w:szCs w:val="20"/>
              </w:rPr>
            </w:pPr>
            <w:r w:rsidRPr="00B53423">
              <w:rPr>
                <w:rFonts w:ascii="Arial" w:hAnsi="Arial" w:cs="Arial"/>
                <w:sz w:val="20"/>
                <w:szCs w:val="20"/>
              </w:rPr>
              <w:t> </w:t>
            </w:r>
          </w:p>
        </w:tc>
        <w:tc>
          <w:tcPr>
            <w:tcW w:w="319" w:type="pct"/>
            <w:gridSpan w:val="3"/>
            <w:shd w:val="clear" w:color="auto" w:fill="auto"/>
            <w:noWrap/>
            <w:vAlign w:val="bottom"/>
            <w:hideMark/>
          </w:tcPr>
          <w:p w:rsidR="00BE7A5A" w:rsidRPr="00B53423" w:rsidRDefault="00BE7A5A" w:rsidP="0015232B">
            <w:pPr>
              <w:rPr>
                <w:rFonts w:ascii="Arial" w:hAnsi="Arial" w:cs="Arial"/>
                <w:sz w:val="20"/>
                <w:szCs w:val="20"/>
              </w:rPr>
            </w:pPr>
            <w:r w:rsidRPr="00B53423">
              <w:rPr>
                <w:rFonts w:ascii="Arial" w:hAnsi="Arial" w:cs="Arial"/>
                <w:sz w:val="20"/>
                <w:szCs w:val="20"/>
              </w:rPr>
              <w:t> </w:t>
            </w:r>
          </w:p>
        </w:tc>
        <w:tc>
          <w:tcPr>
            <w:tcW w:w="321" w:type="pct"/>
            <w:gridSpan w:val="4"/>
            <w:shd w:val="clear" w:color="auto" w:fill="auto"/>
            <w:noWrap/>
            <w:vAlign w:val="bottom"/>
            <w:hideMark/>
          </w:tcPr>
          <w:p w:rsidR="00BE7A5A" w:rsidRPr="00B53423" w:rsidRDefault="00BE7A5A" w:rsidP="0015232B">
            <w:pPr>
              <w:rPr>
                <w:rFonts w:ascii="Arial" w:hAnsi="Arial" w:cs="Arial"/>
                <w:sz w:val="20"/>
                <w:szCs w:val="20"/>
              </w:rPr>
            </w:pPr>
            <w:r w:rsidRPr="00B53423">
              <w:rPr>
                <w:rFonts w:ascii="Arial" w:hAnsi="Arial" w:cs="Arial"/>
                <w:sz w:val="20"/>
                <w:szCs w:val="20"/>
              </w:rPr>
              <w:t> </w:t>
            </w:r>
          </w:p>
        </w:tc>
        <w:tc>
          <w:tcPr>
            <w:tcW w:w="324" w:type="pct"/>
            <w:gridSpan w:val="3"/>
            <w:shd w:val="clear" w:color="auto" w:fill="auto"/>
            <w:noWrap/>
            <w:vAlign w:val="bottom"/>
            <w:hideMark/>
          </w:tcPr>
          <w:p w:rsidR="00BE7A5A" w:rsidRPr="00B53423" w:rsidRDefault="00BE7A5A" w:rsidP="0015232B">
            <w:pPr>
              <w:rPr>
                <w:rFonts w:ascii="Arial" w:hAnsi="Arial" w:cs="Arial"/>
                <w:sz w:val="20"/>
                <w:szCs w:val="20"/>
              </w:rPr>
            </w:pPr>
            <w:r w:rsidRPr="00B53423">
              <w:rPr>
                <w:rFonts w:ascii="Arial" w:hAnsi="Arial" w:cs="Arial"/>
                <w:sz w:val="20"/>
                <w:szCs w:val="20"/>
              </w:rPr>
              <w:t> </w:t>
            </w:r>
          </w:p>
        </w:tc>
        <w:tc>
          <w:tcPr>
            <w:tcW w:w="319" w:type="pct"/>
            <w:gridSpan w:val="3"/>
            <w:shd w:val="clear" w:color="auto" w:fill="auto"/>
            <w:noWrap/>
            <w:vAlign w:val="bottom"/>
            <w:hideMark/>
          </w:tcPr>
          <w:p w:rsidR="00BE7A5A" w:rsidRPr="00B53423" w:rsidRDefault="00BE7A5A" w:rsidP="0015232B">
            <w:pPr>
              <w:rPr>
                <w:rFonts w:ascii="Arial" w:hAnsi="Arial" w:cs="Arial"/>
                <w:sz w:val="20"/>
                <w:szCs w:val="20"/>
              </w:rPr>
            </w:pPr>
            <w:r w:rsidRPr="00B53423">
              <w:rPr>
                <w:rFonts w:ascii="Arial" w:hAnsi="Arial" w:cs="Arial"/>
                <w:sz w:val="20"/>
                <w:szCs w:val="20"/>
              </w:rPr>
              <w:t> </w:t>
            </w:r>
          </w:p>
        </w:tc>
        <w:tc>
          <w:tcPr>
            <w:tcW w:w="322" w:type="pct"/>
            <w:gridSpan w:val="3"/>
            <w:shd w:val="clear" w:color="auto" w:fill="auto"/>
            <w:noWrap/>
            <w:vAlign w:val="bottom"/>
            <w:hideMark/>
          </w:tcPr>
          <w:p w:rsidR="00BE7A5A" w:rsidRPr="00B53423" w:rsidRDefault="00BE7A5A" w:rsidP="0015232B">
            <w:pPr>
              <w:rPr>
                <w:rFonts w:ascii="Arial" w:hAnsi="Arial" w:cs="Arial"/>
                <w:sz w:val="20"/>
                <w:szCs w:val="20"/>
              </w:rPr>
            </w:pPr>
            <w:r w:rsidRPr="00B53423">
              <w:rPr>
                <w:rFonts w:ascii="Arial" w:hAnsi="Arial" w:cs="Arial"/>
                <w:sz w:val="20"/>
                <w:szCs w:val="20"/>
              </w:rPr>
              <w:t> </w:t>
            </w:r>
          </w:p>
        </w:tc>
        <w:tc>
          <w:tcPr>
            <w:tcW w:w="334" w:type="pct"/>
            <w:gridSpan w:val="2"/>
            <w:shd w:val="clear" w:color="auto" w:fill="auto"/>
            <w:noWrap/>
            <w:vAlign w:val="bottom"/>
            <w:hideMark/>
          </w:tcPr>
          <w:p w:rsidR="00BE7A5A" w:rsidRPr="00B53423" w:rsidRDefault="00BE7A5A" w:rsidP="0015232B">
            <w:pPr>
              <w:rPr>
                <w:rFonts w:ascii="Arial" w:hAnsi="Arial" w:cs="Arial"/>
                <w:sz w:val="20"/>
                <w:szCs w:val="20"/>
              </w:rPr>
            </w:pPr>
            <w:r w:rsidRPr="00B53423">
              <w:rPr>
                <w:rFonts w:ascii="Arial" w:hAnsi="Arial" w:cs="Arial"/>
                <w:sz w:val="20"/>
                <w:szCs w:val="20"/>
              </w:rPr>
              <w:t> </w:t>
            </w:r>
          </w:p>
        </w:tc>
        <w:tc>
          <w:tcPr>
            <w:tcW w:w="325" w:type="pct"/>
            <w:gridSpan w:val="2"/>
            <w:shd w:val="clear" w:color="auto" w:fill="auto"/>
            <w:noWrap/>
            <w:vAlign w:val="bottom"/>
            <w:hideMark/>
          </w:tcPr>
          <w:p w:rsidR="00BE7A5A" w:rsidRPr="00B53423" w:rsidRDefault="00BE7A5A" w:rsidP="0015232B">
            <w:pPr>
              <w:rPr>
                <w:rFonts w:ascii="Arial" w:hAnsi="Arial" w:cs="Arial"/>
                <w:sz w:val="20"/>
                <w:szCs w:val="20"/>
              </w:rPr>
            </w:pPr>
            <w:r w:rsidRPr="00B53423">
              <w:rPr>
                <w:rFonts w:ascii="Arial" w:hAnsi="Arial" w:cs="Arial"/>
                <w:sz w:val="20"/>
                <w:szCs w:val="20"/>
              </w:rPr>
              <w:t> </w:t>
            </w:r>
          </w:p>
        </w:tc>
        <w:tc>
          <w:tcPr>
            <w:tcW w:w="326" w:type="pct"/>
            <w:gridSpan w:val="2"/>
            <w:shd w:val="clear" w:color="auto" w:fill="auto"/>
            <w:noWrap/>
            <w:vAlign w:val="bottom"/>
            <w:hideMark/>
          </w:tcPr>
          <w:p w:rsidR="00BE7A5A" w:rsidRPr="00B53423" w:rsidRDefault="00BE7A5A" w:rsidP="0015232B">
            <w:pPr>
              <w:rPr>
                <w:rFonts w:ascii="Arial" w:hAnsi="Arial" w:cs="Arial"/>
                <w:sz w:val="20"/>
                <w:szCs w:val="20"/>
              </w:rPr>
            </w:pPr>
            <w:r w:rsidRPr="00B53423">
              <w:rPr>
                <w:rFonts w:ascii="Arial" w:hAnsi="Arial" w:cs="Arial"/>
                <w:sz w:val="20"/>
                <w:szCs w:val="20"/>
              </w:rPr>
              <w:t> </w:t>
            </w:r>
          </w:p>
        </w:tc>
        <w:tc>
          <w:tcPr>
            <w:tcW w:w="325" w:type="pct"/>
            <w:gridSpan w:val="2"/>
            <w:shd w:val="clear" w:color="auto" w:fill="auto"/>
            <w:noWrap/>
            <w:vAlign w:val="bottom"/>
            <w:hideMark/>
          </w:tcPr>
          <w:p w:rsidR="00BE7A5A" w:rsidRPr="00B53423" w:rsidRDefault="00BE7A5A" w:rsidP="0015232B">
            <w:pPr>
              <w:rPr>
                <w:rFonts w:ascii="Arial" w:hAnsi="Arial" w:cs="Arial"/>
                <w:sz w:val="20"/>
                <w:szCs w:val="20"/>
              </w:rPr>
            </w:pPr>
            <w:r w:rsidRPr="00B53423">
              <w:rPr>
                <w:rFonts w:ascii="Arial" w:hAnsi="Arial" w:cs="Arial"/>
                <w:sz w:val="20"/>
                <w:szCs w:val="20"/>
              </w:rPr>
              <w:t> </w:t>
            </w:r>
          </w:p>
        </w:tc>
        <w:tc>
          <w:tcPr>
            <w:tcW w:w="325" w:type="pct"/>
            <w:gridSpan w:val="2"/>
            <w:shd w:val="clear" w:color="auto" w:fill="auto"/>
            <w:noWrap/>
            <w:vAlign w:val="bottom"/>
            <w:hideMark/>
          </w:tcPr>
          <w:p w:rsidR="00BE7A5A" w:rsidRPr="00B53423" w:rsidRDefault="00BE7A5A" w:rsidP="0015232B">
            <w:pPr>
              <w:rPr>
                <w:rFonts w:ascii="Arial" w:hAnsi="Arial" w:cs="Arial"/>
                <w:sz w:val="20"/>
                <w:szCs w:val="20"/>
              </w:rPr>
            </w:pPr>
            <w:r w:rsidRPr="00B53423">
              <w:rPr>
                <w:rFonts w:ascii="Arial" w:hAnsi="Arial" w:cs="Arial"/>
                <w:sz w:val="20"/>
                <w:szCs w:val="20"/>
              </w:rPr>
              <w:t> </w:t>
            </w:r>
          </w:p>
        </w:tc>
        <w:tc>
          <w:tcPr>
            <w:tcW w:w="322" w:type="pct"/>
            <w:gridSpan w:val="2"/>
            <w:shd w:val="clear" w:color="auto" w:fill="auto"/>
            <w:noWrap/>
            <w:vAlign w:val="bottom"/>
            <w:hideMark/>
          </w:tcPr>
          <w:p w:rsidR="00BE7A5A" w:rsidRPr="00B53423" w:rsidRDefault="00BE7A5A" w:rsidP="0015232B">
            <w:pPr>
              <w:rPr>
                <w:rFonts w:ascii="Arial" w:hAnsi="Arial" w:cs="Arial"/>
                <w:sz w:val="20"/>
                <w:szCs w:val="20"/>
              </w:rPr>
            </w:pPr>
            <w:r w:rsidRPr="00B53423">
              <w:rPr>
                <w:rFonts w:ascii="Arial" w:hAnsi="Arial" w:cs="Arial"/>
                <w:sz w:val="20"/>
                <w:szCs w:val="20"/>
              </w:rPr>
              <w:t> </w:t>
            </w:r>
          </w:p>
        </w:tc>
        <w:tc>
          <w:tcPr>
            <w:tcW w:w="351" w:type="pct"/>
            <w:shd w:val="clear" w:color="auto" w:fill="auto"/>
            <w:hideMark/>
          </w:tcPr>
          <w:p w:rsidR="00BE7A5A" w:rsidRPr="00B53423" w:rsidRDefault="00BE7A5A" w:rsidP="0015232B">
            <w:pPr>
              <w:jc w:val="center"/>
              <w:rPr>
                <w:rFonts w:cs="Calibri"/>
                <w:sz w:val="20"/>
                <w:szCs w:val="20"/>
              </w:rPr>
            </w:pPr>
            <w:r w:rsidRPr="00B53423">
              <w:rPr>
                <w:rFonts w:cs="Calibri"/>
                <w:sz w:val="20"/>
                <w:szCs w:val="20"/>
              </w:rPr>
              <w:t xml:space="preserve">          3.49 </w:t>
            </w:r>
          </w:p>
        </w:tc>
      </w:tr>
      <w:tr w:rsidR="00BE7A5A" w:rsidRPr="00B53423" w:rsidTr="006571C9">
        <w:trPr>
          <w:trHeight w:val="765"/>
        </w:trPr>
        <w:tc>
          <w:tcPr>
            <w:tcW w:w="753" w:type="pct"/>
            <w:shd w:val="clear" w:color="auto" w:fill="auto"/>
            <w:hideMark/>
          </w:tcPr>
          <w:p w:rsidR="00BE7A5A" w:rsidRPr="00B53423" w:rsidRDefault="00BE7A5A" w:rsidP="0015232B">
            <w:pPr>
              <w:spacing w:before="0" w:line="240" w:lineRule="auto"/>
              <w:jc w:val="left"/>
              <w:rPr>
                <w:rFonts w:cs="Calibri"/>
                <w:b/>
                <w:bCs/>
                <w:lang w:val="en-IN" w:eastAsia="en-IN"/>
              </w:rPr>
            </w:pPr>
            <w:r w:rsidRPr="00B53423">
              <w:rPr>
                <w:rFonts w:cs="Calibri"/>
                <w:b/>
                <w:bCs/>
                <w:lang w:val="en-IN" w:eastAsia="en-IN"/>
              </w:rPr>
              <w:t>Allocated Approved Power Purchase Cost (Rs. Crore)</w:t>
            </w:r>
          </w:p>
        </w:tc>
        <w:tc>
          <w:tcPr>
            <w:tcW w:w="333" w:type="pct"/>
            <w:gridSpan w:val="2"/>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2,650.43 </w:t>
            </w:r>
          </w:p>
        </w:tc>
        <w:tc>
          <w:tcPr>
            <w:tcW w:w="319" w:type="pct"/>
            <w:gridSpan w:val="3"/>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2,912.74 </w:t>
            </w:r>
          </w:p>
        </w:tc>
        <w:tc>
          <w:tcPr>
            <w:tcW w:w="321" w:type="pct"/>
            <w:gridSpan w:val="4"/>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2,903.63 </w:t>
            </w:r>
          </w:p>
        </w:tc>
        <w:tc>
          <w:tcPr>
            <w:tcW w:w="324" w:type="pct"/>
            <w:gridSpan w:val="3"/>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2,907.53 </w:t>
            </w:r>
          </w:p>
        </w:tc>
        <w:tc>
          <w:tcPr>
            <w:tcW w:w="319" w:type="pct"/>
            <w:gridSpan w:val="3"/>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2,933.57 </w:t>
            </w:r>
          </w:p>
        </w:tc>
        <w:tc>
          <w:tcPr>
            <w:tcW w:w="322" w:type="pct"/>
            <w:gridSpan w:val="3"/>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2,458.09 </w:t>
            </w:r>
          </w:p>
        </w:tc>
        <w:tc>
          <w:tcPr>
            <w:tcW w:w="334" w:type="pct"/>
            <w:gridSpan w:val="2"/>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2,444.42 </w:t>
            </w:r>
          </w:p>
        </w:tc>
        <w:tc>
          <w:tcPr>
            <w:tcW w:w="325" w:type="pct"/>
            <w:gridSpan w:val="2"/>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2,182.77 </w:t>
            </w:r>
          </w:p>
        </w:tc>
        <w:tc>
          <w:tcPr>
            <w:tcW w:w="326" w:type="pct"/>
            <w:gridSpan w:val="2"/>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2,269.66 </w:t>
            </w:r>
          </w:p>
        </w:tc>
        <w:tc>
          <w:tcPr>
            <w:tcW w:w="325" w:type="pct"/>
            <w:gridSpan w:val="2"/>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2,318.15 </w:t>
            </w:r>
          </w:p>
        </w:tc>
        <w:tc>
          <w:tcPr>
            <w:tcW w:w="325" w:type="pct"/>
            <w:gridSpan w:val="2"/>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2,037.94 </w:t>
            </w:r>
          </w:p>
        </w:tc>
        <w:tc>
          <w:tcPr>
            <w:tcW w:w="322" w:type="pct"/>
            <w:gridSpan w:val="2"/>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2,373.80 </w:t>
            </w:r>
          </w:p>
        </w:tc>
        <w:tc>
          <w:tcPr>
            <w:tcW w:w="351" w:type="pct"/>
            <w:shd w:val="clear" w:color="auto" w:fill="auto"/>
            <w:hideMark/>
          </w:tcPr>
          <w:p w:rsidR="00BE7A5A" w:rsidRPr="00B53423" w:rsidRDefault="00BE7A5A" w:rsidP="0015232B">
            <w:pPr>
              <w:jc w:val="center"/>
              <w:rPr>
                <w:rFonts w:cs="Calibri"/>
                <w:b/>
                <w:bCs/>
                <w:sz w:val="20"/>
                <w:szCs w:val="20"/>
              </w:rPr>
            </w:pPr>
            <w:r w:rsidRPr="00B53423">
              <w:rPr>
                <w:rFonts w:cs="Calibri"/>
                <w:b/>
                <w:bCs/>
                <w:sz w:val="20"/>
                <w:szCs w:val="20"/>
              </w:rPr>
              <w:t xml:space="preserve"> 30,393.39 </w:t>
            </w:r>
          </w:p>
        </w:tc>
      </w:tr>
    </w:tbl>
    <w:p w:rsidR="00DE37E0" w:rsidRPr="00B53423" w:rsidRDefault="00DE37E0" w:rsidP="0015232B">
      <w:pPr>
        <w:spacing w:before="0" w:line="240" w:lineRule="auto"/>
        <w:jc w:val="left"/>
        <w:rPr>
          <w:rFonts w:cs="Arial"/>
          <w:b/>
          <w:bCs/>
          <w:iCs/>
          <w:kern w:val="32"/>
          <w:szCs w:val="32"/>
        </w:rPr>
      </w:pPr>
      <w:r w:rsidRPr="00B53423">
        <w:rPr>
          <w:iCs/>
        </w:rPr>
        <w:br w:type="page"/>
      </w:r>
    </w:p>
    <w:p w:rsidR="00DE37E0" w:rsidRPr="00B53423" w:rsidRDefault="00DE37E0" w:rsidP="0015232B">
      <w:pPr>
        <w:pStyle w:val="Heading2"/>
        <w:keepNext w:val="0"/>
        <w:ind w:left="810" w:hanging="1170"/>
        <w:rPr>
          <w:iCs/>
          <w:color w:val="auto"/>
        </w:rPr>
      </w:pPr>
      <w:bookmarkStart w:id="1045" w:name="_Toc357733361"/>
      <w:bookmarkStart w:id="1046" w:name="_Ref397183019"/>
      <w:bookmarkStart w:id="1047" w:name="_Toc399626263"/>
      <w:r w:rsidRPr="00B53423">
        <w:rPr>
          <w:iCs/>
          <w:color w:val="auto"/>
        </w:rPr>
        <w:t>ACTION TAKEN REPORT ON THE DIRECTIONS ISSUED BY THE COMMISSION IN THE ARR / TARIFF ORDER FOR FY 2</w:t>
      </w:r>
      <w:r w:rsidR="00BE7A5A" w:rsidRPr="00B53423">
        <w:rPr>
          <w:iCs/>
          <w:color w:val="auto"/>
        </w:rPr>
        <w:t>01</w:t>
      </w:r>
      <w:r w:rsidRPr="00B53423">
        <w:rPr>
          <w:iCs/>
          <w:color w:val="auto"/>
        </w:rPr>
        <w:t>4</w:t>
      </w:r>
      <w:bookmarkEnd w:id="1045"/>
      <w:r w:rsidR="00BE7A5A" w:rsidRPr="00B53423">
        <w:rPr>
          <w:iCs/>
          <w:color w:val="auto"/>
        </w:rPr>
        <w:t>-15</w:t>
      </w:r>
      <w:bookmarkEnd w:id="1046"/>
      <w:bookmarkEnd w:id="1047"/>
    </w:p>
    <w:tbl>
      <w:tblPr>
        <w:tblW w:w="4903" w:type="pct"/>
        <w:jc w:val="center"/>
        <w:tblInd w:w="-59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142"/>
        <w:gridCol w:w="8576"/>
        <w:gridCol w:w="2251"/>
        <w:gridCol w:w="1926"/>
      </w:tblGrid>
      <w:tr w:rsidR="005A1C9B" w:rsidRPr="00B53423" w:rsidTr="005A1C9B">
        <w:trPr>
          <w:trHeight w:val="1340"/>
          <w:tblHeader/>
          <w:jc w:val="center"/>
        </w:trPr>
        <w:tc>
          <w:tcPr>
            <w:tcW w:w="411" w:type="pct"/>
            <w:shd w:val="clear" w:color="000000" w:fill="C5D9F1"/>
            <w:vAlign w:val="center"/>
            <w:hideMark/>
          </w:tcPr>
          <w:p w:rsidR="005A1C9B" w:rsidRPr="00B53423" w:rsidRDefault="005A1C9B" w:rsidP="0015232B">
            <w:pPr>
              <w:jc w:val="center"/>
              <w:rPr>
                <w:b/>
              </w:rPr>
            </w:pPr>
            <w:r w:rsidRPr="00B53423">
              <w:rPr>
                <w:b/>
              </w:rPr>
              <w:t>S. No</w:t>
            </w:r>
          </w:p>
        </w:tc>
        <w:tc>
          <w:tcPr>
            <w:tcW w:w="3086" w:type="pct"/>
            <w:shd w:val="clear" w:color="000000" w:fill="C5D9F1"/>
            <w:vAlign w:val="center"/>
            <w:hideMark/>
          </w:tcPr>
          <w:p w:rsidR="005A1C9B" w:rsidRPr="00B53423" w:rsidRDefault="005A1C9B" w:rsidP="0015232B">
            <w:pPr>
              <w:jc w:val="center"/>
              <w:rPr>
                <w:b/>
                <w:caps/>
                <w:kern w:val="32"/>
              </w:rPr>
            </w:pPr>
            <w:r w:rsidRPr="00B53423">
              <w:rPr>
                <w:b/>
              </w:rPr>
              <w:t>Description of Directive</w:t>
            </w:r>
          </w:p>
        </w:tc>
        <w:tc>
          <w:tcPr>
            <w:tcW w:w="810" w:type="pct"/>
            <w:shd w:val="clear" w:color="000000" w:fill="C5D9F1"/>
            <w:vAlign w:val="center"/>
            <w:hideMark/>
          </w:tcPr>
          <w:p w:rsidR="005A1C9B" w:rsidRPr="00B53423" w:rsidRDefault="005A1C9B" w:rsidP="0015232B">
            <w:pPr>
              <w:jc w:val="center"/>
              <w:rPr>
                <w:b/>
                <w:caps/>
                <w:kern w:val="32"/>
              </w:rPr>
            </w:pPr>
            <w:r w:rsidRPr="00B53423">
              <w:rPr>
                <w:b/>
              </w:rPr>
              <w:t>Time Period for compliance from the date of issue of the Tariff Order</w:t>
            </w:r>
          </w:p>
        </w:tc>
        <w:tc>
          <w:tcPr>
            <w:tcW w:w="693" w:type="pct"/>
            <w:shd w:val="clear" w:color="000000" w:fill="C5D9F1"/>
          </w:tcPr>
          <w:p w:rsidR="005A1C9B" w:rsidRPr="00B53423" w:rsidRDefault="005A1C9B" w:rsidP="0015232B">
            <w:pPr>
              <w:jc w:val="center"/>
              <w:rPr>
                <w:b/>
              </w:rPr>
            </w:pPr>
            <w:r w:rsidRPr="00B53423">
              <w:rPr>
                <w:b/>
              </w:rPr>
              <w:t>Status of compliance</w:t>
            </w:r>
          </w:p>
        </w:tc>
      </w:tr>
      <w:tr w:rsidR="005A1C9B" w:rsidRPr="00B53423" w:rsidTr="005A1C9B">
        <w:trPr>
          <w:trHeight w:val="557"/>
          <w:jc w:val="center"/>
        </w:trPr>
        <w:tc>
          <w:tcPr>
            <w:tcW w:w="411" w:type="pct"/>
            <w:shd w:val="clear" w:color="auto" w:fill="auto"/>
            <w:noWrap/>
            <w:hideMark/>
          </w:tcPr>
          <w:p w:rsidR="005A1C9B" w:rsidRPr="00B53423" w:rsidRDefault="005A1C9B" w:rsidP="000174C0">
            <w:pPr>
              <w:pStyle w:val="ListParagraph"/>
              <w:numPr>
                <w:ilvl w:val="0"/>
                <w:numId w:val="108"/>
              </w:numPr>
            </w:pPr>
          </w:p>
        </w:tc>
        <w:tc>
          <w:tcPr>
            <w:tcW w:w="3086" w:type="pct"/>
            <w:shd w:val="clear" w:color="auto" w:fill="auto"/>
            <w:noWrap/>
            <w:hideMark/>
          </w:tcPr>
          <w:p w:rsidR="005A1C9B" w:rsidRPr="00B53423" w:rsidRDefault="005A1C9B" w:rsidP="0015232B">
            <w:r w:rsidRPr="00B53423">
              <w:t>The Licensee</w:t>
            </w:r>
            <w:r w:rsidR="00CE4D5D" w:rsidRPr="00B53423">
              <w:t xml:space="preserve"> </w:t>
            </w:r>
            <w:proofErr w:type="gramStart"/>
            <w:r w:rsidR="00CE4D5D" w:rsidRPr="00B53423">
              <w:t xml:space="preserve">is </w:t>
            </w:r>
            <w:r w:rsidRPr="00B53423">
              <w:t xml:space="preserve"> directed</w:t>
            </w:r>
            <w:proofErr w:type="gramEnd"/>
            <w:r w:rsidRPr="00B53423">
              <w:t xml:space="preserve"> to arrange for quarterly meetings between the MDs of the Licensees and the consumer representatives for solving various grievances of the consumers and submit a status report containing details of such meetings along with the next ARR filing. </w:t>
            </w:r>
          </w:p>
        </w:tc>
        <w:tc>
          <w:tcPr>
            <w:tcW w:w="810" w:type="pct"/>
            <w:shd w:val="clear" w:color="auto" w:fill="auto"/>
            <w:noWrap/>
            <w:hideMark/>
          </w:tcPr>
          <w:p w:rsidR="005B31C0" w:rsidRPr="00B53423" w:rsidRDefault="005A1C9B" w:rsidP="0015232B">
            <w:pPr>
              <w:jc w:val="center"/>
            </w:pPr>
            <w:r w:rsidRPr="00B53423">
              <w:t>Immediate</w:t>
            </w:r>
          </w:p>
        </w:tc>
        <w:tc>
          <w:tcPr>
            <w:tcW w:w="693" w:type="pct"/>
          </w:tcPr>
          <w:p w:rsidR="005A1C9B" w:rsidRPr="00B53423" w:rsidRDefault="005A1C9B" w:rsidP="0015232B"/>
        </w:tc>
      </w:tr>
      <w:tr w:rsidR="005A1C9B" w:rsidRPr="00B53423" w:rsidTr="005A1C9B">
        <w:trPr>
          <w:trHeight w:val="55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The Commission directs the Licensee to pay the applicable interest on consumer’s security deposit as per the Orders of the Commission and submit the compliance report with the next ARR filing. Licensees are directed to ensure the timely payment of the interest on security deposit to the consumers.</w:t>
            </w:r>
          </w:p>
        </w:tc>
        <w:tc>
          <w:tcPr>
            <w:tcW w:w="810" w:type="pct"/>
            <w:shd w:val="clear" w:color="auto" w:fill="auto"/>
            <w:noWrap/>
          </w:tcPr>
          <w:p w:rsidR="005B31C0" w:rsidRPr="00B53423" w:rsidRDefault="005A1C9B" w:rsidP="0015232B">
            <w:pPr>
              <w:jc w:val="center"/>
            </w:pPr>
            <w:r w:rsidRPr="00B53423">
              <w:t>Immediate</w:t>
            </w:r>
          </w:p>
        </w:tc>
        <w:tc>
          <w:tcPr>
            <w:tcW w:w="693" w:type="pct"/>
          </w:tcPr>
          <w:p w:rsidR="005A1C9B" w:rsidRPr="00B53423" w:rsidRDefault="005A1C9B" w:rsidP="0015232B"/>
        </w:tc>
      </w:tr>
      <w:tr w:rsidR="005A1C9B" w:rsidRPr="00B53423" w:rsidTr="005A1C9B">
        <w:trPr>
          <w:trHeight w:val="692"/>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As regards the various complaints of the stakeholders brought to the notice of the Commission during public hearing, the Licensee is directed to look into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tc>
        <w:tc>
          <w:tcPr>
            <w:tcW w:w="810" w:type="pct"/>
            <w:shd w:val="clear" w:color="auto" w:fill="auto"/>
            <w:noWrap/>
          </w:tcPr>
          <w:p w:rsidR="005B31C0" w:rsidRPr="00B53423" w:rsidRDefault="005A1C9B" w:rsidP="0015232B">
            <w:pPr>
              <w:jc w:val="center"/>
            </w:pPr>
            <w:r w:rsidRPr="00B53423">
              <w:t>Immediate</w:t>
            </w:r>
          </w:p>
        </w:tc>
        <w:tc>
          <w:tcPr>
            <w:tcW w:w="693" w:type="pct"/>
          </w:tcPr>
          <w:p w:rsidR="005A1C9B" w:rsidRPr="00B53423" w:rsidRDefault="005A1C9B" w:rsidP="0015232B"/>
        </w:tc>
      </w:tr>
      <w:tr w:rsidR="005A1C9B" w:rsidRPr="00B53423" w:rsidTr="005A1C9B">
        <w:trPr>
          <w:trHeight w:val="55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 xml:space="preserve">To provide accurate and effective consumption norms, the Commission directs the Petitioners to conduct a detailed study which should include all the relevant details pointed out by the Commission in Para </w:t>
            </w:r>
            <w:fldSimple w:instr=" REF _Ref397182810 \r \h  \* MERGEFORMAT ">
              <w:r w:rsidR="00847C1B">
                <w:t>9.2.13</w:t>
              </w:r>
            </w:fldSimple>
          </w:p>
        </w:tc>
        <w:tc>
          <w:tcPr>
            <w:tcW w:w="810" w:type="pct"/>
            <w:shd w:val="clear" w:color="auto" w:fill="auto"/>
            <w:noWrap/>
          </w:tcPr>
          <w:p w:rsidR="005B31C0" w:rsidRPr="00B53423" w:rsidRDefault="005A1C9B" w:rsidP="0015232B">
            <w:pPr>
              <w:jc w:val="center"/>
            </w:pPr>
            <w:r w:rsidRPr="00B53423">
              <w:t>Within 6 months from issue of this Order</w:t>
            </w:r>
          </w:p>
        </w:tc>
        <w:tc>
          <w:tcPr>
            <w:tcW w:w="693" w:type="pct"/>
          </w:tcPr>
          <w:p w:rsidR="005A1C9B" w:rsidRPr="00B53423" w:rsidRDefault="005A1C9B" w:rsidP="0015232B"/>
        </w:tc>
      </w:tr>
      <w:tr w:rsidR="005A1C9B" w:rsidRPr="00B53423" w:rsidTr="005A1C9B">
        <w:trPr>
          <w:trHeight w:val="55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pPr>
              <w:spacing w:before="60" w:after="60"/>
            </w:pPr>
            <w:r w:rsidRPr="00B53423">
              <w:t>The Commission directs the Petitioner to ensure to convert all the 18 consumers under LMV-3 category into metered connections within one month of the issue of this Order failing which the Commission will resort to take stringent action against the Petitioner.</w:t>
            </w:r>
          </w:p>
        </w:tc>
        <w:tc>
          <w:tcPr>
            <w:tcW w:w="810" w:type="pct"/>
            <w:shd w:val="clear" w:color="auto" w:fill="auto"/>
            <w:noWrap/>
          </w:tcPr>
          <w:p w:rsidR="005A1C9B" w:rsidRPr="00B53423" w:rsidRDefault="005A1C9B" w:rsidP="0015232B">
            <w:pPr>
              <w:spacing w:before="60" w:after="60"/>
              <w:jc w:val="center"/>
              <w:rPr>
                <w:rFonts w:asciiTheme="minorHAnsi" w:hAnsiTheme="minorHAnsi" w:cstheme="minorHAnsi"/>
                <w:lang w:val="en-US"/>
              </w:rPr>
            </w:pPr>
            <w:r w:rsidRPr="00B53423">
              <w:rPr>
                <w:rFonts w:asciiTheme="minorHAnsi" w:hAnsiTheme="minorHAnsi" w:cstheme="minorHAnsi"/>
                <w:lang w:val="en-US"/>
              </w:rPr>
              <w:t>Within one month from issue of this Order</w:t>
            </w:r>
          </w:p>
        </w:tc>
        <w:tc>
          <w:tcPr>
            <w:tcW w:w="693" w:type="pct"/>
          </w:tcPr>
          <w:p w:rsidR="005A1C9B" w:rsidRPr="00B53423" w:rsidRDefault="005A1C9B" w:rsidP="0015232B">
            <w:pPr>
              <w:spacing w:before="60" w:after="60"/>
              <w:jc w:val="center"/>
              <w:rPr>
                <w:rFonts w:asciiTheme="minorHAnsi" w:hAnsiTheme="minorHAnsi" w:cstheme="minorHAnsi"/>
                <w:lang w:val="en-US"/>
              </w:rPr>
            </w:pPr>
          </w:p>
        </w:tc>
      </w:tr>
      <w:tr w:rsidR="005A1C9B" w:rsidRPr="00B53423" w:rsidTr="005A1C9B">
        <w:trPr>
          <w:trHeight w:val="55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pPr>
              <w:spacing w:before="60" w:after="60"/>
            </w:pPr>
            <w:r w:rsidRPr="00B53423">
              <w:rPr>
                <w:rFonts w:asciiTheme="minorHAnsi" w:hAnsiTheme="minorHAnsi" w:cstheme="minorHAnsi"/>
                <w:color w:val="000000"/>
              </w:rPr>
              <w:t>As regards the observed uncertainty in the billing determinants for LMV-10 category, the Commission directs the Petitioner to provide detailed explanation in this regards alongwith all the necessary supporting documents for verification of such data while filing for Truing-up of FY 2012-13. However, for the purpose of the present Order the Commission has accepted the Petitioner’s submission regarding the consumption parameters for FY 2012-13.</w:t>
            </w:r>
          </w:p>
        </w:tc>
        <w:tc>
          <w:tcPr>
            <w:tcW w:w="810" w:type="pct"/>
            <w:shd w:val="clear" w:color="auto" w:fill="auto"/>
            <w:noWrap/>
          </w:tcPr>
          <w:p w:rsidR="005A1C9B" w:rsidRPr="00B53423" w:rsidRDefault="005A1C9B" w:rsidP="0015232B">
            <w:pPr>
              <w:spacing w:before="60" w:after="60"/>
              <w:jc w:val="center"/>
              <w:rPr>
                <w:rFonts w:asciiTheme="minorHAnsi" w:hAnsiTheme="minorHAnsi" w:cstheme="minorHAnsi"/>
                <w:lang w:val="en-US"/>
              </w:rPr>
            </w:pPr>
            <w:r w:rsidRPr="00B53423">
              <w:rPr>
                <w:rFonts w:asciiTheme="minorHAnsi" w:hAnsiTheme="minorHAnsi" w:cstheme="minorHAnsi"/>
                <w:lang w:val="en-US"/>
              </w:rPr>
              <w:t>Next ARR filing</w:t>
            </w:r>
          </w:p>
        </w:tc>
        <w:tc>
          <w:tcPr>
            <w:tcW w:w="693" w:type="pct"/>
          </w:tcPr>
          <w:p w:rsidR="005A1C9B" w:rsidRPr="00B53423" w:rsidRDefault="005A1C9B" w:rsidP="0015232B">
            <w:pPr>
              <w:spacing w:before="60" w:after="60"/>
              <w:jc w:val="center"/>
              <w:rPr>
                <w:rFonts w:asciiTheme="minorHAnsi" w:hAnsiTheme="minorHAnsi" w:cstheme="minorHAnsi"/>
                <w:lang w:val="en-US"/>
              </w:rPr>
            </w:pPr>
          </w:p>
        </w:tc>
      </w:tr>
      <w:tr w:rsidR="005A1C9B" w:rsidRPr="00B53423" w:rsidTr="005A1C9B">
        <w:trPr>
          <w:trHeight w:val="55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As regards the Commission’s directives to submit a road map for 100% metering in its licensed area given in the Tariff Order dated 31</w:t>
            </w:r>
            <w:r w:rsidRPr="00B53423">
              <w:rPr>
                <w:vertAlign w:val="superscript"/>
              </w:rPr>
              <w:t>st</w:t>
            </w:r>
            <w:r w:rsidRPr="00B53423">
              <w:t xml:space="preserve"> May, 2013, the Licensees has not complied with the directions of the Commission. The Commission once again</w:t>
            </w:r>
            <w:r w:rsidRPr="00B53423">
              <w:rPr>
                <w:i/>
              </w:rPr>
              <w:t xml:space="preserve"> </w:t>
            </w:r>
            <w:r w:rsidRPr="00B53423">
              <w:t>directs the Licensee to comply with the direction given by the Commission in this Order and accordingly put it sincere efforts to achieve 100% metering.</w:t>
            </w:r>
          </w:p>
        </w:tc>
        <w:tc>
          <w:tcPr>
            <w:tcW w:w="810" w:type="pct"/>
            <w:shd w:val="clear" w:color="auto" w:fill="auto"/>
            <w:noWrap/>
          </w:tcPr>
          <w:p w:rsidR="005B31C0" w:rsidRPr="00B53423" w:rsidRDefault="005A1C9B" w:rsidP="0015232B">
            <w:pPr>
              <w:jc w:val="center"/>
              <w:rPr>
                <w:rFonts w:eastAsia="Arial Unicode MS"/>
              </w:rPr>
            </w:pPr>
            <w:r w:rsidRPr="00B53423">
              <w:rPr>
                <w:rFonts w:eastAsia="Arial Unicode MS"/>
              </w:rPr>
              <w:t>3 months from issue of this Order</w:t>
            </w:r>
          </w:p>
        </w:tc>
        <w:tc>
          <w:tcPr>
            <w:tcW w:w="693" w:type="pct"/>
          </w:tcPr>
          <w:p w:rsidR="005A1C9B" w:rsidRPr="00B53423" w:rsidRDefault="005A1C9B" w:rsidP="0015232B">
            <w:pPr>
              <w:rPr>
                <w:rFonts w:eastAsia="Arial Unicode MS"/>
              </w:rPr>
            </w:pPr>
          </w:p>
        </w:tc>
      </w:tr>
      <w:tr w:rsidR="005A1C9B" w:rsidRPr="00B53423" w:rsidTr="005A1C9B">
        <w:trPr>
          <w:trHeight w:val="593"/>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 xml:space="preserve">The Commission directs the Distribution Licensees to formulate a mechanism so as to make their officials accountable by providing incentives or disincentives for achievement or non-achievement of the distribution loss and the collection efficiency targets. The Policy should include all the relevant details pointed out by the Commission in Para </w:t>
            </w:r>
            <w:fldSimple w:instr=" REF _Ref397182766 \r \h  \* MERGEFORMAT ">
              <w:r w:rsidR="00847C1B">
                <w:t>9.3.24</w:t>
              </w:r>
            </w:fldSimple>
            <w:r w:rsidRPr="00B53423">
              <w:t xml:space="preserve"> of this Order</w:t>
            </w:r>
          </w:p>
        </w:tc>
        <w:tc>
          <w:tcPr>
            <w:tcW w:w="810" w:type="pct"/>
            <w:shd w:val="clear" w:color="auto" w:fill="auto"/>
            <w:noWrap/>
          </w:tcPr>
          <w:p w:rsidR="005B31C0" w:rsidRPr="00B53423" w:rsidRDefault="005A1C9B" w:rsidP="0015232B">
            <w:pPr>
              <w:jc w:val="center"/>
            </w:pPr>
            <w:r w:rsidRPr="00B53423">
              <w:t>Within 2 months from the issue of this Order</w:t>
            </w:r>
          </w:p>
        </w:tc>
        <w:tc>
          <w:tcPr>
            <w:tcW w:w="693" w:type="pct"/>
          </w:tcPr>
          <w:p w:rsidR="005A1C9B" w:rsidRPr="00B53423" w:rsidRDefault="005A1C9B" w:rsidP="0015232B"/>
        </w:tc>
      </w:tr>
      <w:tr w:rsidR="005A1C9B" w:rsidRPr="00B53423" w:rsidTr="005A1C9B">
        <w:trPr>
          <w:trHeight w:val="593"/>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The Commission further directs the Petitioner to sign the MoUs to be implemented at all levels and submit the copy of the same to the Commission within 2 months from the date of this Order.</w:t>
            </w:r>
          </w:p>
        </w:tc>
        <w:tc>
          <w:tcPr>
            <w:tcW w:w="810" w:type="pct"/>
            <w:shd w:val="clear" w:color="auto" w:fill="auto"/>
            <w:noWrap/>
          </w:tcPr>
          <w:p w:rsidR="005B31C0" w:rsidRPr="00B53423" w:rsidRDefault="005A1C9B" w:rsidP="0015232B">
            <w:pPr>
              <w:jc w:val="center"/>
            </w:pPr>
            <w:r w:rsidRPr="00B53423">
              <w:t>Within 2 months from the date of issuance of this Order</w:t>
            </w:r>
          </w:p>
        </w:tc>
        <w:tc>
          <w:tcPr>
            <w:tcW w:w="693" w:type="pct"/>
          </w:tcPr>
          <w:p w:rsidR="005A1C9B" w:rsidRPr="00B53423" w:rsidRDefault="005A1C9B" w:rsidP="0015232B"/>
        </w:tc>
      </w:tr>
      <w:tr w:rsidR="005A1C9B" w:rsidRPr="00B53423" w:rsidTr="005A1C9B">
        <w:trPr>
          <w:trHeight w:val="28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hideMark/>
          </w:tcPr>
          <w:p w:rsidR="005A1C9B" w:rsidRPr="00B53423" w:rsidRDefault="005A1C9B" w:rsidP="0015232B">
            <w:r w:rsidRPr="00B53423">
              <w:t>As regards timely filing of FPPCA the Commission once again directs the Licensees that they should file FPPCA in a timely and regular manner in accordance with the Distribution Tariff Regulations, 2006 failing which the Commission may have to resort to take strict action against the Licensees.</w:t>
            </w:r>
            <w:r w:rsidRPr="00B53423" w:rsidDel="002972A7">
              <w:t xml:space="preserve"> </w:t>
            </w:r>
          </w:p>
        </w:tc>
        <w:tc>
          <w:tcPr>
            <w:tcW w:w="810" w:type="pct"/>
            <w:shd w:val="clear" w:color="auto" w:fill="auto"/>
            <w:noWrap/>
            <w:hideMark/>
          </w:tcPr>
          <w:p w:rsidR="005B31C0" w:rsidRPr="00B53423" w:rsidRDefault="005A1C9B" w:rsidP="0015232B">
            <w:pPr>
              <w:jc w:val="center"/>
            </w:pPr>
            <w:r w:rsidRPr="00B53423">
              <w:t>Immediate</w:t>
            </w:r>
          </w:p>
        </w:tc>
        <w:tc>
          <w:tcPr>
            <w:tcW w:w="693" w:type="pct"/>
          </w:tcPr>
          <w:p w:rsidR="005A1C9B" w:rsidRPr="00B53423" w:rsidRDefault="005A1C9B" w:rsidP="0015232B"/>
        </w:tc>
      </w:tr>
      <w:tr w:rsidR="005A1C9B" w:rsidRPr="00B53423" w:rsidTr="005A1C9B">
        <w:trPr>
          <w:trHeight w:val="64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As regards the increasing number of unmetered consumers the Commission accords a final opportunity to the Distribution Licensees and directs them to ensure that all their unmetered consumers get converted into metered connection.</w:t>
            </w:r>
          </w:p>
        </w:tc>
        <w:tc>
          <w:tcPr>
            <w:tcW w:w="810" w:type="pct"/>
            <w:shd w:val="clear" w:color="auto" w:fill="auto"/>
            <w:noWrap/>
          </w:tcPr>
          <w:p w:rsidR="005B31C0" w:rsidRPr="00B53423" w:rsidRDefault="005A1C9B" w:rsidP="0015232B">
            <w:pPr>
              <w:jc w:val="center"/>
            </w:pPr>
            <w:r w:rsidRPr="00B53423">
              <w:t>31</w:t>
            </w:r>
            <w:r w:rsidRPr="00B53423">
              <w:rPr>
                <w:vertAlign w:val="superscript"/>
              </w:rPr>
              <w:t>st</w:t>
            </w:r>
            <w:r w:rsidRPr="00B53423">
              <w:t xml:space="preserve"> May, 2015</w:t>
            </w:r>
          </w:p>
        </w:tc>
        <w:tc>
          <w:tcPr>
            <w:tcW w:w="693" w:type="pct"/>
          </w:tcPr>
          <w:p w:rsidR="005A1C9B" w:rsidRPr="00B53423" w:rsidRDefault="005A1C9B" w:rsidP="0015232B"/>
        </w:tc>
      </w:tr>
      <w:tr w:rsidR="005A1C9B" w:rsidRPr="00B53423" w:rsidTr="005A1C9B">
        <w:trPr>
          <w:trHeight w:val="64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and submit the status report on the same along with next ARR filing.</w:t>
            </w:r>
          </w:p>
        </w:tc>
        <w:tc>
          <w:tcPr>
            <w:tcW w:w="810" w:type="pct"/>
            <w:shd w:val="clear" w:color="auto" w:fill="auto"/>
            <w:noWrap/>
          </w:tcPr>
          <w:p w:rsidR="005B31C0" w:rsidRPr="00B53423" w:rsidRDefault="005A1C9B" w:rsidP="0015232B">
            <w:pPr>
              <w:jc w:val="center"/>
            </w:pPr>
            <w:r w:rsidRPr="00B53423">
              <w:t>Next ARR filing</w:t>
            </w:r>
          </w:p>
        </w:tc>
        <w:tc>
          <w:tcPr>
            <w:tcW w:w="693" w:type="pct"/>
          </w:tcPr>
          <w:p w:rsidR="005A1C9B" w:rsidRPr="00B53423" w:rsidRDefault="005A1C9B" w:rsidP="0015232B"/>
        </w:tc>
      </w:tr>
      <w:tr w:rsidR="005A1C9B" w:rsidRPr="00B53423" w:rsidTr="005A1C9B">
        <w:trPr>
          <w:trHeight w:val="64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 xml:space="preserve">The Licensees are directed to provide the monthly MRI reports to all the </w:t>
            </w:r>
            <w:r w:rsidR="00D03E0E" w:rsidRPr="00B53423">
              <w:t xml:space="preserve">applicable </w:t>
            </w:r>
            <w:r w:rsidRPr="00B53423">
              <w:t>consumers through email. The consumers would be required to register their email to the Licensee and submit the status report on the same along with next ARR filing.</w:t>
            </w:r>
          </w:p>
        </w:tc>
        <w:tc>
          <w:tcPr>
            <w:tcW w:w="810" w:type="pct"/>
            <w:shd w:val="clear" w:color="auto" w:fill="auto"/>
            <w:noWrap/>
          </w:tcPr>
          <w:p w:rsidR="005B31C0" w:rsidRPr="00B53423" w:rsidRDefault="005A1C9B" w:rsidP="0015232B">
            <w:pPr>
              <w:jc w:val="center"/>
            </w:pPr>
            <w:r w:rsidRPr="00B53423">
              <w:t>Immediate</w:t>
            </w:r>
          </w:p>
        </w:tc>
        <w:tc>
          <w:tcPr>
            <w:tcW w:w="693" w:type="pct"/>
          </w:tcPr>
          <w:p w:rsidR="005A1C9B" w:rsidRPr="00B53423" w:rsidRDefault="005A1C9B" w:rsidP="0015232B"/>
        </w:tc>
      </w:tr>
      <w:tr w:rsidR="005A1C9B" w:rsidRPr="00B53423" w:rsidTr="005A1C9B">
        <w:trPr>
          <w:trHeight w:val="64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As regards the Petition on minimum consumption charges, the Licensee is directed to re-submit its above proposal for the Commission’s consideration.</w:t>
            </w:r>
          </w:p>
        </w:tc>
        <w:tc>
          <w:tcPr>
            <w:tcW w:w="810" w:type="pct"/>
            <w:shd w:val="clear" w:color="auto" w:fill="auto"/>
            <w:noWrap/>
          </w:tcPr>
          <w:p w:rsidR="005B31C0" w:rsidRPr="00B53423" w:rsidRDefault="005A1C9B" w:rsidP="0015232B">
            <w:pPr>
              <w:jc w:val="center"/>
            </w:pPr>
            <w:r w:rsidRPr="00B53423">
              <w:t>Next ARR Filing</w:t>
            </w:r>
          </w:p>
        </w:tc>
        <w:tc>
          <w:tcPr>
            <w:tcW w:w="693" w:type="pct"/>
          </w:tcPr>
          <w:p w:rsidR="005A1C9B" w:rsidRPr="00B53423" w:rsidRDefault="005A1C9B" w:rsidP="0015232B"/>
        </w:tc>
      </w:tr>
      <w:tr w:rsidR="005A1C9B" w:rsidRPr="00B53423" w:rsidTr="005A1C9B">
        <w:trPr>
          <w:trHeight w:val="64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The Licensee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w:t>
            </w:r>
          </w:p>
        </w:tc>
        <w:tc>
          <w:tcPr>
            <w:tcW w:w="810" w:type="pct"/>
            <w:shd w:val="clear" w:color="auto" w:fill="auto"/>
            <w:noWrap/>
          </w:tcPr>
          <w:p w:rsidR="005B31C0" w:rsidRPr="00B53423" w:rsidRDefault="005A1C9B" w:rsidP="0015232B">
            <w:pPr>
              <w:jc w:val="center"/>
            </w:pPr>
            <w:r w:rsidRPr="00B53423">
              <w:t>1 month from the date of issuance of this Order</w:t>
            </w:r>
          </w:p>
        </w:tc>
        <w:tc>
          <w:tcPr>
            <w:tcW w:w="693" w:type="pct"/>
          </w:tcPr>
          <w:p w:rsidR="005A1C9B" w:rsidRPr="00B53423" w:rsidRDefault="005A1C9B" w:rsidP="0015232B"/>
        </w:tc>
      </w:tr>
      <w:tr w:rsidR="005A1C9B" w:rsidRPr="00B53423" w:rsidTr="005A1C9B">
        <w:trPr>
          <w:trHeight w:val="64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The Licensee is directed to submit a note detailing the area-wise actual number of supply hours provided to rural areas by the end of FY 2014-15.</w:t>
            </w:r>
          </w:p>
        </w:tc>
        <w:tc>
          <w:tcPr>
            <w:tcW w:w="810" w:type="pct"/>
            <w:shd w:val="clear" w:color="auto" w:fill="auto"/>
            <w:noWrap/>
          </w:tcPr>
          <w:p w:rsidR="005B31C0" w:rsidRPr="00B53423" w:rsidRDefault="005A1C9B" w:rsidP="0015232B">
            <w:pPr>
              <w:jc w:val="center"/>
            </w:pPr>
            <w:r w:rsidRPr="00B53423">
              <w:t>By end of FY 2014-15</w:t>
            </w:r>
          </w:p>
        </w:tc>
        <w:tc>
          <w:tcPr>
            <w:tcW w:w="693" w:type="pct"/>
          </w:tcPr>
          <w:p w:rsidR="005A1C9B" w:rsidRPr="00B53423" w:rsidRDefault="005A1C9B" w:rsidP="0015232B"/>
        </w:tc>
      </w:tr>
      <w:tr w:rsidR="005A1C9B" w:rsidRPr="00B53423" w:rsidTr="005A1C9B">
        <w:trPr>
          <w:trHeight w:val="64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rPr>
                <w:rFonts w:asciiTheme="minorHAnsi" w:hAnsiTheme="minorHAnsi" w:cstheme="minorHAnsi"/>
              </w:rPr>
              <w:t xml:space="preserve">The Licensee is directed to depict the Regulatory Surcharge separately and distinctly in the electricity bills of the consumers. Further, the Licensee is also directed to maintain separate accounting fields for the regulatory surcharge approved in this Order, and capture </w:t>
            </w:r>
            <w:r w:rsidRPr="00B53423">
              <w:t xml:space="preserve">the </w:t>
            </w:r>
            <w:r w:rsidRPr="00B53423">
              <w:rPr>
                <w:rFonts w:asciiTheme="minorHAnsi" w:hAnsiTheme="minorHAnsi" w:cstheme="minorHAnsi"/>
              </w:rPr>
              <w:t>amount collected as Regulatory Surcharges in both of its financial and commercial statements</w:t>
            </w:r>
          </w:p>
        </w:tc>
        <w:tc>
          <w:tcPr>
            <w:tcW w:w="810" w:type="pct"/>
            <w:shd w:val="clear" w:color="auto" w:fill="auto"/>
            <w:noWrap/>
          </w:tcPr>
          <w:p w:rsidR="005B31C0" w:rsidRPr="00B53423" w:rsidRDefault="005A1C9B" w:rsidP="0015232B">
            <w:pPr>
              <w:jc w:val="center"/>
            </w:pPr>
            <w:r w:rsidRPr="00B53423">
              <w:t>Immediate</w:t>
            </w:r>
          </w:p>
        </w:tc>
        <w:tc>
          <w:tcPr>
            <w:tcW w:w="693" w:type="pct"/>
          </w:tcPr>
          <w:p w:rsidR="005A1C9B" w:rsidRPr="00B53423" w:rsidRDefault="005A1C9B" w:rsidP="0015232B"/>
        </w:tc>
      </w:tr>
      <w:tr w:rsidR="005A1C9B" w:rsidRPr="000C6F92" w:rsidTr="005A1C9B">
        <w:trPr>
          <w:trHeight w:val="647"/>
          <w:jc w:val="center"/>
        </w:trPr>
        <w:tc>
          <w:tcPr>
            <w:tcW w:w="411" w:type="pct"/>
            <w:shd w:val="clear" w:color="auto" w:fill="auto"/>
            <w:noWrap/>
          </w:tcPr>
          <w:p w:rsidR="005A1C9B" w:rsidRPr="00B53423" w:rsidRDefault="005A1C9B" w:rsidP="000174C0">
            <w:pPr>
              <w:pStyle w:val="ListParagraph"/>
              <w:numPr>
                <w:ilvl w:val="0"/>
                <w:numId w:val="108"/>
              </w:numPr>
            </w:pPr>
          </w:p>
        </w:tc>
        <w:tc>
          <w:tcPr>
            <w:tcW w:w="3086" w:type="pct"/>
            <w:shd w:val="clear" w:color="auto" w:fill="auto"/>
            <w:noWrap/>
          </w:tcPr>
          <w:p w:rsidR="005A1C9B" w:rsidRPr="00B53423" w:rsidRDefault="005A1C9B" w:rsidP="0015232B">
            <w:r w:rsidRPr="00B53423">
              <w:t>Licensee is</w:t>
            </w:r>
            <w:r w:rsidRPr="00B53423">
              <w:rPr>
                <w:rFonts w:asciiTheme="minorHAnsi" w:hAnsiTheme="minorHAnsi" w:cstheme="minorHAnsi"/>
              </w:rPr>
              <w:t xml:space="preserve"> directed to submit the actual Regulatory Surcharge recovered in FY 2014-15 on account of the Revenue Gap / Regulatory Asset admitted by the Commission in this Order along with the actual Distribution Losses achieved in FY 2014-15 added in FY 2014-15.</w:t>
            </w:r>
          </w:p>
        </w:tc>
        <w:tc>
          <w:tcPr>
            <w:tcW w:w="810" w:type="pct"/>
            <w:shd w:val="clear" w:color="auto" w:fill="auto"/>
            <w:noWrap/>
          </w:tcPr>
          <w:p w:rsidR="005B31C0" w:rsidRDefault="005A1C9B" w:rsidP="0015232B">
            <w:pPr>
              <w:jc w:val="center"/>
            </w:pPr>
            <w:r w:rsidRPr="00B53423">
              <w:rPr>
                <w:rFonts w:asciiTheme="minorHAnsi" w:hAnsiTheme="minorHAnsi" w:cstheme="minorHAnsi"/>
              </w:rPr>
              <w:t>15</w:t>
            </w:r>
            <w:r w:rsidRPr="00B53423">
              <w:rPr>
                <w:rFonts w:asciiTheme="minorHAnsi" w:hAnsiTheme="minorHAnsi" w:cstheme="minorHAnsi"/>
                <w:vertAlign w:val="superscript"/>
              </w:rPr>
              <w:t>th</w:t>
            </w:r>
            <w:r w:rsidRPr="00B53423">
              <w:rPr>
                <w:rFonts w:asciiTheme="minorHAnsi" w:hAnsiTheme="minorHAnsi" w:cstheme="minorHAnsi"/>
              </w:rPr>
              <w:t xml:space="preserve"> April, 2015</w:t>
            </w:r>
          </w:p>
        </w:tc>
        <w:tc>
          <w:tcPr>
            <w:tcW w:w="693" w:type="pct"/>
          </w:tcPr>
          <w:p w:rsidR="005A1C9B" w:rsidRPr="000D7021" w:rsidRDefault="005A1C9B" w:rsidP="0015232B">
            <w:pPr>
              <w:rPr>
                <w:rFonts w:asciiTheme="minorHAnsi" w:hAnsiTheme="minorHAnsi" w:cstheme="minorHAnsi"/>
              </w:rPr>
            </w:pPr>
          </w:p>
        </w:tc>
      </w:tr>
    </w:tbl>
    <w:p w:rsidR="005B31C0" w:rsidRDefault="005B31C0" w:rsidP="0015232B">
      <w:pPr>
        <w:pStyle w:val="Heading2"/>
        <w:keepNext w:val="0"/>
        <w:numPr>
          <w:ilvl w:val="0"/>
          <w:numId w:val="0"/>
        </w:numPr>
        <w:ind w:left="432"/>
      </w:pPr>
    </w:p>
    <w:p w:rsidR="005B31C0" w:rsidRDefault="005B31C0" w:rsidP="0015232B">
      <w:pPr>
        <w:pStyle w:val="Heading2"/>
        <w:keepNext w:val="0"/>
        <w:numPr>
          <w:ilvl w:val="0"/>
          <w:numId w:val="0"/>
        </w:numPr>
        <w:ind w:left="432"/>
      </w:pPr>
    </w:p>
    <w:p w:rsidR="00DE37E0" w:rsidRPr="00B6794F" w:rsidRDefault="00DE37E0" w:rsidP="0015232B">
      <w:pPr>
        <w:pStyle w:val="Heading2"/>
        <w:keepNext w:val="0"/>
        <w:numPr>
          <w:ilvl w:val="0"/>
          <w:numId w:val="0"/>
        </w:numPr>
        <w:ind w:left="780"/>
      </w:pPr>
    </w:p>
    <w:p w:rsidR="004C74C2" w:rsidRPr="00D7350F" w:rsidRDefault="004C74C2" w:rsidP="0015232B">
      <w:pPr>
        <w:spacing w:before="0" w:line="240" w:lineRule="auto"/>
        <w:jc w:val="center"/>
      </w:pPr>
    </w:p>
    <w:sectPr w:rsidR="004C74C2" w:rsidRPr="00D7350F" w:rsidSect="005119F7">
      <w:pgSz w:w="16834" w:h="11909" w:orient="landscape"/>
      <w:pgMar w:top="1800" w:right="1440" w:bottom="1440" w:left="1440" w:header="720" w:footer="720" w:gutter="0"/>
      <w:pgNumType w:chapSep="colon"/>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6119" w:rsidRDefault="00706119" w:rsidP="00E6329E">
      <w:pPr>
        <w:spacing w:before="0" w:line="240" w:lineRule="auto"/>
      </w:pPr>
      <w:r>
        <w:separator/>
      </w:r>
    </w:p>
  </w:endnote>
  <w:endnote w:type="continuationSeparator" w:id="0">
    <w:p w:rsidR="00706119" w:rsidRDefault="00706119" w:rsidP="00E6329E">
      <w:pPr>
        <w:spacing w:before="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ook Antiqua">
    <w:altName w:val="Book Antiqua"/>
    <w:panose1 w:val="020406020503050303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0574E1">
    <w:pPr>
      <w:pStyle w:val="Footer"/>
      <w:rPr>
        <w:rFonts w:cs="Tahoma"/>
        <w:b/>
        <w:bCs/>
        <w:i/>
        <w:iCs/>
        <w:sz w:val="8"/>
        <w:lang w:val="en-US"/>
      </w:rPr>
    </w:pPr>
  </w:p>
  <w:p w:rsidR="000574E1" w:rsidRDefault="000574E1">
    <w:pPr>
      <w:pStyle w:val="Footer"/>
      <w:rPr>
        <w:rFonts w:cs="Tahoma"/>
        <w:b/>
        <w:bCs/>
        <w:i/>
        <w:iCs/>
        <w:sz w:val="8"/>
        <w:lang w:val="en-US"/>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5D68E7">
    <w:pPr>
      <w:pStyle w:val="Footer"/>
      <w:rPr>
        <w:rFonts w:cs="Tahoma"/>
        <w:b/>
        <w:bCs/>
        <w:i/>
        <w:iCs/>
        <w:sz w:val="8"/>
        <w:lang w:val="en-US"/>
      </w:rPr>
    </w:pPr>
    <w:r w:rsidRPr="005D68E7">
      <w:rPr>
        <w:rFonts w:cs="Tahoma"/>
        <w:noProof/>
        <w:sz w:val="8"/>
        <w:lang w:val="en-US"/>
      </w:rPr>
      <w:pict>
        <v:line id="_x0000_s2171" style="position:absolute;left:0;text-align:left;z-index:251691008;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p>
  <w:p w:rsidR="000574E1" w:rsidRDefault="000574E1" w:rsidP="00E93F0F">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5D68E7" w:rsidRPr="007E05F1">
      <w:rPr>
        <w:rFonts w:cs="Tahoma"/>
        <w:sz w:val="20"/>
        <w:szCs w:val="20"/>
        <w:lang w:val="en-US"/>
      </w:rPr>
      <w:fldChar w:fldCharType="begin"/>
    </w:r>
    <w:r w:rsidRPr="007E05F1">
      <w:rPr>
        <w:rFonts w:cs="Tahoma"/>
        <w:sz w:val="20"/>
        <w:szCs w:val="20"/>
        <w:lang w:val="en-US"/>
      </w:rPr>
      <w:instrText xml:space="preserve"> PAGE </w:instrText>
    </w:r>
    <w:r w:rsidR="005D68E7" w:rsidRPr="007E05F1">
      <w:rPr>
        <w:rFonts w:cs="Tahoma"/>
        <w:sz w:val="20"/>
        <w:szCs w:val="20"/>
        <w:lang w:val="en-US"/>
      </w:rPr>
      <w:fldChar w:fldCharType="separate"/>
    </w:r>
    <w:r w:rsidR="001508FD">
      <w:rPr>
        <w:rFonts w:cs="Tahoma"/>
        <w:noProof/>
        <w:sz w:val="20"/>
        <w:szCs w:val="20"/>
        <w:lang w:val="en-US"/>
      </w:rPr>
      <w:t>382</w:t>
    </w:r>
    <w:r w:rsidR="005D68E7" w:rsidRPr="007E05F1">
      <w:rPr>
        <w:rFonts w:cs="Tahoma"/>
        <w:sz w:val="20"/>
        <w:szCs w:val="20"/>
        <w:lang w:val="en-US"/>
      </w:rPr>
      <w:fldChar w:fldCharType="end"/>
    </w:r>
    <w:r w:rsidRPr="007E05F1">
      <w:rPr>
        <w:rFonts w:cs="Tahoma"/>
        <w:sz w:val="20"/>
        <w:szCs w:val="20"/>
        <w:lang w:val="en-US"/>
      </w:rPr>
      <w:t xml:space="preserve"> </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5D68E7">
    <w:pPr>
      <w:pStyle w:val="Footer"/>
      <w:rPr>
        <w:rFonts w:cs="Tahoma"/>
        <w:b/>
        <w:bCs/>
        <w:i/>
        <w:iCs/>
        <w:sz w:val="8"/>
        <w:lang w:val="en-US"/>
      </w:rPr>
    </w:pPr>
    <w:r w:rsidRPr="005D68E7">
      <w:rPr>
        <w:rFonts w:cs="Tahoma"/>
        <w:noProof/>
        <w:sz w:val="8"/>
        <w:lang w:val="en-US"/>
      </w:rPr>
      <w:pict>
        <v:line id="Straight Connector 18" o:spid="_x0000_s2169" style="position:absolute;left:0;text-align:left;z-index:251688960;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" strokecolor="#1f497d" strokeweight="1.25pt"/>
      </w:pict>
    </w:r>
  </w:p>
  <w:p w:rsidR="000574E1" w:rsidRDefault="000574E1" w:rsidP="00E93F0F">
    <w:pPr>
      <w:pStyle w:val="Footer"/>
      <w:jc w:val="right"/>
      <w:rPr>
        <w:rFonts w:cs="Tahoma"/>
        <w:sz w:val="20"/>
        <w:szCs w:val="20"/>
        <w:lang w:val="en-US"/>
      </w:rPr>
    </w:pPr>
    <w:r w:rsidRPr="007E05F1">
      <w:rPr>
        <w:rFonts w:cs="Tahoma"/>
        <w:sz w:val="20"/>
        <w:szCs w:val="20"/>
        <w:lang w:val="en-US"/>
      </w:rPr>
      <w:t xml:space="preserve">Page </w:t>
    </w:r>
    <w:r w:rsidR="005D68E7" w:rsidRPr="007E05F1">
      <w:rPr>
        <w:rFonts w:cs="Tahoma"/>
        <w:sz w:val="20"/>
        <w:szCs w:val="20"/>
        <w:lang w:val="en-US"/>
      </w:rPr>
      <w:fldChar w:fldCharType="begin"/>
    </w:r>
    <w:r w:rsidRPr="007E05F1">
      <w:rPr>
        <w:rFonts w:cs="Tahoma"/>
        <w:sz w:val="20"/>
        <w:szCs w:val="20"/>
        <w:lang w:val="en-US"/>
      </w:rPr>
      <w:instrText xml:space="preserve"> PAGE </w:instrText>
    </w:r>
    <w:r w:rsidR="005D68E7" w:rsidRPr="007E05F1">
      <w:rPr>
        <w:rFonts w:cs="Tahoma"/>
        <w:sz w:val="20"/>
        <w:szCs w:val="20"/>
        <w:lang w:val="en-US"/>
      </w:rPr>
      <w:fldChar w:fldCharType="separate"/>
    </w:r>
    <w:r w:rsidR="001508FD">
      <w:rPr>
        <w:rFonts w:cs="Tahoma"/>
        <w:noProof/>
        <w:sz w:val="20"/>
        <w:szCs w:val="20"/>
        <w:lang w:val="en-US"/>
      </w:rPr>
      <w:t>416</w:t>
    </w:r>
    <w:r w:rsidR="005D68E7" w:rsidRPr="007E05F1">
      <w:rPr>
        <w:rFonts w:cs="Tahoma"/>
        <w:sz w:val="20"/>
        <w:szCs w:val="20"/>
        <w:lang w:val="en-US"/>
      </w:rPr>
      <w:fldChar w:fldCharType="end"/>
    </w:r>
    <w:r w:rsidRPr="007E05F1">
      <w:rPr>
        <w:rFonts w:cs="Tahoma"/>
        <w:sz w:val="20"/>
        <w:szCs w:val="20"/>
        <w:lang w:val="en-US"/>
      </w:rPr>
      <w:t xml:space="preserve"> </w: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5D68E7">
    <w:pPr>
      <w:pStyle w:val="Footer"/>
      <w:rPr>
        <w:rFonts w:cs="Tahoma"/>
        <w:b/>
        <w:bCs/>
        <w:i/>
        <w:iCs/>
        <w:sz w:val="8"/>
        <w:lang w:val="en-US"/>
      </w:rPr>
    </w:pPr>
    <w:r w:rsidRPr="005D68E7">
      <w:rPr>
        <w:rFonts w:cs="Tahoma"/>
        <w:noProof/>
        <w:sz w:val="8"/>
        <w:lang w:val="en-US"/>
      </w:rPr>
      <w:pict>
        <v:line id="_x0000_s2170" style="position:absolute;left:0;text-align:left;z-index:251689984;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" strokecolor="#1f497d" strokeweight="1.25pt"/>
      </w:pict>
    </w:r>
  </w:p>
  <w:p w:rsidR="000574E1" w:rsidRPr="007E05F1" w:rsidRDefault="000574E1" w:rsidP="00E93F0F">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5D68E7" w:rsidRPr="007E05F1">
      <w:rPr>
        <w:rFonts w:cs="Tahoma"/>
        <w:sz w:val="20"/>
        <w:szCs w:val="20"/>
        <w:lang w:val="en-US"/>
      </w:rPr>
      <w:fldChar w:fldCharType="begin"/>
    </w:r>
    <w:r w:rsidRPr="007E05F1">
      <w:rPr>
        <w:rFonts w:cs="Tahoma"/>
        <w:sz w:val="20"/>
        <w:szCs w:val="20"/>
        <w:lang w:val="en-US"/>
      </w:rPr>
      <w:instrText xml:space="preserve"> PAGE </w:instrText>
    </w:r>
    <w:r w:rsidR="005D68E7" w:rsidRPr="007E05F1">
      <w:rPr>
        <w:rFonts w:cs="Tahoma"/>
        <w:sz w:val="20"/>
        <w:szCs w:val="20"/>
        <w:lang w:val="en-US"/>
      </w:rPr>
      <w:fldChar w:fldCharType="separate"/>
    </w:r>
    <w:r w:rsidR="001508FD">
      <w:rPr>
        <w:rFonts w:cs="Tahoma"/>
        <w:noProof/>
        <w:sz w:val="20"/>
        <w:szCs w:val="20"/>
        <w:lang w:val="en-US"/>
      </w:rPr>
      <w:t>418</w:t>
    </w:r>
    <w:r w:rsidR="005D68E7" w:rsidRPr="007E05F1">
      <w:rPr>
        <w:rFonts w:cs="Tahoma"/>
        <w:sz w:val="20"/>
        <w:szCs w:val="20"/>
        <w:lang w:val="en-US"/>
      </w:rPr>
      <w:fldChar w:fldCharType="end"/>
    </w:r>
    <w:r w:rsidRPr="007E05F1">
      <w:rPr>
        <w:rFonts w:cs="Tahoma"/>
        <w:sz w:val="20"/>
        <w:szCs w:val="20"/>
        <w:lang w:val="en-US"/>
      </w:rPr>
      <w:t xml:space="preserve"> </w: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5D68E7">
    <w:pPr>
      <w:pStyle w:val="Footer"/>
      <w:rPr>
        <w:rFonts w:cs="Tahoma"/>
        <w:b/>
        <w:bCs/>
        <w:i/>
        <w:iCs/>
        <w:sz w:val="8"/>
        <w:lang w:val="en-US"/>
      </w:rPr>
    </w:pPr>
    <w:r w:rsidRPr="005D68E7">
      <w:rPr>
        <w:rFonts w:cs="Tahoma"/>
        <w:noProof/>
        <w:sz w:val="8"/>
        <w:lang w:val="en-US"/>
      </w:rPr>
      <w:pict>
        <v:line id="_x0000_s2108" style="position:absolute;left:0;text-align:left;z-index:251633664;visibility:visible" from="0,1.3pt" to="737.5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" strokecolor="#1f497d" strokeweight="1.25pt"/>
      </w:pict>
    </w:r>
  </w:p>
  <w:p w:rsidR="000574E1" w:rsidRPr="007E05F1" w:rsidRDefault="000574E1" w:rsidP="004065F0">
    <w:pPr>
      <w:pStyle w:val="Footer"/>
      <w:tabs>
        <w:tab w:val="clear" w:pos="4320"/>
        <w:tab w:val="clear" w:pos="8640"/>
      </w:tabs>
      <w:rPr>
        <w:rFonts w:cs="Tahoma"/>
        <w:sz w:val="20"/>
        <w:szCs w:val="20"/>
        <w:lang w:val="en-US"/>
      </w:rPr>
    </w:pPr>
    <w:r w:rsidRPr="007E05F1">
      <w:rPr>
        <w:rFonts w:cs="Tahoma"/>
        <w:sz w:val="20"/>
        <w:szCs w:val="20"/>
        <w:lang w:val="en-US"/>
      </w:rPr>
      <w:t xml:space="preserve">Page </w:t>
    </w:r>
    <w:r w:rsidR="005D68E7" w:rsidRPr="007E05F1">
      <w:rPr>
        <w:rFonts w:cs="Tahoma"/>
        <w:sz w:val="20"/>
        <w:szCs w:val="20"/>
        <w:lang w:val="en-US"/>
      </w:rPr>
      <w:fldChar w:fldCharType="begin"/>
    </w:r>
    <w:r w:rsidRPr="007E05F1">
      <w:rPr>
        <w:rFonts w:cs="Tahoma"/>
        <w:sz w:val="20"/>
        <w:szCs w:val="20"/>
        <w:lang w:val="en-US"/>
      </w:rPr>
      <w:instrText xml:space="preserve"> PAGE </w:instrText>
    </w:r>
    <w:r w:rsidR="005D68E7" w:rsidRPr="007E05F1">
      <w:rPr>
        <w:rFonts w:cs="Tahoma"/>
        <w:sz w:val="20"/>
        <w:szCs w:val="20"/>
        <w:lang w:val="en-US"/>
      </w:rPr>
      <w:fldChar w:fldCharType="separate"/>
    </w:r>
    <w:r w:rsidR="001508FD">
      <w:rPr>
        <w:rFonts w:cs="Tahoma"/>
        <w:noProof/>
        <w:sz w:val="20"/>
        <w:szCs w:val="20"/>
        <w:lang w:val="en-US"/>
      </w:rPr>
      <w:t>433</w:t>
    </w:r>
    <w:r w:rsidR="005D68E7" w:rsidRPr="007E05F1">
      <w:rPr>
        <w:rFonts w:cs="Tahoma"/>
        <w:sz w:val="20"/>
        <w:szCs w:val="20"/>
        <w:lang w:val="en-US"/>
      </w:rPr>
      <w:fldChar w:fldCharType="end"/>
    </w:r>
    <w:r w:rsidRPr="007E05F1">
      <w:rPr>
        <w:rFonts w:cs="Tahoma"/>
        <w:sz w:val="20"/>
        <w:szCs w:val="20"/>
        <w:lang w:val="en-US"/>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5D68E7" w:rsidP="004065F0">
    <w:pPr>
      <w:pStyle w:val="Footer"/>
      <w:rPr>
        <w:rFonts w:cs="Tahoma"/>
        <w:b/>
        <w:bCs/>
        <w:i/>
        <w:iCs/>
        <w:sz w:val="8"/>
        <w:lang w:val="en-US"/>
      </w:rPr>
    </w:pPr>
    <w:r>
      <w:rPr>
        <w:rFonts w:cs="Tahoma"/>
        <w:b/>
        <w:bCs/>
        <w:i/>
        <w:iCs/>
        <w:noProof/>
        <w:sz w:val="8"/>
        <w:lang w:val="en-US"/>
      </w:rPr>
      <w:pict>
        <v:line id="Straight Connector 23" o:spid="_x0000_s2148" style="position:absolute;left:0;text-align:left;z-index:251661312;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Straight Connector 24" o:spid="_x0000_s2149" style="position:absolute;left:0;text-align:left;z-index:251662336;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0574E1" w:rsidRPr="007E05F1" w:rsidRDefault="005D68E7" w:rsidP="004065F0">
    <w:pPr>
      <w:pStyle w:val="Footer"/>
      <w:tabs>
        <w:tab w:val="clear" w:pos="4320"/>
        <w:tab w:val="clear" w:pos="8640"/>
      </w:tabs>
      <w:jc w:val="left"/>
      <w:rPr>
        <w:rFonts w:cs="Tahoma"/>
        <w:sz w:val="20"/>
        <w:szCs w:val="20"/>
        <w:lang w:val="en-US"/>
      </w:rPr>
    </w:pPr>
    <w:r w:rsidRPr="005D68E7">
      <w:rPr>
        <w:rFonts w:cs="Tahoma"/>
        <w:b/>
        <w:bCs/>
        <w:i/>
        <w:iCs/>
        <w:noProof/>
        <w:sz w:val="8"/>
        <w:lang w:val="en-IN" w:eastAsia="en-IN"/>
      </w:rPr>
      <w:pict>
        <v:line id="_x0000_s2150" style="position:absolute;z-index:251663360;visibility:visible" from="-1.5pt,16.55pt" to="434.1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t xml:space="preserve">              </w:t>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t xml:space="preserve">         </w:t>
    </w:r>
    <w:r w:rsidR="000574E1" w:rsidRPr="007E05F1">
      <w:rPr>
        <w:rFonts w:cs="Tahoma"/>
        <w:sz w:val="20"/>
        <w:szCs w:val="20"/>
        <w:lang w:val="en-US"/>
      </w:rPr>
      <w:t xml:space="preserve">Page </w:t>
    </w:r>
    <w:r w:rsidRPr="007E05F1">
      <w:rPr>
        <w:rFonts w:cs="Tahoma"/>
        <w:sz w:val="20"/>
        <w:szCs w:val="20"/>
        <w:lang w:val="en-US"/>
      </w:rPr>
      <w:fldChar w:fldCharType="begin"/>
    </w:r>
    <w:r w:rsidR="000574E1" w:rsidRPr="007E05F1">
      <w:rPr>
        <w:rFonts w:cs="Tahoma"/>
        <w:sz w:val="20"/>
        <w:szCs w:val="20"/>
        <w:lang w:val="en-US"/>
      </w:rPr>
      <w:instrText xml:space="preserve"> PAGE </w:instrText>
    </w:r>
    <w:r w:rsidRPr="007E05F1">
      <w:rPr>
        <w:rFonts w:cs="Tahoma"/>
        <w:sz w:val="20"/>
        <w:szCs w:val="20"/>
        <w:lang w:val="en-US"/>
      </w:rPr>
      <w:fldChar w:fldCharType="separate"/>
    </w:r>
    <w:r w:rsidR="00EA0038">
      <w:rPr>
        <w:rFonts w:cs="Tahoma"/>
        <w:noProof/>
        <w:sz w:val="20"/>
        <w:szCs w:val="20"/>
        <w:lang w:val="en-US"/>
      </w:rPr>
      <w:t>3</w:t>
    </w:r>
    <w:r w:rsidRPr="007E05F1">
      <w:rPr>
        <w:rFonts w:cs="Tahoma"/>
        <w:sz w:val="20"/>
        <w:szCs w:val="20"/>
        <w:lang w:val="en-US"/>
      </w:rPr>
      <w:fldChar w:fldCharType="end"/>
    </w:r>
    <w:r w:rsidR="000574E1" w:rsidRPr="007E05F1">
      <w:rPr>
        <w:rFonts w:cs="Tahoma"/>
        <w:sz w:val="20"/>
        <w:szCs w:val="20"/>
        <w:lang w:val="en-US"/>
      </w:rPr>
      <w:t xml:space="preserve"> </w:t>
    </w:r>
  </w:p>
  <w:p w:rsidR="000574E1" w:rsidRDefault="000574E1">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Pr="007E05F1" w:rsidRDefault="005D68E7" w:rsidP="006711BC">
    <w:pPr>
      <w:pStyle w:val="Footer"/>
      <w:tabs>
        <w:tab w:val="clear" w:pos="4320"/>
        <w:tab w:val="clear" w:pos="8640"/>
      </w:tabs>
      <w:jc w:val="left"/>
      <w:rPr>
        <w:rFonts w:cs="Tahoma"/>
        <w:sz w:val="20"/>
        <w:szCs w:val="20"/>
        <w:lang w:val="en-US"/>
      </w:rPr>
    </w:pPr>
    <w:r w:rsidRPr="005D68E7">
      <w:rPr>
        <w:noProof/>
        <w:lang w:val="en-US"/>
      </w:rPr>
      <w:pict>
        <v:line id="_x0000_s2157" style="position:absolute;z-index:251670528;visibility:visible" from="-12.8pt,17.6pt" to="426.5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t xml:space="preserve">              </w:t>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r>
    <w:r w:rsidR="000574E1">
      <w:rPr>
        <w:rFonts w:cs="Tahoma"/>
        <w:sz w:val="20"/>
        <w:szCs w:val="20"/>
        <w:lang w:val="en-US"/>
      </w:rPr>
      <w:tab/>
      <w:t xml:space="preserve"> </w:t>
    </w:r>
    <w:r w:rsidR="000574E1" w:rsidRPr="007E05F1">
      <w:rPr>
        <w:rFonts w:cs="Tahoma"/>
        <w:sz w:val="20"/>
        <w:szCs w:val="20"/>
        <w:lang w:val="en-US"/>
      </w:rPr>
      <w:t xml:space="preserve">Page </w:t>
    </w:r>
    <w:r w:rsidRPr="007E05F1">
      <w:rPr>
        <w:rFonts w:cs="Tahoma"/>
        <w:sz w:val="20"/>
        <w:szCs w:val="20"/>
        <w:lang w:val="en-US"/>
      </w:rPr>
      <w:fldChar w:fldCharType="begin"/>
    </w:r>
    <w:r w:rsidR="000574E1" w:rsidRPr="007E05F1">
      <w:rPr>
        <w:rFonts w:cs="Tahoma"/>
        <w:sz w:val="20"/>
        <w:szCs w:val="20"/>
        <w:lang w:val="en-US"/>
      </w:rPr>
      <w:instrText xml:space="preserve"> PAGE </w:instrText>
    </w:r>
    <w:r w:rsidRPr="007E05F1">
      <w:rPr>
        <w:rFonts w:cs="Tahoma"/>
        <w:sz w:val="20"/>
        <w:szCs w:val="20"/>
        <w:lang w:val="en-US"/>
      </w:rPr>
      <w:fldChar w:fldCharType="separate"/>
    </w:r>
    <w:r w:rsidR="001508FD">
      <w:rPr>
        <w:rFonts w:cs="Tahoma"/>
        <w:noProof/>
        <w:sz w:val="20"/>
        <w:szCs w:val="20"/>
        <w:lang w:val="en-US"/>
      </w:rPr>
      <w:t>253</w:t>
    </w:r>
    <w:r w:rsidRPr="007E05F1">
      <w:rPr>
        <w:rFonts w:cs="Tahoma"/>
        <w:sz w:val="20"/>
        <w:szCs w:val="20"/>
        <w:lang w:val="en-US"/>
      </w:rPr>
      <w:fldChar w:fldCharType="end"/>
    </w:r>
    <w:r w:rsidR="000574E1" w:rsidRPr="007E05F1">
      <w:rPr>
        <w:rFonts w:cs="Tahoma"/>
        <w:sz w:val="20"/>
        <w:szCs w:val="20"/>
        <w:lang w:val="en-US"/>
      </w:rPr>
      <w:t xml:space="preserve"> </w:t>
    </w:r>
  </w:p>
  <w:p w:rsidR="000574E1" w:rsidRDefault="000574E1">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5D68E7" w:rsidP="006711BC">
    <w:pPr>
      <w:pStyle w:val="Footer"/>
      <w:rPr>
        <w:rFonts w:cs="Tahoma"/>
        <w:b/>
        <w:bCs/>
        <w:i/>
        <w:iCs/>
        <w:sz w:val="8"/>
        <w:lang w:val="en-US"/>
      </w:rPr>
    </w:pPr>
    <w:r>
      <w:rPr>
        <w:rFonts w:cs="Tahoma"/>
        <w:b/>
        <w:bCs/>
        <w:i/>
        <w:iCs/>
        <w:noProof/>
        <w:sz w:val="8"/>
        <w:lang w:val="en-US"/>
      </w:rPr>
      <w:pict>
        <v:line id="_x0000_s2153" style="position:absolute;left:0;text-align:left;z-index:251666432;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152" style="position:absolute;left:0;text-align:left;z-index:251665408;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0574E1" w:rsidRPr="007E05F1" w:rsidRDefault="000574E1" w:rsidP="006711BC">
    <w:pPr>
      <w:pStyle w:val="Footer"/>
      <w:tabs>
        <w:tab w:val="clear" w:pos="4320"/>
        <w:tab w:val="clear" w:pos="8640"/>
      </w:tabs>
      <w:jc w:val="left"/>
      <w:rPr>
        <w:rFonts w:cs="Tahoma"/>
        <w:sz w:val="20"/>
        <w:szCs w:val="20"/>
        <w:lang w:val="en-US"/>
      </w:rPr>
    </w:pPr>
    <w:r w:rsidRPr="007E05F1">
      <w:rPr>
        <w:rFonts w:cs="Tahoma"/>
        <w:sz w:val="20"/>
        <w:szCs w:val="20"/>
        <w:lang w:val="en-US"/>
      </w:rPr>
      <w:t xml:space="preserve">Page </w:t>
    </w:r>
    <w:r w:rsidR="005D68E7" w:rsidRPr="007E05F1">
      <w:rPr>
        <w:rFonts w:cs="Tahoma"/>
        <w:sz w:val="20"/>
        <w:szCs w:val="20"/>
        <w:lang w:val="en-US"/>
      </w:rPr>
      <w:fldChar w:fldCharType="begin"/>
    </w:r>
    <w:r w:rsidRPr="007E05F1">
      <w:rPr>
        <w:rFonts w:cs="Tahoma"/>
        <w:sz w:val="20"/>
        <w:szCs w:val="20"/>
        <w:lang w:val="en-US"/>
      </w:rPr>
      <w:instrText xml:space="preserve"> PAGE </w:instrText>
    </w:r>
    <w:r w:rsidR="005D68E7" w:rsidRPr="007E05F1">
      <w:rPr>
        <w:rFonts w:cs="Tahoma"/>
        <w:sz w:val="20"/>
        <w:szCs w:val="20"/>
        <w:lang w:val="en-US"/>
      </w:rPr>
      <w:fldChar w:fldCharType="separate"/>
    </w:r>
    <w:r w:rsidR="001508FD">
      <w:rPr>
        <w:rFonts w:cs="Tahoma"/>
        <w:noProof/>
        <w:sz w:val="20"/>
        <w:szCs w:val="20"/>
        <w:lang w:val="en-US"/>
      </w:rPr>
      <w:t>256</w:t>
    </w:r>
    <w:r w:rsidR="005D68E7" w:rsidRPr="007E05F1">
      <w:rPr>
        <w:rFonts w:cs="Tahoma"/>
        <w:sz w:val="20"/>
        <w:szCs w:val="20"/>
        <w:lang w:val="en-US"/>
      </w:rPr>
      <w:fldChar w:fldCharType="end"/>
    </w:r>
  </w:p>
  <w:p w:rsidR="000574E1" w:rsidRDefault="005D68E7">
    <w:pPr>
      <w:pStyle w:val="Footer"/>
    </w:pPr>
    <w:r w:rsidRPr="005D68E7">
      <w:rPr>
        <w:noProof/>
        <w:lang w:val="en-IN" w:eastAsia="en-IN"/>
      </w:rPr>
      <w:pict>
        <v:line id="_x0000_s2155" style="position:absolute;left:0;text-align:left;z-index:251668480;visibility:visible" from="-9.95pt,-17.5pt" to="688.4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Pr="005D68E7">
      <w:rPr>
        <w:rFonts w:cs="Tahoma"/>
        <w:b/>
        <w:bCs/>
        <w:i/>
        <w:iCs/>
        <w:noProof/>
        <w:sz w:val="8"/>
        <w:lang w:val="en-IN" w:eastAsia="en-IN"/>
      </w:rPr>
      <w:pict>
        <v:line id="_x0000_s2154" style="position:absolute;left:0;text-align:left;z-index:251667456;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5D68E7">
    <w:pPr>
      <w:pStyle w:val="Footer"/>
      <w:framePr w:wrap="around" w:vAnchor="text" w:hAnchor="margin" w:xAlign="center" w:y="1"/>
      <w:rPr>
        <w:rStyle w:val="PageNumber"/>
      </w:rPr>
    </w:pPr>
    <w:r>
      <w:rPr>
        <w:rStyle w:val="PageNumber"/>
      </w:rPr>
      <w:fldChar w:fldCharType="begin"/>
    </w:r>
    <w:r w:rsidR="000574E1">
      <w:rPr>
        <w:rStyle w:val="PageNumber"/>
      </w:rPr>
      <w:instrText xml:space="preserve">PAGE  </w:instrText>
    </w:r>
    <w:r>
      <w:rPr>
        <w:rStyle w:val="PageNumber"/>
      </w:rPr>
      <w:fldChar w:fldCharType="separate"/>
    </w:r>
    <w:r w:rsidR="000574E1">
      <w:rPr>
        <w:rStyle w:val="PageNumber"/>
        <w:noProof/>
      </w:rPr>
      <w:t>2</w:t>
    </w:r>
    <w:r>
      <w:rPr>
        <w:rStyle w:val="PageNumber"/>
      </w:rPr>
      <w:fldChar w:fldCharType="end"/>
    </w:r>
  </w:p>
  <w:p w:rsidR="000574E1" w:rsidRDefault="000574E1">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5D68E7">
    <w:pPr>
      <w:pStyle w:val="Footer"/>
      <w:rPr>
        <w:rFonts w:cs="Tahoma"/>
        <w:b/>
        <w:bCs/>
        <w:i/>
        <w:iCs/>
        <w:sz w:val="8"/>
        <w:lang w:val="en-US"/>
      </w:rPr>
    </w:pPr>
    <w:r w:rsidRPr="005D68E7">
      <w:rPr>
        <w:rFonts w:cs="Tahoma"/>
        <w:noProof/>
        <w:sz w:val="8"/>
        <w:lang w:val="en-US"/>
      </w:rPr>
      <w:pict>
        <v:line id="Straight Connector 19" o:spid="_x0000_s2158" style="position:absolute;left:0;text-align:left;z-index:251672576;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p>
  <w:p w:rsidR="000574E1" w:rsidRPr="007E05F1" w:rsidRDefault="000574E1" w:rsidP="005D7AFD">
    <w:pPr>
      <w:pStyle w:val="Footer"/>
      <w:tabs>
        <w:tab w:val="clear" w:pos="4320"/>
        <w:tab w:val="clear" w:pos="8640"/>
      </w:tabs>
      <w:rPr>
        <w:rFonts w:cs="Tahoma"/>
        <w:sz w:val="20"/>
        <w:szCs w:val="20"/>
        <w:lang w:val="en-US"/>
      </w:rPr>
    </w:pPr>
    <w:r w:rsidRPr="007E05F1">
      <w:rPr>
        <w:rFonts w:cs="Tahoma"/>
        <w:sz w:val="20"/>
        <w:szCs w:val="20"/>
        <w:lang w:val="en-US"/>
      </w:rPr>
      <w:t xml:space="preserve">Page </w:t>
    </w:r>
    <w:r w:rsidR="005D68E7" w:rsidRPr="007E05F1">
      <w:rPr>
        <w:rFonts w:cs="Tahoma"/>
        <w:sz w:val="20"/>
        <w:szCs w:val="20"/>
        <w:lang w:val="en-US"/>
      </w:rPr>
      <w:fldChar w:fldCharType="begin"/>
    </w:r>
    <w:r w:rsidRPr="007E05F1">
      <w:rPr>
        <w:rFonts w:cs="Tahoma"/>
        <w:sz w:val="20"/>
        <w:szCs w:val="20"/>
        <w:lang w:val="en-US"/>
      </w:rPr>
      <w:instrText xml:space="preserve"> PAGE </w:instrText>
    </w:r>
    <w:r w:rsidR="005D68E7" w:rsidRPr="007E05F1">
      <w:rPr>
        <w:rFonts w:cs="Tahoma"/>
        <w:sz w:val="20"/>
        <w:szCs w:val="20"/>
        <w:lang w:val="en-US"/>
      </w:rPr>
      <w:fldChar w:fldCharType="separate"/>
    </w:r>
    <w:r w:rsidR="001508FD">
      <w:rPr>
        <w:rFonts w:cs="Tahoma"/>
        <w:noProof/>
        <w:sz w:val="20"/>
        <w:szCs w:val="20"/>
        <w:lang w:val="en-US"/>
      </w:rPr>
      <w:t>326</w:t>
    </w:r>
    <w:r w:rsidR="005D68E7" w:rsidRPr="007E05F1">
      <w:rPr>
        <w:rFonts w:cs="Tahoma"/>
        <w:sz w:val="20"/>
        <w:szCs w:val="20"/>
        <w:lang w:val="en-US"/>
      </w:rPr>
      <w:fldChar w:fldCharType="end"/>
    </w:r>
    <w:r w:rsidRPr="007E05F1">
      <w:rPr>
        <w:rFonts w:cs="Tahoma"/>
        <w:sz w:val="20"/>
        <w:szCs w:val="20"/>
        <w:lang w:val="en-US"/>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5D68E7">
    <w:pPr>
      <w:pStyle w:val="Footer"/>
      <w:rPr>
        <w:rFonts w:cs="Tahoma"/>
        <w:b/>
        <w:bCs/>
        <w:i/>
        <w:iCs/>
        <w:sz w:val="8"/>
        <w:lang w:val="en-US"/>
      </w:rPr>
    </w:pPr>
    <w:r w:rsidRPr="005D68E7">
      <w:rPr>
        <w:rFonts w:cs="Tahoma"/>
        <w:noProof/>
        <w:sz w:val="8"/>
        <w:lang w:val="en-US"/>
      </w:rPr>
      <w:pict>
        <v:line id="_x0000_s2168" style="position:absolute;left:0;text-align:left;z-index:251686912;visibility:visible" from="0,1.3pt" to="729.1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p>
  <w:p w:rsidR="000574E1" w:rsidRPr="007E05F1" w:rsidRDefault="000574E1" w:rsidP="005D7AFD">
    <w:pPr>
      <w:pStyle w:val="Footer"/>
      <w:tabs>
        <w:tab w:val="clear" w:pos="4320"/>
        <w:tab w:val="clear" w:pos="8640"/>
      </w:tabs>
      <w:rPr>
        <w:rFonts w:cs="Tahoma"/>
        <w:sz w:val="20"/>
        <w:szCs w:val="20"/>
        <w:lang w:val="en-US"/>
      </w:rPr>
    </w:pPr>
    <w:r w:rsidRPr="007E05F1">
      <w:rPr>
        <w:rFonts w:cs="Tahoma"/>
        <w:sz w:val="20"/>
        <w:szCs w:val="20"/>
        <w:lang w:val="en-US"/>
      </w:rPr>
      <w:t xml:space="preserve">Page </w:t>
    </w:r>
    <w:r w:rsidR="005D68E7" w:rsidRPr="007E05F1">
      <w:rPr>
        <w:rFonts w:cs="Tahoma"/>
        <w:sz w:val="20"/>
        <w:szCs w:val="20"/>
        <w:lang w:val="en-US"/>
      </w:rPr>
      <w:fldChar w:fldCharType="begin"/>
    </w:r>
    <w:r w:rsidRPr="007E05F1">
      <w:rPr>
        <w:rFonts w:cs="Tahoma"/>
        <w:sz w:val="20"/>
        <w:szCs w:val="20"/>
        <w:lang w:val="en-US"/>
      </w:rPr>
      <w:instrText xml:space="preserve"> PAGE </w:instrText>
    </w:r>
    <w:r w:rsidR="005D68E7" w:rsidRPr="007E05F1">
      <w:rPr>
        <w:rFonts w:cs="Tahoma"/>
        <w:sz w:val="20"/>
        <w:szCs w:val="20"/>
        <w:lang w:val="en-US"/>
      </w:rPr>
      <w:fldChar w:fldCharType="separate"/>
    </w:r>
    <w:r w:rsidR="001508FD">
      <w:rPr>
        <w:rFonts w:cs="Tahoma"/>
        <w:noProof/>
        <w:sz w:val="20"/>
        <w:szCs w:val="20"/>
        <w:lang w:val="en-US"/>
      </w:rPr>
      <w:t>350</w:t>
    </w:r>
    <w:r w:rsidR="005D68E7" w:rsidRPr="007E05F1">
      <w:rPr>
        <w:rFonts w:cs="Tahoma"/>
        <w:sz w:val="20"/>
        <w:szCs w:val="20"/>
        <w:lang w:val="en-US"/>
      </w:rPr>
      <w:fldChar w:fldCharType="end"/>
    </w:r>
    <w:r w:rsidRPr="007E05F1">
      <w:rPr>
        <w:rFonts w:cs="Tahoma"/>
        <w:sz w:val="20"/>
        <w:szCs w:val="20"/>
        <w:lang w:val="en-US"/>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5D68E7">
    <w:pPr>
      <w:pStyle w:val="Footer"/>
      <w:rPr>
        <w:rFonts w:cs="Tahoma"/>
        <w:b/>
        <w:bCs/>
        <w:i/>
        <w:iCs/>
        <w:sz w:val="8"/>
        <w:lang w:val="en-US"/>
      </w:rPr>
    </w:pPr>
    <w:r w:rsidRPr="005D68E7">
      <w:rPr>
        <w:rFonts w:cs="Tahoma"/>
        <w:noProof/>
        <w:sz w:val="8"/>
        <w:lang w:val="en-US"/>
      </w:rPr>
      <w:pict>
        <v:line id="_x0000_s2167" style="position:absolute;left:0;text-align:left;z-index:251684864;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p>
  <w:p w:rsidR="000574E1" w:rsidRPr="007E05F1" w:rsidRDefault="000574E1" w:rsidP="005D7AFD">
    <w:pPr>
      <w:pStyle w:val="Footer"/>
      <w:tabs>
        <w:tab w:val="clear" w:pos="4320"/>
        <w:tab w:val="clear" w:pos="8640"/>
      </w:tabs>
      <w:rPr>
        <w:rFonts w:cs="Tahoma"/>
        <w:sz w:val="20"/>
        <w:szCs w:val="20"/>
        <w:lang w:val="en-US"/>
      </w:rPr>
    </w:pPr>
    <w:r w:rsidRPr="007E05F1">
      <w:rPr>
        <w:rFonts w:cs="Tahoma"/>
        <w:sz w:val="20"/>
        <w:szCs w:val="20"/>
        <w:lang w:val="en-US"/>
      </w:rPr>
      <w:t xml:space="preserve">Page </w:t>
    </w:r>
    <w:r w:rsidR="005D68E7" w:rsidRPr="007E05F1">
      <w:rPr>
        <w:rFonts w:cs="Tahoma"/>
        <w:sz w:val="20"/>
        <w:szCs w:val="20"/>
        <w:lang w:val="en-US"/>
      </w:rPr>
      <w:fldChar w:fldCharType="begin"/>
    </w:r>
    <w:r w:rsidRPr="007E05F1">
      <w:rPr>
        <w:rFonts w:cs="Tahoma"/>
        <w:sz w:val="20"/>
        <w:szCs w:val="20"/>
        <w:lang w:val="en-US"/>
      </w:rPr>
      <w:instrText xml:space="preserve"> PAGE </w:instrText>
    </w:r>
    <w:r w:rsidR="005D68E7" w:rsidRPr="007E05F1">
      <w:rPr>
        <w:rFonts w:cs="Tahoma"/>
        <w:sz w:val="20"/>
        <w:szCs w:val="20"/>
        <w:lang w:val="en-US"/>
      </w:rPr>
      <w:fldChar w:fldCharType="separate"/>
    </w:r>
    <w:r w:rsidR="001508FD">
      <w:rPr>
        <w:rFonts w:cs="Tahoma"/>
        <w:noProof/>
        <w:sz w:val="20"/>
        <w:szCs w:val="20"/>
        <w:lang w:val="en-US"/>
      </w:rPr>
      <w:t>352</w:t>
    </w:r>
    <w:r w:rsidR="005D68E7" w:rsidRPr="007E05F1">
      <w:rPr>
        <w:rFonts w:cs="Tahoma"/>
        <w:sz w:val="20"/>
        <w:szCs w:val="20"/>
        <w:lang w:val="en-US"/>
      </w:rPr>
      <w:fldChar w:fldCharType="end"/>
    </w:r>
    <w:r w:rsidRPr="007E05F1">
      <w:rPr>
        <w:rFonts w:cs="Tahoma"/>
        <w:sz w:val="20"/>
        <w:szCs w:val="20"/>
        <w:lang w:val="en-US"/>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5D68E7">
    <w:pPr>
      <w:pStyle w:val="Footer"/>
      <w:rPr>
        <w:rFonts w:cs="Tahoma"/>
        <w:b/>
        <w:bCs/>
        <w:i/>
        <w:iCs/>
        <w:sz w:val="8"/>
        <w:lang w:val="en-US"/>
      </w:rPr>
    </w:pPr>
    <w:r w:rsidRPr="005D68E7">
      <w:rPr>
        <w:rFonts w:cs="Tahoma"/>
        <w:noProof/>
        <w:sz w:val="8"/>
        <w:lang w:val="en-US"/>
      </w:rPr>
      <w:pict>
        <v:line id="_x0000_s2163" style="position:absolute;left:0;text-align:left;z-index:251677696;visibility:visible" from="0,1.3pt" to="703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p>
  <w:p w:rsidR="000574E1" w:rsidRPr="007E05F1" w:rsidRDefault="000574E1" w:rsidP="005D7AFD">
    <w:pPr>
      <w:pStyle w:val="Footer"/>
      <w:tabs>
        <w:tab w:val="clear" w:pos="4320"/>
        <w:tab w:val="clear" w:pos="8640"/>
      </w:tabs>
      <w:rPr>
        <w:rFonts w:cs="Tahoma"/>
        <w:sz w:val="20"/>
        <w:szCs w:val="20"/>
        <w:lang w:val="en-US"/>
      </w:rPr>
    </w:pPr>
    <w:r w:rsidRPr="007E05F1">
      <w:rPr>
        <w:rFonts w:cs="Tahoma"/>
        <w:sz w:val="20"/>
        <w:szCs w:val="20"/>
        <w:lang w:val="en-US"/>
      </w:rPr>
      <w:t xml:space="preserve">Page </w:t>
    </w:r>
    <w:r w:rsidR="005D68E7" w:rsidRPr="007E05F1">
      <w:rPr>
        <w:rFonts w:cs="Tahoma"/>
        <w:sz w:val="20"/>
        <w:szCs w:val="20"/>
        <w:lang w:val="en-US"/>
      </w:rPr>
      <w:fldChar w:fldCharType="begin"/>
    </w:r>
    <w:r w:rsidRPr="007E05F1">
      <w:rPr>
        <w:rFonts w:cs="Tahoma"/>
        <w:sz w:val="20"/>
        <w:szCs w:val="20"/>
        <w:lang w:val="en-US"/>
      </w:rPr>
      <w:instrText xml:space="preserve"> PAGE </w:instrText>
    </w:r>
    <w:r w:rsidR="005D68E7" w:rsidRPr="007E05F1">
      <w:rPr>
        <w:rFonts w:cs="Tahoma"/>
        <w:sz w:val="20"/>
        <w:szCs w:val="20"/>
        <w:lang w:val="en-US"/>
      </w:rPr>
      <w:fldChar w:fldCharType="separate"/>
    </w:r>
    <w:r w:rsidR="001508FD">
      <w:rPr>
        <w:rFonts w:cs="Tahoma"/>
        <w:noProof/>
        <w:sz w:val="20"/>
        <w:szCs w:val="20"/>
        <w:lang w:val="en-US"/>
      </w:rPr>
      <w:t>364</w:t>
    </w:r>
    <w:r w:rsidR="005D68E7" w:rsidRPr="007E05F1">
      <w:rPr>
        <w:rFonts w:cs="Tahoma"/>
        <w:sz w:val="20"/>
        <w:szCs w:val="20"/>
        <w:lang w:val="en-US"/>
      </w:rPr>
      <w:fldChar w:fldCharType="end"/>
    </w:r>
    <w:r w:rsidRPr="007E05F1">
      <w:rPr>
        <w:rFonts w:cs="Tahoma"/>
        <w:sz w:val="20"/>
        <w:szCs w:val="20"/>
        <w:lang w:val="en-US"/>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6119" w:rsidRDefault="00706119" w:rsidP="00E6329E">
      <w:pPr>
        <w:spacing w:before="0" w:line="240" w:lineRule="auto"/>
      </w:pPr>
      <w:r>
        <w:separator/>
      </w:r>
    </w:p>
  </w:footnote>
  <w:footnote w:type="continuationSeparator" w:id="0">
    <w:p w:rsidR="00706119" w:rsidRDefault="00706119" w:rsidP="00E6329E">
      <w:pPr>
        <w:spacing w:before="0" w:line="240" w:lineRule="auto"/>
      </w:pPr>
      <w:r>
        <w:continuationSeparator/>
      </w:r>
    </w:p>
  </w:footnote>
  <w:footnote w:id="1">
    <w:p w:rsidR="000574E1" w:rsidRPr="00461935" w:rsidRDefault="000574E1" w:rsidP="00E42F07">
      <w:pPr>
        <w:pStyle w:val="FootnoteText"/>
        <w:rPr>
          <w:rFonts w:asciiTheme="minorHAnsi" w:hAnsiTheme="minorHAnsi"/>
          <w:i/>
          <w:lang w:val="en-US"/>
        </w:rPr>
      </w:pPr>
      <w:r w:rsidRPr="00461935">
        <w:rPr>
          <w:rStyle w:val="FootnoteReference"/>
          <w:rFonts w:asciiTheme="minorHAnsi" w:hAnsiTheme="minorHAnsi"/>
          <w:i/>
        </w:rPr>
        <w:footnoteRef/>
      </w:r>
      <w:r w:rsidRPr="00461935">
        <w:rPr>
          <w:rFonts w:asciiTheme="minorHAnsi" w:hAnsiTheme="minorHAnsi"/>
          <w:i/>
        </w:rPr>
        <w:t xml:space="preserve"> </w:t>
      </w:r>
      <w:r w:rsidRPr="00461935">
        <w:rPr>
          <w:rFonts w:asciiTheme="minorHAnsi" w:hAnsiTheme="minorHAnsi"/>
          <w:i/>
          <w:lang w:val="en-US"/>
        </w:rPr>
        <w:t>DVVNL, MVVNL, PVVNL and PuVVNL</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Default="005D68E7" w:rsidP="004065F0">
    <w:pPr>
      <w:pStyle w:val="Header"/>
      <w:jc w:val="right"/>
      <w:rPr>
        <w:i/>
        <w:sz w:val="20"/>
      </w:rPr>
    </w:pPr>
    <w:r w:rsidRPr="005D68E7">
      <w:rPr>
        <w:noProof/>
        <w:lang w:val="en-US"/>
      </w:rPr>
      <w:pict>
        <v:line id="_x0000_s2050" style="position:absolute;left:0;text-align:left;z-index:251632640;visibility:visible" from="-1.5pt,62.6pt" to="434.1pt,6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BYCU2MXAgAAKgQAAA4AAAAAAAAAAAAAAAAALgIAAGRycy9lMm9Eb2MueG1sUEsBAi0AFAAGAAgA&#10;AAAhAE6WyULcAAAACgEAAA8AAAAAAAAAAAAAAAAAcQQAAGRycy9kb3ducmV2LnhtbFBLBQYAAAAA&#10;BAAEAPMAAAB6BQAAAAA=&#10;" strokecolor="#1f497d" strokeweight="1.25pt"/>
      </w:pict>
    </w:r>
    <w:r w:rsidR="000574E1" w:rsidRPr="0066627E">
      <w:rPr>
        <w:noProof/>
        <w:lang w:val="en-US"/>
      </w:rPr>
      <w:drawing>
        <wp:inline distT="0" distB="0" distL="0" distR="0">
          <wp:extent cx="647700" cy="647700"/>
          <wp:effectExtent l="0" t="0" r="0" b="0"/>
          <wp:docPr id="36" name="Picture 36"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647700"/>
                  </a:xfrm>
                  <a:prstGeom prst="rect">
                    <a:avLst/>
                  </a:prstGeom>
                  <a:noFill/>
                  <a:ln>
                    <a:noFill/>
                  </a:ln>
                </pic:spPr>
              </pic:pic>
            </a:graphicData>
          </a:graphic>
        </wp:inline>
      </w:drawing>
    </w:r>
    <w:r w:rsidR="000574E1" w:rsidRPr="0066627E">
      <w:t xml:space="preserve">                                                                     </w:t>
    </w:r>
    <w:r w:rsidR="000574E1">
      <w:rPr>
        <w:i/>
        <w:sz w:val="20"/>
      </w:rPr>
      <w:t>Determination of ARR and Tariff of DVVNL</w:t>
    </w:r>
  </w:p>
  <w:p w:rsidR="000574E1" w:rsidRPr="0066627E" w:rsidRDefault="000574E1" w:rsidP="004065F0">
    <w:pPr>
      <w:pStyle w:val="Header"/>
      <w:jc w:val="right"/>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Pr="00331ACB" w:rsidRDefault="000574E1" w:rsidP="00480214">
    <w:pPr>
      <w:pStyle w:val="Header"/>
      <w:jc w:val="right"/>
    </w:pPr>
    <w:r>
      <w:rPr>
        <w:noProof/>
        <w:lang w:val="en-US"/>
      </w:rPr>
      <w:drawing>
        <wp:inline distT="0" distB="0" distL="0" distR="0">
          <wp:extent cx="647700" cy="647700"/>
          <wp:effectExtent l="0" t="0" r="0" b="0"/>
          <wp:docPr id="9"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KESCO for FY 2014-15 and True-up of FY 2008-09 to FY 2011-12</w:t>
    </w:r>
  </w:p>
  <w:p w:rsidR="000574E1" w:rsidRDefault="005D68E7" w:rsidP="004065F0">
    <w:pPr>
      <w:pStyle w:val="Header"/>
    </w:pPr>
    <w:r w:rsidRPr="005D68E7">
      <w:rPr>
        <w:noProof/>
        <w:lang w:val="en-IN" w:eastAsia="en-IN"/>
      </w:rPr>
      <w:pict>
        <v:line id="_x0000_s2107" style="position:absolute;left:0;text-align:left;z-index:251631616;visibility:visible" from="19.25pt,4.8pt" to="724.6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Pr="00331ACB" w:rsidRDefault="000574E1" w:rsidP="00BB0C21">
    <w:pPr>
      <w:pStyle w:val="Header"/>
      <w:jc w:val="right"/>
    </w:pPr>
    <w:r>
      <w:rPr>
        <w:noProof/>
        <w:lang w:val="en-US"/>
      </w:rPr>
      <w:drawing>
        <wp:inline distT="0" distB="0" distL="0" distR="0">
          <wp:extent cx="647700" cy="647700"/>
          <wp:effectExtent l="0" t="0" r="0" b="0"/>
          <wp:docPr id="14"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KESCO for FY 2014-15 and True-up of FY 2008-09 to FY 2011-12</w:t>
    </w:r>
  </w:p>
  <w:p w:rsidR="000574E1" w:rsidRDefault="005D68E7" w:rsidP="004065F0">
    <w:pPr>
      <w:pStyle w:val="Header"/>
    </w:pPr>
    <w:r>
      <w:rPr>
        <w:noProof/>
        <w:lang w:val="en-US"/>
      </w:rPr>
      <w:pict>
        <v:line id="Line 49" o:spid="_x0000_s2147" style="position:absolute;left:0;text-align:left;z-index:251660288;visibility:visible" from="-1.5pt,1.1pt" to="434.1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Pr="00331ACB" w:rsidRDefault="000574E1" w:rsidP="00F2494F">
    <w:pPr>
      <w:pStyle w:val="Header"/>
      <w:jc w:val="right"/>
    </w:pPr>
    <w:r>
      <w:rPr>
        <w:noProof/>
        <w:lang w:val="en-US"/>
      </w:rPr>
      <w:drawing>
        <wp:inline distT="0" distB="0" distL="0" distR="0">
          <wp:extent cx="647700" cy="647700"/>
          <wp:effectExtent l="0" t="0" r="0" b="0"/>
          <wp:docPr id="7"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KESCO for FY 2014-15 and True-up of FY 2008-09 to FY 2011-12</w:t>
    </w:r>
  </w:p>
  <w:p w:rsidR="000574E1" w:rsidRDefault="000574E1" w:rsidP="006711BC">
    <w:pPr>
      <w:pStyle w:val="Header"/>
      <w:jc w:val="right"/>
      <w:rPr>
        <w:i/>
        <w:sz w:val="20"/>
      </w:rPr>
    </w:pPr>
  </w:p>
  <w:p w:rsidR="000574E1" w:rsidRDefault="005D68E7" w:rsidP="006711BC">
    <w:pPr>
      <w:pStyle w:val="Header"/>
      <w:jc w:val="right"/>
    </w:pPr>
    <w:r>
      <w:rPr>
        <w:noProof/>
        <w:lang w:val="en-US"/>
      </w:rPr>
      <w:pict>
        <v:line id="_x0000_s2156" style="position:absolute;left:0;text-align:left;z-index:251669504;visibility:visible" from="19.3pt,.35pt" to="438.8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Pr="00331ACB" w:rsidRDefault="000574E1" w:rsidP="00F2494F">
    <w:pPr>
      <w:pStyle w:val="Header"/>
      <w:jc w:val="right"/>
    </w:pPr>
    <w:r>
      <w:rPr>
        <w:noProof/>
        <w:lang w:val="en-US"/>
      </w:rPr>
      <w:drawing>
        <wp:inline distT="0" distB="0" distL="0" distR="0">
          <wp:extent cx="647700" cy="647700"/>
          <wp:effectExtent l="0" t="0" r="0" b="0"/>
          <wp:docPr id="11"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KESCO for FY 2014-15 and True-up of FY 2008-09 to FY 2011-12</w:t>
    </w:r>
  </w:p>
  <w:p w:rsidR="000574E1" w:rsidRDefault="005D68E7">
    <w:pPr>
      <w:pStyle w:val="Header"/>
    </w:pPr>
    <w:r>
      <w:rPr>
        <w:noProof/>
        <w:lang w:val="en-US"/>
      </w:rPr>
      <w:pict>
        <v:line id="_x0000_s2151" style="position:absolute;left:0;text-align:left;z-index:251664384;visibility:visible" from="-1.5pt,1.1pt" to="696.9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Pr="00331ACB" w:rsidRDefault="000574E1" w:rsidP="00F2494F">
    <w:pPr>
      <w:pStyle w:val="Header"/>
      <w:jc w:val="right"/>
    </w:pPr>
    <w:r>
      <w:rPr>
        <w:noProof/>
        <w:lang w:val="en-US"/>
      </w:rPr>
      <w:drawing>
        <wp:inline distT="0" distB="0" distL="0" distR="0">
          <wp:extent cx="647700" cy="647700"/>
          <wp:effectExtent l="0" t="0" r="0" b="0"/>
          <wp:docPr id="13"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KESCO for FY 2014-15 and True-up of FY 2008-09 to FY 2011-12</w:t>
    </w:r>
  </w:p>
  <w:p w:rsidR="000574E1" w:rsidRDefault="005D68E7" w:rsidP="005D7AFD">
    <w:pPr>
      <w:pStyle w:val="Header"/>
    </w:pPr>
    <w:r w:rsidRPr="005D68E7">
      <w:rPr>
        <w:noProof/>
        <w:lang w:val="en-IN" w:eastAsia="en-IN"/>
      </w:rPr>
      <w:pict>
        <v:line id="_x0000_s2164" style="position:absolute;left:0;text-align:left;flip:y;z-index:251678720;visibility:visible" from="-12.8pt,6.7pt" to="432.2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Pr="00331ACB" w:rsidRDefault="000574E1" w:rsidP="00F2494F">
    <w:pPr>
      <w:pStyle w:val="Header"/>
      <w:jc w:val="right"/>
    </w:pPr>
    <w:r>
      <w:rPr>
        <w:noProof/>
        <w:lang w:val="en-US"/>
      </w:rPr>
      <w:drawing>
        <wp:inline distT="0" distB="0" distL="0" distR="0">
          <wp:extent cx="647700" cy="647700"/>
          <wp:effectExtent l="0" t="0" r="0" b="0"/>
          <wp:docPr id="12"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KESCO for FY 2014-15 and True-up of FY 2008-09 to FY 2011-12</w:t>
    </w:r>
  </w:p>
  <w:p w:rsidR="000574E1" w:rsidRDefault="005D68E7" w:rsidP="005D7AFD">
    <w:pPr>
      <w:pStyle w:val="Header"/>
    </w:pPr>
    <w:r w:rsidRPr="005D68E7">
      <w:rPr>
        <w:noProof/>
        <w:lang w:val="en-IN" w:eastAsia="en-IN"/>
      </w:rPr>
      <w:pict>
        <v:line id="_x0000_s2166" style="position:absolute;left:0;text-align:left;flip:y;z-index:251682816;visibility:visible" from="-12.8pt,6.7pt" to="734.0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Pr="00331ACB" w:rsidRDefault="000574E1" w:rsidP="00F2494F">
    <w:pPr>
      <w:pStyle w:val="Header"/>
      <w:jc w:val="right"/>
    </w:pPr>
    <w:r>
      <w:rPr>
        <w:noProof/>
        <w:lang w:val="en-US"/>
      </w:rPr>
      <w:drawing>
        <wp:inline distT="0" distB="0" distL="0" distR="0">
          <wp:extent cx="647700" cy="647700"/>
          <wp:effectExtent l="0" t="0" r="0" b="0"/>
          <wp:docPr id="5"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KESCO for FY 2014-15 and True-up of FY 2008-09 to FY 2011-12</w:t>
    </w:r>
  </w:p>
  <w:p w:rsidR="000574E1" w:rsidRDefault="005D68E7" w:rsidP="005D7AFD">
    <w:pPr>
      <w:pStyle w:val="Header"/>
    </w:pPr>
    <w:r w:rsidRPr="005D68E7">
      <w:rPr>
        <w:noProof/>
        <w:lang w:val="en-IN" w:eastAsia="en-IN"/>
      </w:rPr>
      <w:pict>
        <v:line id="_x0000_s2165" style="position:absolute;left:0;text-align:left;flip:y;z-index:251680768;visibility:visible" from="-12.8pt,6.7pt" to="432.2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Pr="00331ACB" w:rsidRDefault="000574E1" w:rsidP="008F2FC8">
    <w:pPr>
      <w:pStyle w:val="Header"/>
      <w:jc w:val="right"/>
    </w:pPr>
    <w:r>
      <w:rPr>
        <w:noProof/>
        <w:lang w:val="en-US"/>
      </w:rPr>
      <w:drawing>
        <wp:inline distT="0" distB="0" distL="0" distR="0">
          <wp:extent cx="647700" cy="647700"/>
          <wp:effectExtent l="0" t="0" r="0" b="0"/>
          <wp:docPr id="8"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tab/>
    </w:r>
    <w:r>
      <w:tab/>
    </w:r>
    <w:r>
      <w:tab/>
    </w:r>
    <w:r>
      <w:rPr>
        <w:i/>
        <w:sz w:val="20"/>
        <w:szCs w:val="20"/>
      </w:rPr>
      <w:t xml:space="preserve">Determination of ARR and </w:t>
    </w:r>
    <w:r w:rsidRPr="00B6794F">
      <w:rPr>
        <w:i/>
        <w:sz w:val="20"/>
        <w:szCs w:val="20"/>
      </w:rPr>
      <w:t xml:space="preserve">Tariff of </w:t>
    </w:r>
    <w:r>
      <w:rPr>
        <w:i/>
        <w:sz w:val="20"/>
        <w:szCs w:val="20"/>
      </w:rPr>
      <w:t>KESCO for FY 2014-15 and True-up of FY 2008-09 to FY 2011-12</w:t>
    </w:r>
  </w:p>
  <w:p w:rsidR="000574E1" w:rsidRDefault="005D68E7" w:rsidP="005D7AFD">
    <w:pPr>
      <w:pStyle w:val="Header"/>
    </w:pPr>
    <w:r w:rsidRPr="005D68E7">
      <w:rPr>
        <w:noProof/>
        <w:lang w:val="en-IN" w:eastAsia="en-IN"/>
      </w:rPr>
      <w:pict>
        <v:line id="_x0000_s2162" style="position:absolute;left:0;text-align:left;z-index:251676672;visibility:visible" from="19.25pt,4.8pt" to="722.2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4E1" w:rsidRPr="00331ACB" w:rsidRDefault="000574E1" w:rsidP="00E93F0F">
    <w:pPr>
      <w:pStyle w:val="Header"/>
      <w:jc w:val="right"/>
    </w:pPr>
    <w:r>
      <w:rPr>
        <w:noProof/>
        <w:lang w:val="en-US"/>
      </w:rPr>
      <w:drawing>
        <wp:inline distT="0" distB="0" distL="0" distR="0">
          <wp:extent cx="647700" cy="647700"/>
          <wp:effectExtent l="0" t="0" r="0" b="0"/>
          <wp:docPr id="10"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Pr>
        <w:i/>
        <w:sz w:val="20"/>
        <w:szCs w:val="20"/>
      </w:rPr>
      <w:t>KESCO for FY 2014-15 and True-up of FY 2008-09 to FY 2011-12</w:t>
    </w:r>
  </w:p>
  <w:p w:rsidR="000574E1" w:rsidRDefault="000574E1" w:rsidP="00E93F0F">
    <w:pPr>
      <w:pStyle w:val="Header"/>
      <w:jc w:val="left"/>
    </w:pPr>
    <w:r>
      <w:t xml:space="preserve">                                                                  </w:t>
    </w:r>
    <w:r>
      <w:tab/>
      <w:t xml:space="preserve">          </w:t>
    </w:r>
    <w:r w:rsidR="005D68E7" w:rsidRPr="005D68E7">
      <w:rPr>
        <w:noProof/>
        <w:lang w:val="en-IN" w:eastAsia="en-IN"/>
      </w:rPr>
      <w:pict>
        <v:line id="_x0000_s2172" style="position:absolute;z-index:251692032;visibility:visible;mso-position-horizontal-relative:text;mso-position-vertical-relative:text" from="19.25pt,4.8pt" to="452.9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A00DE"/>
    <w:multiLevelType w:val="hybridMultilevel"/>
    <w:tmpl w:val="D6DC7220"/>
    <w:lvl w:ilvl="0" w:tplc="B20E4DB6">
      <w:start w:val="1"/>
      <w:numFmt w:val="lowerRoman"/>
      <w:lvlText w:val="(%1)"/>
      <w:lvlJc w:val="left"/>
      <w:pPr>
        <w:tabs>
          <w:tab w:val="num" w:pos="1080"/>
        </w:tabs>
        <w:ind w:left="720" w:hanging="360"/>
      </w:pPr>
    </w:lvl>
    <w:lvl w:ilvl="1" w:tplc="7E503096">
      <w:start w:val="1"/>
      <w:numFmt w:val="lowerRoman"/>
      <w:lvlText w:val="(%2)"/>
      <w:lvlJc w:val="right"/>
      <w:pPr>
        <w:tabs>
          <w:tab w:val="num" w:pos="1260"/>
        </w:tabs>
        <w:ind w:left="1260" w:hanging="18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
    <w:nsid w:val="02EE2036"/>
    <w:multiLevelType w:val="hybridMultilevel"/>
    <w:tmpl w:val="1B9E0596"/>
    <w:lvl w:ilvl="0" w:tplc="0409000F">
      <w:start w:val="1"/>
      <w:numFmt w:val="decimal"/>
      <w:lvlText w:val="%1."/>
      <w:lvlJc w:val="left"/>
      <w:pPr>
        <w:ind w:left="540" w:hanging="360"/>
      </w:pPr>
    </w:lvl>
    <w:lvl w:ilvl="1" w:tplc="0409000B">
      <w:start w:val="1"/>
      <w:numFmt w:val="bullet"/>
      <w:lvlText w:val=""/>
      <w:lvlJc w:val="left"/>
      <w:pPr>
        <w:ind w:left="1260" w:hanging="360"/>
      </w:pPr>
      <w:rPr>
        <w:rFonts w:ascii="Wingdings" w:hAnsi="Wingdings" w:hint="default"/>
      </w:rPr>
    </w:lvl>
    <w:lvl w:ilvl="2" w:tplc="0409001B">
      <w:start w:val="1"/>
      <w:numFmt w:val="lowerRoman"/>
      <w:lvlText w:val="%3."/>
      <w:lvlJc w:val="right"/>
      <w:pPr>
        <w:ind w:left="1980" w:hanging="180"/>
      </w:pPr>
    </w:lvl>
    <w:lvl w:ilvl="3" w:tplc="FE187BD8">
      <w:start w:val="1"/>
      <w:numFmt w:val="lowerLetter"/>
      <w:lvlText w:val="%4."/>
      <w:lvlJc w:val="left"/>
      <w:pPr>
        <w:ind w:left="3060" w:hanging="720"/>
      </w:pPr>
      <w:rPr>
        <w:rFonts w:hint="default"/>
      </w:r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nsid w:val="040C7404"/>
    <w:multiLevelType w:val="hybridMultilevel"/>
    <w:tmpl w:val="C550014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nsid w:val="0434629E"/>
    <w:multiLevelType w:val="hybridMultilevel"/>
    <w:tmpl w:val="090ED8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44D394F"/>
    <w:multiLevelType w:val="hybridMultilevel"/>
    <w:tmpl w:val="5BB81656"/>
    <w:lvl w:ilvl="0" w:tplc="984E89E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nsid w:val="077C4BDF"/>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7D77CF4"/>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7">
    <w:nsid w:val="08D219C4"/>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08D27F36"/>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0B197A9A"/>
    <w:multiLevelType w:val="hybridMultilevel"/>
    <w:tmpl w:val="5D5626C8"/>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B295340"/>
    <w:multiLevelType w:val="hybridMultilevel"/>
    <w:tmpl w:val="E702CA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0B8652F1"/>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0C280DE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57D1242"/>
    <w:multiLevelType w:val="hybridMultilevel"/>
    <w:tmpl w:val="4B1E373A"/>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4">
    <w:nsid w:val="15D7167A"/>
    <w:multiLevelType w:val="hybridMultilevel"/>
    <w:tmpl w:val="7CD8FE98"/>
    <w:lvl w:ilvl="0" w:tplc="B20E4DB6">
      <w:start w:val="1"/>
      <w:numFmt w:val="lowerRoman"/>
      <w:lvlText w:val="(%1)"/>
      <w:lvlJc w:val="left"/>
      <w:pPr>
        <w:tabs>
          <w:tab w:val="num" w:pos="1080"/>
        </w:tabs>
        <w:ind w:left="720" w:hanging="360"/>
      </w:pPr>
    </w:lvl>
    <w:lvl w:ilvl="1" w:tplc="98A22EEE">
      <w:start w:val="5"/>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nsid w:val="16EA51C1"/>
    <w:multiLevelType w:val="hybridMultilevel"/>
    <w:tmpl w:val="22F8D016"/>
    <w:lvl w:ilvl="0" w:tplc="7A6C1522">
      <w:start w:val="1"/>
      <w:numFmt w:val="decimal"/>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D55CBF54">
      <w:start w:val="1"/>
      <w:numFmt w:val="lowerLetter"/>
      <w:lvlText w:val="(%3)"/>
      <w:lvlJc w:val="left"/>
      <w:pPr>
        <w:tabs>
          <w:tab w:val="num" w:pos="2340"/>
        </w:tabs>
        <w:ind w:left="2340" w:hanging="36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nsid w:val="1BBA520A"/>
    <w:multiLevelType w:val="hybridMultilevel"/>
    <w:tmpl w:val="49D2904E"/>
    <w:lvl w:ilvl="0" w:tplc="0E36897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1C9F33C0"/>
    <w:multiLevelType w:val="hybridMultilevel"/>
    <w:tmpl w:val="3A38094C"/>
    <w:lvl w:ilvl="0" w:tplc="091CC8D6">
      <w:start w:val="1"/>
      <w:numFmt w:val="decimal"/>
      <w:lvlText w:val="%1."/>
      <w:lvlJc w:val="left"/>
      <w:pPr>
        <w:tabs>
          <w:tab w:val="num" w:pos="360"/>
        </w:tabs>
        <w:ind w:left="360" w:hanging="360"/>
      </w:pPr>
      <w:rPr>
        <w:rFonts w:ascii="Arial" w:hAnsi="Arial" w:cs="Times New Roman" w:hint="default"/>
        <w:b/>
        <w:i w:val="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nsid w:val="1D586C0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1D8D550E"/>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F937737"/>
    <w:multiLevelType w:val="hybridMultilevel"/>
    <w:tmpl w:val="74A68ECA"/>
    <w:lvl w:ilvl="0" w:tplc="EAE4AA5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0075894"/>
    <w:multiLevelType w:val="hybridMultilevel"/>
    <w:tmpl w:val="977AC84E"/>
    <w:lvl w:ilvl="0" w:tplc="0E36897E">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22">
    <w:nsid w:val="21597E2F"/>
    <w:multiLevelType w:val="hybridMultilevel"/>
    <w:tmpl w:val="6C7AF8EC"/>
    <w:lvl w:ilvl="0" w:tplc="0409000F">
      <w:start w:val="1"/>
      <w:numFmt w:val="bullet"/>
      <w:lvlText w:val=""/>
      <w:lvlJc w:val="left"/>
      <w:pPr>
        <w:ind w:left="900" w:hanging="360"/>
      </w:pPr>
      <w:rPr>
        <w:rFonts w:ascii="Symbol" w:hAnsi="Symbol" w:hint="default"/>
      </w:rPr>
    </w:lvl>
    <w:lvl w:ilvl="1" w:tplc="04090019" w:tentative="1">
      <w:start w:val="1"/>
      <w:numFmt w:val="bullet"/>
      <w:lvlText w:val="o"/>
      <w:lvlJc w:val="left"/>
      <w:pPr>
        <w:ind w:left="1620" w:hanging="360"/>
      </w:pPr>
      <w:rPr>
        <w:rFonts w:ascii="Courier New" w:hAnsi="Courier New" w:cs="Courier New" w:hint="default"/>
      </w:rPr>
    </w:lvl>
    <w:lvl w:ilvl="2" w:tplc="0409001B" w:tentative="1">
      <w:start w:val="1"/>
      <w:numFmt w:val="bullet"/>
      <w:lvlText w:val=""/>
      <w:lvlJc w:val="left"/>
      <w:pPr>
        <w:ind w:left="2340" w:hanging="360"/>
      </w:pPr>
      <w:rPr>
        <w:rFonts w:ascii="Wingdings" w:hAnsi="Wingdings" w:hint="default"/>
      </w:rPr>
    </w:lvl>
    <w:lvl w:ilvl="3" w:tplc="0409000F" w:tentative="1">
      <w:start w:val="1"/>
      <w:numFmt w:val="bullet"/>
      <w:lvlText w:val=""/>
      <w:lvlJc w:val="left"/>
      <w:pPr>
        <w:ind w:left="3060" w:hanging="360"/>
      </w:pPr>
      <w:rPr>
        <w:rFonts w:ascii="Symbol" w:hAnsi="Symbol" w:hint="default"/>
      </w:rPr>
    </w:lvl>
    <w:lvl w:ilvl="4" w:tplc="04090019" w:tentative="1">
      <w:start w:val="1"/>
      <w:numFmt w:val="bullet"/>
      <w:lvlText w:val="o"/>
      <w:lvlJc w:val="left"/>
      <w:pPr>
        <w:ind w:left="3780" w:hanging="360"/>
      </w:pPr>
      <w:rPr>
        <w:rFonts w:ascii="Courier New" w:hAnsi="Courier New" w:cs="Courier New" w:hint="default"/>
      </w:rPr>
    </w:lvl>
    <w:lvl w:ilvl="5" w:tplc="0409001B" w:tentative="1">
      <w:start w:val="1"/>
      <w:numFmt w:val="bullet"/>
      <w:lvlText w:val=""/>
      <w:lvlJc w:val="left"/>
      <w:pPr>
        <w:ind w:left="4500" w:hanging="360"/>
      </w:pPr>
      <w:rPr>
        <w:rFonts w:ascii="Wingdings" w:hAnsi="Wingdings" w:hint="default"/>
      </w:rPr>
    </w:lvl>
    <w:lvl w:ilvl="6" w:tplc="0409000F" w:tentative="1">
      <w:start w:val="1"/>
      <w:numFmt w:val="bullet"/>
      <w:lvlText w:val=""/>
      <w:lvlJc w:val="left"/>
      <w:pPr>
        <w:ind w:left="5220" w:hanging="360"/>
      </w:pPr>
      <w:rPr>
        <w:rFonts w:ascii="Symbol" w:hAnsi="Symbol" w:hint="default"/>
      </w:rPr>
    </w:lvl>
    <w:lvl w:ilvl="7" w:tplc="04090019" w:tentative="1">
      <w:start w:val="1"/>
      <w:numFmt w:val="bullet"/>
      <w:lvlText w:val="o"/>
      <w:lvlJc w:val="left"/>
      <w:pPr>
        <w:ind w:left="5940" w:hanging="360"/>
      </w:pPr>
      <w:rPr>
        <w:rFonts w:ascii="Courier New" w:hAnsi="Courier New" w:cs="Courier New" w:hint="default"/>
      </w:rPr>
    </w:lvl>
    <w:lvl w:ilvl="8" w:tplc="0409001B" w:tentative="1">
      <w:start w:val="1"/>
      <w:numFmt w:val="bullet"/>
      <w:lvlText w:val=""/>
      <w:lvlJc w:val="left"/>
      <w:pPr>
        <w:ind w:left="6660" w:hanging="360"/>
      </w:pPr>
      <w:rPr>
        <w:rFonts w:ascii="Wingdings" w:hAnsi="Wingdings" w:hint="default"/>
      </w:rPr>
    </w:lvl>
  </w:abstractNum>
  <w:abstractNum w:abstractNumId="23">
    <w:nsid w:val="21754051"/>
    <w:multiLevelType w:val="hybridMultilevel"/>
    <w:tmpl w:val="179C17EA"/>
    <w:lvl w:ilvl="0" w:tplc="D5C81474">
      <w:start w:val="1"/>
      <w:numFmt w:val="decimal"/>
      <w:lvlText w:val="%1."/>
      <w:lvlJc w:val="left"/>
      <w:pPr>
        <w:tabs>
          <w:tab w:val="num" w:pos="1080"/>
        </w:tabs>
        <w:ind w:left="1080" w:hanging="360"/>
      </w:pPr>
      <w:rPr>
        <w:b/>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4">
    <w:nsid w:val="22AD11CF"/>
    <w:multiLevelType w:val="hybridMultilevel"/>
    <w:tmpl w:val="855C7B44"/>
    <w:lvl w:ilvl="0" w:tplc="04090001">
      <w:start w:val="1"/>
      <w:numFmt w:val="upperLetter"/>
      <w:lvlText w:val="%1)"/>
      <w:lvlJc w:val="left"/>
      <w:pPr>
        <w:ind w:left="360" w:hanging="360"/>
      </w:pPr>
      <w:rPr>
        <w:rFonts w:hint="default"/>
        <w:i w:val="0"/>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5">
    <w:nsid w:val="235C28D6"/>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244B16DB"/>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275F2984"/>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297D671E"/>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2B993653"/>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2C091C6A"/>
    <w:multiLevelType w:val="hybridMultilevel"/>
    <w:tmpl w:val="77AC5E5A"/>
    <w:lvl w:ilvl="0" w:tplc="FFFFFFFF">
      <w:start w:val="1"/>
      <w:numFmt w:val="lowerRoman"/>
      <w:lvlText w:val="(%1)"/>
      <w:lvlJc w:val="left"/>
      <w:pPr>
        <w:tabs>
          <w:tab w:val="num" w:pos="720"/>
        </w:tabs>
        <w:ind w:left="720" w:hanging="72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1">
    <w:nsid w:val="2C4047B9"/>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2CFC6ABF"/>
    <w:multiLevelType w:val="hybridMultilevel"/>
    <w:tmpl w:val="A52AE4F2"/>
    <w:lvl w:ilvl="0" w:tplc="DCA44208">
      <w:start w:val="1"/>
      <w:numFmt w:val="upperLetter"/>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2D205366"/>
    <w:multiLevelType w:val="hybridMultilevel"/>
    <w:tmpl w:val="A03C9A20"/>
    <w:lvl w:ilvl="0" w:tplc="EAE4AA5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D780237"/>
    <w:multiLevelType w:val="hybridMultilevel"/>
    <w:tmpl w:val="49D2904E"/>
    <w:lvl w:ilvl="0" w:tplc="0409000F">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30463765"/>
    <w:multiLevelType w:val="hybridMultilevel"/>
    <w:tmpl w:val="5D5626C8"/>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30D34056"/>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3170610F"/>
    <w:multiLevelType w:val="multilevel"/>
    <w:tmpl w:val="654EC714"/>
    <w:lvl w:ilvl="0">
      <w:start w:val="1"/>
      <w:numFmt w:val="decimal"/>
      <w:lvlText w:val="%1"/>
      <w:lvlJc w:val="left"/>
      <w:pPr>
        <w:ind w:left="432" w:hanging="432"/>
      </w:pPr>
      <w:rPr>
        <w:rFonts w:hint="default"/>
        <w:color w:val="auto"/>
      </w:rPr>
    </w:lvl>
    <w:lvl w:ilvl="1">
      <w:start w:val="1"/>
      <w:numFmt w:val="decimal"/>
      <w:pStyle w:val="Heading2"/>
      <w:lvlText w:val="%1.%2"/>
      <w:lvlJc w:val="left"/>
      <w:pPr>
        <w:ind w:left="576" w:hanging="576"/>
      </w:pPr>
      <w:rPr>
        <w:rFonts w:hint="default"/>
        <w:b/>
      </w:rPr>
    </w:lvl>
    <w:lvl w:ilvl="2">
      <w:start w:val="1"/>
      <w:numFmt w:val="decimal"/>
      <w:pStyle w:val="Heading3"/>
      <w:lvlText w:val="%1.%2.%3"/>
      <w:lvlJc w:val="left"/>
      <w:pPr>
        <w:ind w:left="720" w:hanging="720"/>
      </w:pPr>
      <w:rPr>
        <w:rFonts w:cs="Times New Roman" w:hint="default"/>
        <w:b w:val="0"/>
        <w:bCs w:val="0"/>
        <w:i w:val="0"/>
        <w:iCs w:val="0"/>
        <w:caps w:val="0"/>
        <w:smallCaps w:val="0"/>
        <w:strike w:val="0"/>
        <w:dstrike w:val="0"/>
        <w:outline w:val="0"/>
        <w:shadow w:val="0"/>
        <w:emboss w:val="0"/>
        <w:imprint w:val="0"/>
        <w:noProof w:val="0"/>
        <w:vanish w:val="0"/>
        <w:color w:val="auto"/>
        <w:spacing w:val="0"/>
        <w:kern w:val="0"/>
        <w:position w:val="0"/>
        <w:u w:val="none"/>
        <w:vertAlign w:val="baseline"/>
        <w:em w:val="none"/>
      </w:rPr>
    </w:lvl>
    <w:lvl w:ilvl="3">
      <w:start w:val="1"/>
      <w:numFmt w:val="decimal"/>
      <w:pStyle w:val="Heading4"/>
      <w:lvlText w:val="%1.%2.%3.%4"/>
      <w:lvlJc w:val="left"/>
      <w:pPr>
        <w:ind w:left="864" w:hanging="864"/>
      </w:pPr>
      <w:rPr>
        <w:rFonts w:hint="default"/>
        <w:b w:val="0"/>
        <w:i w:val="0"/>
        <w:color w:val="auto"/>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8">
    <w:nsid w:val="34BC4350"/>
    <w:multiLevelType w:val="hybridMultilevel"/>
    <w:tmpl w:val="49D2904E"/>
    <w:lvl w:ilvl="0" w:tplc="220EB5EE">
      <w:start w:val="1"/>
      <w:numFmt w:val="upperLetter"/>
      <w:lvlText w:val="%1)"/>
      <w:lvlJc w:val="left"/>
      <w:pPr>
        <w:ind w:left="360" w:hanging="360"/>
      </w:pPr>
      <w:rPr>
        <w:rFonts w:hint="default"/>
        <w:i w:val="0"/>
      </w:rPr>
    </w:lvl>
    <w:lvl w:ilvl="1" w:tplc="E8B02432" w:tentative="1">
      <w:start w:val="1"/>
      <w:numFmt w:val="lowerLetter"/>
      <w:lvlText w:val="%2."/>
      <w:lvlJc w:val="left"/>
      <w:pPr>
        <w:ind w:left="1080" w:hanging="360"/>
      </w:pPr>
    </w:lvl>
    <w:lvl w:ilvl="2" w:tplc="D778C624" w:tentative="1">
      <w:start w:val="1"/>
      <w:numFmt w:val="lowerRoman"/>
      <w:lvlText w:val="%3."/>
      <w:lvlJc w:val="right"/>
      <w:pPr>
        <w:ind w:left="1800" w:hanging="180"/>
      </w:pPr>
    </w:lvl>
    <w:lvl w:ilvl="3" w:tplc="F0465C16" w:tentative="1">
      <w:start w:val="1"/>
      <w:numFmt w:val="decimal"/>
      <w:lvlText w:val="%4."/>
      <w:lvlJc w:val="left"/>
      <w:pPr>
        <w:ind w:left="2520" w:hanging="360"/>
      </w:pPr>
    </w:lvl>
    <w:lvl w:ilvl="4" w:tplc="213E911E" w:tentative="1">
      <w:start w:val="1"/>
      <w:numFmt w:val="lowerLetter"/>
      <w:lvlText w:val="%5."/>
      <w:lvlJc w:val="left"/>
      <w:pPr>
        <w:ind w:left="3240" w:hanging="360"/>
      </w:pPr>
    </w:lvl>
    <w:lvl w:ilvl="5" w:tplc="8EB8C850" w:tentative="1">
      <w:start w:val="1"/>
      <w:numFmt w:val="lowerRoman"/>
      <w:lvlText w:val="%6."/>
      <w:lvlJc w:val="right"/>
      <w:pPr>
        <w:ind w:left="3960" w:hanging="180"/>
      </w:pPr>
    </w:lvl>
    <w:lvl w:ilvl="6" w:tplc="1FDA4658" w:tentative="1">
      <w:start w:val="1"/>
      <w:numFmt w:val="decimal"/>
      <w:lvlText w:val="%7."/>
      <w:lvlJc w:val="left"/>
      <w:pPr>
        <w:ind w:left="4680" w:hanging="360"/>
      </w:pPr>
    </w:lvl>
    <w:lvl w:ilvl="7" w:tplc="18D05754" w:tentative="1">
      <w:start w:val="1"/>
      <w:numFmt w:val="lowerLetter"/>
      <w:lvlText w:val="%8."/>
      <w:lvlJc w:val="left"/>
      <w:pPr>
        <w:ind w:left="5400" w:hanging="360"/>
      </w:pPr>
    </w:lvl>
    <w:lvl w:ilvl="8" w:tplc="AFF25FD8" w:tentative="1">
      <w:start w:val="1"/>
      <w:numFmt w:val="lowerRoman"/>
      <w:lvlText w:val="%9."/>
      <w:lvlJc w:val="right"/>
      <w:pPr>
        <w:ind w:left="6120" w:hanging="180"/>
      </w:pPr>
    </w:lvl>
  </w:abstractNum>
  <w:abstractNum w:abstractNumId="39">
    <w:nsid w:val="35122FD5"/>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364B1E1E"/>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383E506A"/>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384A2875"/>
    <w:multiLevelType w:val="hybridMultilevel"/>
    <w:tmpl w:val="A03C9A20"/>
    <w:lvl w:ilvl="0" w:tplc="EAE4AA5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84C7EAD"/>
    <w:multiLevelType w:val="multilevel"/>
    <w:tmpl w:val="172A0C5E"/>
    <w:lvl w:ilvl="0">
      <w:start w:val="2"/>
      <w:numFmt w:val="lowerRoman"/>
      <w:lvlText w:val="%1."/>
      <w:lvlJc w:val="left"/>
      <w:pPr>
        <w:tabs>
          <w:tab w:val="num" w:pos="2610"/>
        </w:tabs>
        <w:ind w:left="2610" w:hanging="720"/>
      </w:pPr>
      <w:rPr>
        <w:b/>
      </w:rPr>
    </w:lvl>
    <w:lvl w:ilvl="1">
      <w:start w:val="2"/>
      <w:numFmt w:val="lowerLetter"/>
      <w:lvlText w:val="%2."/>
      <w:lvlJc w:val="left"/>
      <w:pPr>
        <w:tabs>
          <w:tab w:val="num" w:pos="2970"/>
        </w:tabs>
        <w:ind w:left="2970" w:hanging="360"/>
      </w:pPr>
    </w:lvl>
    <w:lvl w:ilvl="2">
      <w:start w:val="1"/>
      <w:numFmt w:val="lowerRoman"/>
      <w:lvlText w:val="%3."/>
      <w:lvlJc w:val="right"/>
      <w:pPr>
        <w:tabs>
          <w:tab w:val="num" w:pos="3690"/>
        </w:tabs>
        <w:ind w:left="3690" w:hanging="180"/>
      </w:pPr>
    </w:lvl>
    <w:lvl w:ilvl="3">
      <w:start w:val="1"/>
      <w:numFmt w:val="decimal"/>
      <w:lvlText w:val="%4."/>
      <w:lvlJc w:val="left"/>
      <w:pPr>
        <w:tabs>
          <w:tab w:val="num" w:pos="4410"/>
        </w:tabs>
        <w:ind w:left="4410" w:hanging="360"/>
      </w:pPr>
    </w:lvl>
    <w:lvl w:ilvl="4">
      <w:start w:val="1"/>
      <w:numFmt w:val="lowerLetter"/>
      <w:lvlText w:val="%5."/>
      <w:lvlJc w:val="left"/>
      <w:pPr>
        <w:tabs>
          <w:tab w:val="num" w:pos="5130"/>
        </w:tabs>
        <w:ind w:left="5130" w:hanging="360"/>
      </w:pPr>
    </w:lvl>
    <w:lvl w:ilvl="5">
      <w:start w:val="1"/>
      <w:numFmt w:val="lowerRoman"/>
      <w:lvlText w:val="%6."/>
      <w:lvlJc w:val="right"/>
      <w:pPr>
        <w:tabs>
          <w:tab w:val="num" w:pos="5850"/>
        </w:tabs>
        <w:ind w:left="5850" w:hanging="180"/>
      </w:pPr>
    </w:lvl>
    <w:lvl w:ilvl="6">
      <w:start w:val="1"/>
      <w:numFmt w:val="decimal"/>
      <w:lvlText w:val="%7."/>
      <w:lvlJc w:val="left"/>
      <w:pPr>
        <w:tabs>
          <w:tab w:val="num" w:pos="6570"/>
        </w:tabs>
        <w:ind w:left="6570" w:hanging="360"/>
      </w:pPr>
    </w:lvl>
    <w:lvl w:ilvl="7">
      <w:start w:val="1"/>
      <w:numFmt w:val="lowerLetter"/>
      <w:lvlText w:val="%8."/>
      <w:lvlJc w:val="left"/>
      <w:pPr>
        <w:tabs>
          <w:tab w:val="num" w:pos="7290"/>
        </w:tabs>
        <w:ind w:left="7290" w:hanging="360"/>
      </w:pPr>
    </w:lvl>
    <w:lvl w:ilvl="8">
      <w:start w:val="1"/>
      <w:numFmt w:val="lowerRoman"/>
      <w:lvlText w:val="%9."/>
      <w:lvlJc w:val="right"/>
      <w:pPr>
        <w:tabs>
          <w:tab w:val="num" w:pos="8010"/>
        </w:tabs>
        <w:ind w:left="8010" w:hanging="180"/>
      </w:pPr>
    </w:lvl>
  </w:abstractNum>
  <w:abstractNum w:abstractNumId="44">
    <w:nsid w:val="38D633D3"/>
    <w:multiLevelType w:val="hybridMultilevel"/>
    <w:tmpl w:val="DD8CE7C4"/>
    <w:lvl w:ilvl="0" w:tplc="0409000F">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39320101"/>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39F66312"/>
    <w:multiLevelType w:val="multilevel"/>
    <w:tmpl w:val="D388B820"/>
    <w:lvl w:ilvl="0">
      <w:start w:val="1"/>
      <w:numFmt w:val="decimal"/>
      <w:lvlText w:val="%1."/>
      <w:lvlJc w:val="left"/>
      <w:pPr>
        <w:ind w:left="600" w:hanging="600"/>
      </w:pPr>
      <w:rPr>
        <w:rFonts w:hint="default"/>
      </w:rPr>
    </w:lvl>
    <w:lvl w:ilvl="1">
      <w:start w:val="1"/>
      <w:numFmt w:val="decimal"/>
      <w:lvlText w:val="2.%2"/>
      <w:lvlJc w:val="left"/>
      <w:pPr>
        <w:ind w:left="780" w:hanging="780"/>
      </w:pPr>
      <w:rPr>
        <w:rFonts w:hint="default"/>
        <w:b/>
        <w:i w:val="0"/>
      </w:rPr>
    </w:lvl>
    <w:lvl w:ilvl="2">
      <w:start w:val="1"/>
      <w:numFmt w:val="decimal"/>
      <w:lvlText w:val="%1.%2.%3"/>
      <w:lvlJc w:val="left"/>
      <w:pPr>
        <w:tabs>
          <w:tab w:val="num" w:pos="936"/>
        </w:tabs>
        <w:ind w:left="936" w:hanging="936"/>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7">
    <w:nsid w:val="3CE97B1C"/>
    <w:multiLevelType w:val="hybridMultilevel"/>
    <w:tmpl w:val="7082C3E0"/>
    <w:lvl w:ilvl="0" w:tplc="95A44CAC">
      <w:start w:val="1"/>
      <w:numFmt w:val="bullet"/>
      <w:lvlText w:val=""/>
      <w:lvlJc w:val="left"/>
      <w:pPr>
        <w:ind w:left="1170" w:hanging="360"/>
      </w:pPr>
      <w:rPr>
        <w:rFonts w:ascii="Symbol" w:hAnsi="Symbol" w:hint="default"/>
      </w:rPr>
    </w:lvl>
    <w:lvl w:ilvl="1" w:tplc="EF9CBFC2" w:tentative="1">
      <w:start w:val="1"/>
      <w:numFmt w:val="bullet"/>
      <w:lvlText w:val="o"/>
      <w:lvlJc w:val="left"/>
      <w:pPr>
        <w:ind w:left="1890" w:hanging="360"/>
      </w:pPr>
      <w:rPr>
        <w:rFonts w:ascii="Courier New" w:hAnsi="Courier New" w:cs="Courier New" w:hint="default"/>
      </w:rPr>
    </w:lvl>
    <w:lvl w:ilvl="2" w:tplc="23C49776" w:tentative="1">
      <w:start w:val="1"/>
      <w:numFmt w:val="bullet"/>
      <w:lvlText w:val=""/>
      <w:lvlJc w:val="left"/>
      <w:pPr>
        <w:ind w:left="2610" w:hanging="360"/>
      </w:pPr>
      <w:rPr>
        <w:rFonts w:ascii="Wingdings" w:hAnsi="Wingdings" w:hint="default"/>
      </w:rPr>
    </w:lvl>
    <w:lvl w:ilvl="3" w:tplc="F67217C8" w:tentative="1">
      <w:start w:val="1"/>
      <w:numFmt w:val="bullet"/>
      <w:lvlText w:val=""/>
      <w:lvlJc w:val="left"/>
      <w:pPr>
        <w:ind w:left="3330" w:hanging="360"/>
      </w:pPr>
      <w:rPr>
        <w:rFonts w:ascii="Symbol" w:hAnsi="Symbol" w:hint="default"/>
      </w:rPr>
    </w:lvl>
    <w:lvl w:ilvl="4" w:tplc="D7C64C6C" w:tentative="1">
      <w:start w:val="1"/>
      <w:numFmt w:val="bullet"/>
      <w:lvlText w:val="o"/>
      <w:lvlJc w:val="left"/>
      <w:pPr>
        <w:ind w:left="4050" w:hanging="360"/>
      </w:pPr>
      <w:rPr>
        <w:rFonts w:ascii="Courier New" w:hAnsi="Courier New" w:cs="Courier New" w:hint="default"/>
      </w:rPr>
    </w:lvl>
    <w:lvl w:ilvl="5" w:tplc="50F0810C" w:tentative="1">
      <w:start w:val="1"/>
      <w:numFmt w:val="bullet"/>
      <w:lvlText w:val=""/>
      <w:lvlJc w:val="left"/>
      <w:pPr>
        <w:ind w:left="4770" w:hanging="360"/>
      </w:pPr>
      <w:rPr>
        <w:rFonts w:ascii="Wingdings" w:hAnsi="Wingdings" w:hint="default"/>
      </w:rPr>
    </w:lvl>
    <w:lvl w:ilvl="6" w:tplc="4C92EAD4" w:tentative="1">
      <w:start w:val="1"/>
      <w:numFmt w:val="bullet"/>
      <w:lvlText w:val=""/>
      <w:lvlJc w:val="left"/>
      <w:pPr>
        <w:ind w:left="5490" w:hanging="360"/>
      </w:pPr>
      <w:rPr>
        <w:rFonts w:ascii="Symbol" w:hAnsi="Symbol" w:hint="default"/>
      </w:rPr>
    </w:lvl>
    <w:lvl w:ilvl="7" w:tplc="6568DC8E" w:tentative="1">
      <w:start w:val="1"/>
      <w:numFmt w:val="bullet"/>
      <w:lvlText w:val="o"/>
      <w:lvlJc w:val="left"/>
      <w:pPr>
        <w:ind w:left="6210" w:hanging="360"/>
      </w:pPr>
      <w:rPr>
        <w:rFonts w:ascii="Courier New" w:hAnsi="Courier New" w:cs="Courier New" w:hint="default"/>
      </w:rPr>
    </w:lvl>
    <w:lvl w:ilvl="8" w:tplc="C1DCC50C" w:tentative="1">
      <w:start w:val="1"/>
      <w:numFmt w:val="bullet"/>
      <w:lvlText w:val=""/>
      <w:lvlJc w:val="left"/>
      <w:pPr>
        <w:ind w:left="6930" w:hanging="360"/>
      </w:pPr>
      <w:rPr>
        <w:rFonts w:ascii="Wingdings" w:hAnsi="Wingdings" w:hint="default"/>
      </w:rPr>
    </w:lvl>
  </w:abstractNum>
  <w:abstractNum w:abstractNumId="48">
    <w:nsid w:val="3F3169C0"/>
    <w:multiLevelType w:val="hybridMultilevel"/>
    <w:tmpl w:val="49D2904E"/>
    <w:lvl w:ilvl="0" w:tplc="97E4A56C">
      <w:start w:val="1"/>
      <w:numFmt w:val="upperLetter"/>
      <w:lvlText w:val="%1)"/>
      <w:lvlJc w:val="left"/>
      <w:pPr>
        <w:ind w:left="360" w:hanging="360"/>
      </w:pPr>
      <w:rPr>
        <w:rFonts w:hint="default"/>
        <w:i w:val="0"/>
      </w:rPr>
    </w:lvl>
    <w:lvl w:ilvl="1" w:tplc="B644EB9A" w:tentative="1">
      <w:start w:val="1"/>
      <w:numFmt w:val="lowerLetter"/>
      <w:lvlText w:val="%2."/>
      <w:lvlJc w:val="left"/>
      <w:pPr>
        <w:ind w:left="1080" w:hanging="360"/>
      </w:pPr>
    </w:lvl>
    <w:lvl w:ilvl="2" w:tplc="16AAC114" w:tentative="1">
      <w:start w:val="1"/>
      <w:numFmt w:val="lowerRoman"/>
      <w:lvlText w:val="%3."/>
      <w:lvlJc w:val="right"/>
      <w:pPr>
        <w:ind w:left="1800" w:hanging="180"/>
      </w:pPr>
    </w:lvl>
    <w:lvl w:ilvl="3" w:tplc="A7EA513A" w:tentative="1">
      <w:start w:val="1"/>
      <w:numFmt w:val="decimal"/>
      <w:lvlText w:val="%4."/>
      <w:lvlJc w:val="left"/>
      <w:pPr>
        <w:ind w:left="2520" w:hanging="360"/>
      </w:pPr>
    </w:lvl>
    <w:lvl w:ilvl="4" w:tplc="9D009D94" w:tentative="1">
      <w:start w:val="1"/>
      <w:numFmt w:val="lowerLetter"/>
      <w:lvlText w:val="%5."/>
      <w:lvlJc w:val="left"/>
      <w:pPr>
        <w:ind w:left="3240" w:hanging="360"/>
      </w:pPr>
    </w:lvl>
    <w:lvl w:ilvl="5" w:tplc="9D845826" w:tentative="1">
      <w:start w:val="1"/>
      <w:numFmt w:val="lowerRoman"/>
      <w:lvlText w:val="%6."/>
      <w:lvlJc w:val="right"/>
      <w:pPr>
        <w:ind w:left="3960" w:hanging="180"/>
      </w:pPr>
    </w:lvl>
    <w:lvl w:ilvl="6" w:tplc="1110E990" w:tentative="1">
      <w:start w:val="1"/>
      <w:numFmt w:val="decimal"/>
      <w:lvlText w:val="%7."/>
      <w:lvlJc w:val="left"/>
      <w:pPr>
        <w:ind w:left="4680" w:hanging="360"/>
      </w:pPr>
    </w:lvl>
    <w:lvl w:ilvl="7" w:tplc="D27091BA" w:tentative="1">
      <w:start w:val="1"/>
      <w:numFmt w:val="lowerLetter"/>
      <w:lvlText w:val="%8."/>
      <w:lvlJc w:val="left"/>
      <w:pPr>
        <w:ind w:left="5400" w:hanging="360"/>
      </w:pPr>
    </w:lvl>
    <w:lvl w:ilvl="8" w:tplc="17989678" w:tentative="1">
      <w:start w:val="1"/>
      <w:numFmt w:val="lowerRoman"/>
      <w:lvlText w:val="%9."/>
      <w:lvlJc w:val="right"/>
      <w:pPr>
        <w:ind w:left="6120" w:hanging="180"/>
      </w:pPr>
    </w:lvl>
  </w:abstractNum>
  <w:abstractNum w:abstractNumId="49">
    <w:nsid w:val="404557F7"/>
    <w:multiLevelType w:val="hybridMultilevel"/>
    <w:tmpl w:val="49D2904E"/>
    <w:lvl w:ilvl="0" w:tplc="526C4FA0">
      <w:start w:val="1"/>
      <w:numFmt w:val="upperLetter"/>
      <w:lvlText w:val="%1)"/>
      <w:lvlJc w:val="left"/>
      <w:pPr>
        <w:ind w:left="360" w:hanging="360"/>
      </w:pPr>
      <w:rPr>
        <w:rFonts w:hint="default"/>
        <w:i w:val="0"/>
      </w:rPr>
    </w:lvl>
    <w:lvl w:ilvl="1" w:tplc="043271B8" w:tentative="1">
      <w:start w:val="1"/>
      <w:numFmt w:val="lowerLetter"/>
      <w:lvlText w:val="%2."/>
      <w:lvlJc w:val="left"/>
      <w:pPr>
        <w:ind w:left="1080" w:hanging="360"/>
      </w:pPr>
    </w:lvl>
    <w:lvl w:ilvl="2" w:tplc="23722400" w:tentative="1">
      <w:start w:val="1"/>
      <w:numFmt w:val="lowerRoman"/>
      <w:lvlText w:val="%3."/>
      <w:lvlJc w:val="right"/>
      <w:pPr>
        <w:ind w:left="1800" w:hanging="180"/>
      </w:pPr>
    </w:lvl>
    <w:lvl w:ilvl="3" w:tplc="76481808" w:tentative="1">
      <w:start w:val="1"/>
      <w:numFmt w:val="decimal"/>
      <w:lvlText w:val="%4."/>
      <w:lvlJc w:val="left"/>
      <w:pPr>
        <w:ind w:left="2520" w:hanging="360"/>
      </w:pPr>
    </w:lvl>
    <w:lvl w:ilvl="4" w:tplc="2F2C3250" w:tentative="1">
      <w:start w:val="1"/>
      <w:numFmt w:val="lowerLetter"/>
      <w:lvlText w:val="%5."/>
      <w:lvlJc w:val="left"/>
      <w:pPr>
        <w:ind w:left="3240" w:hanging="360"/>
      </w:pPr>
    </w:lvl>
    <w:lvl w:ilvl="5" w:tplc="9168ED0C" w:tentative="1">
      <w:start w:val="1"/>
      <w:numFmt w:val="lowerRoman"/>
      <w:lvlText w:val="%6."/>
      <w:lvlJc w:val="right"/>
      <w:pPr>
        <w:ind w:left="3960" w:hanging="180"/>
      </w:pPr>
    </w:lvl>
    <w:lvl w:ilvl="6" w:tplc="73389FEA" w:tentative="1">
      <w:start w:val="1"/>
      <w:numFmt w:val="decimal"/>
      <w:lvlText w:val="%7."/>
      <w:lvlJc w:val="left"/>
      <w:pPr>
        <w:ind w:left="4680" w:hanging="360"/>
      </w:pPr>
    </w:lvl>
    <w:lvl w:ilvl="7" w:tplc="41F0078A" w:tentative="1">
      <w:start w:val="1"/>
      <w:numFmt w:val="lowerLetter"/>
      <w:lvlText w:val="%8."/>
      <w:lvlJc w:val="left"/>
      <w:pPr>
        <w:ind w:left="5400" w:hanging="360"/>
      </w:pPr>
    </w:lvl>
    <w:lvl w:ilvl="8" w:tplc="8DB86B54" w:tentative="1">
      <w:start w:val="1"/>
      <w:numFmt w:val="lowerRoman"/>
      <w:lvlText w:val="%9."/>
      <w:lvlJc w:val="right"/>
      <w:pPr>
        <w:ind w:left="6120" w:hanging="180"/>
      </w:pPr>
    </w:lvl>
  </w:abstractNum>
  <w:abstractNum w:abstractNumId="50">
    <w:nsid w:val="449C49E6"/>
    <w:multiLevelType w:val="hybridMultilevel"/>
    <w:tmpl w:val="FB34B34C"/>
    <w:lvl w:ilvl="0" w:tplc="FAD0A96A">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1">
    <w:nsid w:val="46764E80"/>
    <w:multiLevelType w:val="hybridMultilevel"/>
    <w:tmpl w:val="138C58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nsid w:val="469A525D"/>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46B00F2D"/>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46C81EBF"/>
    <w:multiLevelType w:val="hybridMultilevel"/>
    <w:tmpl w:val="8B8E2D4C"/>
    <w:lvl w:ilvl="0" w:tplc="EAE4AA5E">
      <w:numFmt w:val="bullet"/>
      <w:lvlText w:val="•"/>
      <w:lvlJc w:val="left"/>
      <w:pPr>
        <w:ind w:left="1713" w:hanging="360"/>
      </w:pPr>
      <w:rPr>
        <w:rFonts w:ascii="Calibri" w:eastAsia="Times New Roman" w:hAnsi="Calibri" w:cs="Calibri" w:hint="default"/>
      </w:rPr>
    </w:lvl>
    <w:lvl w:ilvl="1" w:tplc="04090019" w:tentative="1">
      <w:start w:val="1"/>
      <w:numFmt w:val="bullet"/>
      <w:lvlText w:val="o"/>
      <w:lvlJc w:val="left"/>
      <w:pPr>
        <w:ind w:left="2433" w:hanging="360"/>
      </w:pPr>
      <w:rPr>
        <w:rFonts w:ascii="Courier New" w:hAnsi="Courier New" w:cs="Courier New" w:hint="default"/>
      </w:rPr>
    </w:lvl>
    <w:lvl w:ilvl="2" w:tplc="0409001B" w:tentative="1">
      <w:start w:val="1"/>
      <w:numFmt w:val="bullet"/>
      <w:lvlText w:val=""/>
      <w:lvlJc w:val="left"/>
      <w:pPr>
        <w:ind w:left="3153" w:hanging="360"/>
      </w:pPr>
      <w:rPr>
        <w:rFonts w:ascii="Wingdings" w:hAnsi="Wingdings" w:hint="default"/>
      </w:rPr>
    </w:lvl>
    <w:lvl w:ilvl="3" w:tplc="0409000F" w:tentative="1">
      <w:start w:val="1"/>
      <w:numFmt w:val="bullet"/>
      <w:lvlText w:val=""/>
      <w:lvlJc w:val="left"/>
      <w:pPr>
        <w:ind w:left="3873" w:hanging="360"/>
      </w:pPr>
      <w:rPr>
        <w:rFonts w:ascii="Symbol" w:hAnsi="Symbol" w:hint="default"/>
      </w:rPr>
    </w:lvl>
    <w:lvl w:ilvl="4" w:tplc="04090019" w:tentative="1">
      <w:start w:val="1"/>
      <w:numFmt w:val="bullet"/>
      <w:lvlText w:val="o"/>
      <w:lvlJc w:val="left"/>
      <w:pPr>
        <w:ind w:left="4593" w:hanging="360"/>
      </w:pPr>
      <w:rPr>
        <w:rFonts w:ascii="Courier New" w:hAnsi="Courier New" w:cs="Courier New" w:hint="default"/>
      </w:rPr>
    </w:lvl>
    <w:lvl w:ilvl="5" w:tplc="0409001B" w:tentative="1">
      <w:start w:val="1"/>
      <w:numFmt w:val="bullet"/>
      <w:lvlText w:val=""/>
      <w:lvlJc w:val="left"/>
      <w:pPr>
        <w:ind w:left="5313" w:hanging="360"/>
      </w:pPr>
      <w:rPr>
        <w:rFonts w:ascii="Wingdings" w:hAnsi="Wingdings" w:hint="default"/>
      </w:rPr>
    </w:lvl>
    <w:lvl w:ilvl="6" w:tplc="0409000F" w:tentative="1">
      <w:start w:val="1"/>
      <w:numFmt w:val="bullet"/>
      <w:lvlText w:val=""/>
      <w:lvlJc w:val="left"/>
      <w:pPr>
        <w:ind w:left="6033" w:hanging="360"/>
      </w:pPr>
      <w:rPr>
        <w:rFonts w:ascii="Symbol" w:hAnsi="Symbol" w:hint="default"/>
      </w:rPr>
    </w:lvl>
    <w:lvl w:ilvl="7" w:tplc="04090019" w:tentative="1">
      <w:start w:val="1"/>
      <w:numFmt w:val="bullet"/>
      <w:lvlText w:val="o"/>
      <w:lvlJc w:val="left"/>
      <w:pPr>
        <w:ind w:left="6753" w:hanging="360"/>
      </w:pPr>
      <w:rPr>
        <w:rFonts w:ascii="Courier New" w:hAnsi="Courier New" w:cs="Courier New" w:hint="default"/>
      </w:rPr>
    </w:lvl>
    <w:lvl w:ilvl="8" w:tplc="0409001B" w:tentative="1">
      <w:start w:val="1"/>
      <w:numFmt w:val="bullet"/>
      <w:lvlText w:val=""/>
      <w:lvlJc w:val="left"/>
      <w:pPr>
        <w:ind w:left="7473" w:hanging="360"/>
      </w:pPr>
      <w:rPr>
        <w:rFonts w:ascii="Wingdings" w:hAnsi="Wingdings" w:hint="default"/>
      </w:rPr>
    </w:lvl>
  </w:abstractNum>
  <w:abstractNum w:abstractNumId="55">
    <w:nsid w:val="46D51526"/>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56">
    <w:nsid w:val="495334D1"/>
    <w:multiLevelType w:val="hybridMultilevel"/>
    <w:tmpl w:val="E7E86E52"/>
    <w:lvl w:ilvl="0" w:tplc="EAE4AA5E">
      <w:start w:val="1"/>
      <w:numFmt w:val="bullet"/>
      <w:lvlText w:val=""/>
      <w:lvlJc w:val="left"/>
      <w:pPr>
        <w:ind w:left="1267" w:hanging="360"/>
      </w:pPr>
      <w:rPr>
        <w:rFonts w:ascii="Symbol" w:hAnsi="Symbol" w:hint="default"/>
      </w:rPr>
    </w:lvl>
    <w:lvl w:ilvl="1" w:tplc="04090019" w:tentative="1">
      <w:start w:val="1"/>
      <w:numFmt w:val="bullet"/>
      <w:lvlText w:val="o"/>
      <w:lvlJc w:val="left"/>
      <w:pPr>
        <w:ind w:left="1987" w:hanging="360"/>
      </w:pPr>
      <w:rPr>
        <w:rFonts w:ascii="Courier New" w:hAnsi="Courier New" w:cs="Courier New" w:hint="default"/>
      </w:rPr>
    </w:lvl>
    <w:lvl w:ilvl="2" w:tplc="0409001B" w:tentative="1">
      <w:start w:val="1"/>
      <w:numFmt w:val="bullet"/>
      <w:lvlText w:val=""/>
      <w:lvlJc w:val="left"/>
      <w:pPr>
        <w:ind w:left="2707" w:hanging="360"/>
      </w:pPr>
      <w:rPr>
        <w:rFonts w:ascii="Wingdings" w:hAnsi="Wingdings" w:hint="default"/>
      </w:rPr>
    </w:lvl>
    <w:lvl w:ilvl="3" w:tplc="0409000F" w:tentative="1">
      <w:start w:val="1"/>
      <w:numFmt w:val="bullet"/>
      <w:lvlText w:val=""/>
      <w:lvlJc w:val="left"/>
      <w:pPr>
        <w:ind w:left="3427" w:hanging="360"/>
      </w:pPr>
      <w:rPr>
        <w:rFonts w:ascii="Symbol" w:hAnsi="Symbol" w:hint="default"/>
      </w:rPr>
    </w:lvl>
    <w:lvl w:ilvl="4" w:tplc="04090019" w:tentative="1">
      <w:start w:val="1"/>
      <w:numFmt w:val="bullet"/>
      <w:lvlText w:val="o"/>
      <w:lvlJc w:val="left"/>
      <w:pPr>
        <w:ind w:left="4147" w:hanging="360"/>
      </w:pPr>
      <w:rPr>
        <w:rFonts w:ascii="Courier New" w:hAnsi="Courier New" w:cs="Courier New" w:hint="default"/>
      </w:rPr>
    </w:lvl>
    <w:lvl w:ilvl="5" w:tplc="0409001B" w:tentative="1">
      <w:start w:val="1"/>
      <w:numFmt w:val="bullet"/>
      <w:lvlText w:val=""/>
      <w:lvlJc w:val="left"/>
      <w:pPr>
        <w:ind w:left="4867" w:hanging="360"/>
      </w:pPr>
      <w:rPr>
        <w:rFonts w:ascii="Wingdings" w:hAnsi="Wingdings" w:hint="default"/>
      </w:rPr>
    </w:lvl>
    <w:lvl w:ilvl="6" w:tplc="0409000F" w:tentative="1">
      <w:start w:val="1"/>
      <w:numFmt w:val="bullet"/>
      <w:lvlText w:val=""/>
      <w:lvlJc w:val="left"/>
      <w:pPr>
        <w:ind w:left="5587" w:hanging="360"/>
      </w:pPr>
      <w:rPr>
        <w:rFonts w:ascii="Symbol" w:hAnsi="Symbol" w:hint="default"/>
      </w:rPr>
    </w:lvl>
    <w:lvl w:ilvl="7" w:tplc="04090019" w:tentative="1">
      <w:start w:val="1"/>
      <w:numFmt w:val="bullet"/>
      <w:lvlText w:val="o"/>
      <w:lvlJc w:val="left"/>
      <w:pPr>
        <w:ind w:left="6307" w:hanging="360"/>
      </w:pPr>
      <w:rPr>
        <w:rFonts w:ascii="Courier New" w:hAnsi="Courier New" w:cs="Courier New" w:hint="default"/>
      </w:rPr>
    </w:lvl>
    <w:lvl w:ilvl="8" w:tplc="0409001B" w:tentative="1">
      <w:start w:val="1"/>
      <w:numFmt w:val="bullet"/>
      <w:lvlText w:val=""/>
      <w:lvlJc w:val="left"/>
      <w:pPr>
        <w:ind w:left="7027" w:hanging="360"/>
      </w:pPr>
      <w:rPr>
        <w:rFonts w:ascii="Wingdings" w:hAnsi="Wingdings" w:hint="default"/>
      </w:rPr>
    </w:lvl>
  </w:abstractNum>
  <w:abstractNum w:abstractNumId="57">
    <w:nsid w:val="4A4D1FE8"/>
    <w:multiLevelType w:val="hybridMultilevel"/>
    <w:tmpl w:val="49D2904E"/>
    <w:lvl w:ilvl="0" w:tplc="A6A69DF0">
      <w:start w:val="1"/>
      <w:numFmt w:val="upperLetter"/>
      <w:lvlText w:val="%1)"/>
      <w:lvlJc w:val="left"/>
      <w:pPr>
        <w:ind w:left="360" w:hanging="360"/>
      </w:pPr>
      <w:rPr>
        <w:rFonts w:hint="default"/>
        <w:i w:val="0"/>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58">
    <w:nsid w:val="4AE57A48"/>
    <w:multiLevelType w:val="multilevel"/>
    <w:tmpl w:val="FA623B7E"/>
    <w:lvl w:ilvl="0">
      <w:start w:val="1"/>
      <w:numFmt w:val="lowerRoman"/>
      <w:lvlText w:val="%1."/>
      <w:lvlJc w:val="right"/>
      <w:pPr>
        <w:tabs>
          <w:tab w:val="num" w:pos="1080"/>
        </w:tabs>
        <w:ind w:left="108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nsid w:val="4B1953E8"/>
    <w:multiLevelType w:val="hybridMultilevel"/>
    <w:tmpl w:val="58E0FFE2"/>
    <w:lvl w:ilvl="0" w:tplc="788E74FC">
      <w:start w:val="2"/>
      <w:numFmt w:val="lowerLetter"/>
      <w:lvlText w:val="(%1)"/>
      <w:lvlJc w:val="left"/>
      <w:pPr>
        <w:tabs>
          <w:tab w:val="num" w:pos="900"/>
        </w:tabs>
        <w:ind w:left="900" w:hanging="360"/>
      </w:pPr>
      <w:rPr>
        <w:b/>
      </w:rPr>
    </w:lvl>
    <w:lvl w:ilvl="1" w:tplc="04090019">
      <w:start w:val="1"/>
      <w:numFmt w:val="lowerLetter"/>
      <w:lvlText w:val="%2."/>
      <w:lvlJc w:val="left"/>
      <w:pPr>
        <w:tabs>
          <w:tab w:val="num" w:pos="1620"/>
        </w:tabs>
        <w:ind w:left="1620" w:hanging="360"/>
      </w:pPr>
    </w:lvl>
    <w:lvl w:ilvl="2" w:tplc="0409001B">
      <w:start w:val="1"/>
      <w:numFmt w:val="lowerRoman"/>
      <w:lvlText w:val="%3."/>
      <w:lvlJc w:val="right"/>
      <w:pPr>
        <w:tabs>
          <w:tab w:val="num" w:pos="2340"/>
        </w:tabs>
        <w:ind w:left="2340" w:hanging="180"/>
      </w:pPr>
    </w:lvl>
    <w:lvl w:ilvl="3" w:tplc="0409000F">
      <w:start w:val="1"/>
      <w:numFmt w:val="decimal"/>
      <w:lvlText w:val="%4."/>
      <w:lvlJc w:val="left"/>
      <w:pPr>
        <w:tabs>
          <w:tab w:val="num" w:pos="3060"/>
        </w:tabs>
        <w:ind w:left="3060" w:hanging="360"/>
      </w:pPr>
    </w:lvl>
    <w:lvl w:ilvl="4" w:tplc="04090019">
      <w:start w:val="1"/>
      <w:numFmt w:val="lowerLetter"/>
      <w:lvlText w:val="%5."/>
      <w:lvlJc w:val="left"/>
      <w:pPr>
        <w:tabs>
          <w:tab w:val="num" w:pos="3780"/>
        </w:tabs>
        <w:ind w:left="3780" w:hanging="360"/>
      </w:pPr>
    </w:lvl>
    <w:lvl w:ilvl="5" w:tplc="0409001B">
      <w:start w:val="1"/>
      <w:numFmt w:val="lowerRoman"/>
      <w:lvlText w:val="%6."/>
      <w:lvlJc w:val="right"/>
      <w:pPr>
        <w:tabs>
          <w:tab w:val="num" w:pos="4500"/>
        </w:tabs>
        <w:ind w:left="4500" w:hanging="180"/>
      </w:pPr>
    </w:lvl>
    <w:lvl w:ilvl="6" w:tplc="0409000F">
      <w:start w:val="1"/>
      <w:numFmt w:val="decimal"/>
      <w:lvlText w:val="%7."/>
      <w:lvlJc w:val="left"/>
      <w:pPr>
        <w:tabs>
          <w:tab w:val="num" w:pos="5220"/>
        </w:tabs>
        <w:ind w:left="5220" w:hanging="360"/>
      </w:pPr>
    </w:lvl>
    <w:lvl w:ilvl="7" w:tplc="04090019">
      <w:start w:val="1"/>
      <w:numFmt w:val="lowerLetter"/>
      <w:lvlText w:val="%8."/>
      <w:lvlJc w:val="left"/>
      <w:pPr>
        <w:tabs>
          <w:tab w:val="num" w:pos="5940"/>
        </w:tabs>
        <w:ind w:left="5940" w:hanging="360"/>
      </w:pPr>
    </w:lvl>
    <w:lvl w:ilvl="8" w:tplc="0409001B">
      <w:start w:val="1"/>
      <w:numFmt w:val="lowerRoman"/>
      <w:lvlText w:val="%9."/>
      <w:lvlJc w:val="right"/>
      <w:pPr>
        <w:tabs>
          <w:tab w:val="num" w:pos="6660"/>
        </w:tabs>
        <w:ind w:left="6660" w:hanging="180"/>
      </w:pPr>
    </w:lvl>
  </w:abstractNum>
  <w:abstractNum w:abstractNumId="60">
    <w:nsid w:val="4CA6305E"/>
    <w:multiLevelType w:val="hybridMultilevel"/>
    <w:tmpl w:val="3C3E82DE"/>
    <w:lvl w:ilvl="0" w:tplc="F76C9F1A">
      <w:start w:val="1"/>
      <w:numFmt w:val="decimal"/>
      <w:lvlText w:val="%1."/>
      <w:lvlJc w:val="left"/>
      <w:pPr>
        <w:tabs>
          <w:tab w:val="num" w:pos="360"/>
        </w:tabs>
        <w:ind w:left="360" w:hanging="360"/>
      </w:pPr>
      <w:rPr>
        <w:rFonts w:asciiTheme="minorHAnsi" w:hAnsiTheme="minorHAnsi" w:cs="Times New Roman" w:hint="default"/>
        <w:b/>
        <w:i w:val="0"/>
        <w:sz w:val="22"/>
      </w:rPr>
    </w:lvl>
    <w:lvl w:ilvl="1" w:tplc="A942F748">
      <w:start w:val="2"/>
      <w:numFmt w:val="lowerRoman"/>
      <w:lvlText w:val="(%2)"/>
      <w:lvlJc w:val="left"/>
      <w:pPr>
        <w:tabs>
          <w:tab w:val="num" w:pos="1800"/>
        </w:tabs>
        <w:ind w:left="1800" w:hanging="720"/>
      </w:pPr>
      <w:rPr>
        <w:b/>
        <w:i w:val="0"/>
        <w:sz w:val="22"/>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1">
    <w:nsid w:val="4CA93EFA"/>
    <w:multiLevelType w:val="hybridMultilevel"/>
    <w:tmpl w:val="3B38405C"/>
    <w:lvl w:ilvl="0" w:tplc="25660F8E">
      <w:start w:val="1"/>
      <w:numFmt w:val="lowerLetter"/>
      <w:lvlText w:val="%1)"/>
      <w:lvlJc w:val="left"/>
      <w:pPr>
        <w:ind w:left="720" w:hanging="360"/>
      </w:pPr>
      <w:rPr>
        <w:rFonts w:hint="default"/>
      </w:rPr>
    </w:lvl>
    <w:lvl w:ilvl="1" w:tplc="0A2C7AC6">
      <w:start w:val="1"/>
      <w:numFmt w:val="lowerLetter"/>
      <w:lvlText w:val="%2."/>
      <w:lvlJc w:val="left"/>
      <w:pPr>
        <w:ind w:left="1800" w:hanging="720"/>
      </w:pPr>
      <w:rPr>
        <w:rFonts w:hint="default"/>
      </w:rPr>
    </w:lvl>
    <w:lvl w:ilvl="2" w:tplc="8E3880CC" w:tentative="1">
      <w:start w:val="1"/>
      <w:numFmt w:val="lowerRoman"/>
      <w:lvlText w:val="%3."/>
      <w:lvlJc w:val="right"/>
      <w:pPr>
        <w:ind w:left="2160" w:hanging="180"/>
      </w:pPr>
    </w:lvl>
    <w:lvl w:ilvl="3" w:tplc="7B40C75C" w:tentative="1">
      <w:start w:val="1"/>
      <w:numFmt w:val="decimal"/>
      <w:lvlText w:val="%4."/>
      <w:lvlJc w:val="left"/>
      <w:pPr>
        <w:ind w:left="2880" w:hanging="360"/>
      </w:pPr>
    </w:lvl>
    <w:lvl w:ilvl="4" w:tplc="BD723760" w:tentative="1">
      <w:start w:val="1"/>
      <w:numFmt w:val="lowerLetter"/>
      <w:lvlText w:val="%5."/>
      <w:lvlJc w:val="left"/>
      <w:pPr>
        <w:ind w:left="3600" w:hanging="360"/>
      </w:pPr>
    </w:lvl>
    <w:lvl w:ilvl="5" w:tplc="DE342D40" w:tentative="1">
      <w:start w:val="1"/>
      <w:numFmt w:val="lowerRoman"/>
      <w:lvlText w:val="%6."/>
      <w:lvlJc w:val="right"/>
      <w:pPr>
        <w:ind w:left="4320" w:hanging="180"/>
      </w:pPr>
    </w:lvl>
    <w:lvl w:ilvl="6" w:tplc="6C402AD6" w:tentative="1">
      <w:start w:val="1"/>
      <w:numFmt w:val="decimal"/>
      <w:lvlText w:val="%7."/>
      <w:lvlJc w:val="left"/>
      <w:pPr>
        <w:ind w:left="5040" w:hanging="360"/>
      </w:pPr>
    </w:lvl>
    <w:lvl w:ilvl="7" w:tplc="CD4EDA82" w:tentative="1">
      <w:start w:val="1"/>
      <w:numFmt w:val="lowerLetter"/>
      <w:lvlText w:val="%8."/>
      <w:lvlJc w:val="left"/>
      <w:pPr>
        <w:ind w:left="5760" w:hanging="360"/>
      </w:pPr>
    </w:lvl>
    <w:lvl w:ilvl="8" w:tplc="399C9416" w:tentative="1">
      <w:start w:val="1"/>
      <w:numFmt w:val="lowerRoman"/>
      <w:lvlText w:val="%9."/>
      <w:lvlJc w:val="right"/>
      <w:pPr>
        <w:ind w:left="6480" w:hanging="180"/>
      </w:pPr>
    </w:lvl>
  </w:abstractNum>
  <w:abstractNum w:abstractNumId="62">
    <w:nsid w:val="4E455FCB"/>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51933403"/>
    <w:multiLevelType w:val="hybridMultilevel"/>
    <w:tmpl w:val="855C7B44"/>
    <w:lvl w:ilvl="0" w:tplc="04090017">
      <w:start w:val="1"/>
      <w:numFmt w:val="upperLetter"/>
      <w:lvlText w:val="%1)"/>
      <w:lvlJc w:val="left"/>
      <w:pPr>
        <w:ind w:left="360" w:hanging="360"/>
      </w:pPr>
      <w:rPr>
        <w:rFonts w:hint="default"/>
        <w:i w:val="0"/>
      </w:rPr>
    </w:lvl>
    <w:lvl w:ilvl="1" w:tplc="822A0598"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519B62A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51FE3888"/>
    <w:multiLevelType w:val="hybridMultilevel"/>
    <w:tmpl w:val="0DA27FA4"/>
    <w:lvl w:ilvl="0" w:tplc="3146C3B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6">
    <w:nsid w:val="573E1CCA"/>
    <w:multiLevelType w:val="hybridMultilevel"/>
    <w:tmpl w:val="57A274E8"/>
    <w:lvl w:ilvl="0" w:tplc="EAE4AA5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7">
    <w:nsid w:val="58853324"/>
    <w:multiLevelType w:val="hybridMultilevel"/>
    <w:tmpl w:val="68CCE232"/>
    <w:lvl w:ilvl="0" w:tplc="EAE4AA5E">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8">
    <w:nsid w:val="58DE7DAE"/>
    <w:multiLevelType w:val="hybridMultilevel"/>
    <w:tmpl w:val="855C7B44"/>
    <w:lvl w:ilvl="0" w:tplc="04090001">
      <w:start w:val="1"/>
      <w:numFmt w:val="upperLetter"/>
      <w:lvlText w:val="%1)"/>
      <w:lvlJc w:val="left"/>
      <w:pPr>
        <w:ind w:left="360" w:hanging="360"/>
      </w:pPr>
      <w:rPr>
        <w:rFonts w:hint="default"/>
        <w:i w:val="0"/>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69">
    <w:nsid w:val="5B231AF7"/>
    <w:multiLevelType w:val="hybridMultilevel"/>
    <w:tmpl w:val="D8D4CD28"/>
    <w:lvl w:ilvl="0" w:tplc="B8B467CA">
      <w:start w:val="1"/>
      <w:numFmt w:val="lowerRoman"/>
      <w:lvlText w:val="(%1)"/>
      <w:lvlJc w:val="left"/>
      <w:pPr>
        <w:tabs>
          <w:tab w:val="num" w:pos="1080"/>
        </w:tabs>
        <w:ind w:left="1080" w:hanging="72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0">
    <w:nsid w:val="5B3A7A5C"/>
    <w:multiLevelType w:val="hybridMultilevel"/>
    <w:tmpl w:val="49D2904E"/>
    <w:lvl w:ilvl="0" w:tplc="0409001B">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5C557E0D"/>
    <w:multiLevelType w:val="hybridMultilevel"/>
    <w:tmpl w:val="12801FB6"/>
    <w:lvl w:ilvl="0" w:tplc="EAE4AA5E">
      <w:start w:val="1"/>
      <w:numFmt w:val="bullet"/>
      <w:lvlText w:val=""/>
      <w:lvlJc w:val="left"/>
      <w:pPr>
        <w:ind w:left="1800" w:hanging="360"/>
      </w:pPr>
      <w:rPr>
        <w:rFonts w:ascii="Wingdings" w:hAnsi="Wingdings" w:hint="default"/>
      </w:rPr>
    </w:lvl>
    <w:lvl w:ilvl="1" w:tplc="04090019">
      <w:start w:val="1"/>
      <w:numFmt w:val="bullet"/>
      <w:lvlText w:val="o"/>
      <w:lvlJc w:val="left"/>
      <w:pPr>
        <w:ind w:left="2520" w:hanging="360"/>
      </w:pPr>
      <w:rPr>
        <w:rFonts w:ascii="Courier New" w:hAnsi="Courier New" w:cs="Courier New" w:hint="default"/>
      </w:rPr>
    </w:lvl>
    <w:lvl w:ilvl="2" w:tplc="0409001B">
      <w:start w:val="1"/>
      <w:numFmt w:val="bullet"/>
      <w:lvlText w:val=""/>
      <w:lvlJc w:val="left"/>
      <w:pPr>
        <w:ind w:left="3240" w:hanging="360"/>
      </w:pPr>
      <w:rPr>
        <w:rFonts w:ascii="Wingdings" w:hAnsi="Wingdings" w:hint="default"/>
      </w:rPr>
    </w:lvl>
    <w:lvl w:ilvl="3" w:tplc="0409000F">
      <w:start w:val="1"/>
      <w:numFmt w:val="bullet"/>
      <w:lvlText w:val=""/>
      <w:lvlJc w:val="left"/>
      <w:pPr>
        <w:ind w:left="3960" w:hanging="360"/>
      </w:pPr>
      <w:rPr>
        <w:rFonts w:ascii="Symbol" w:hAnsi="Symbol" w:hint="default"/>
      </w:rPr>
    </w:lvl>
    <w:lvl w:ilvl="4" w:tplc="04090019">
      <w:start w:val="1"/>
      <w:numFmt w:val="bullet"/>
      <w:lvlText w:val="o"/>
      <w:lvlJc w:val="left"/>
      <w:pPr>
        <w:ind w:left="4680" w:hanging="360"/>
      </w:pPr>
      <w:rPr>
        <w:rFonts w:ascii="Courier New" w:hAnsi="Courier New" w:cs="Courier New" w:hint="default"/>
      </w:rPr>
    </w:lvl>
    <w:lvl w:ilvl="5" w:tplc="0409001B">
      <w:start w:val="1"/>
      <w:numFmt w:val="bullet"/>
      <w:lvlText w:val=""/>
      <w:lvlJc w:val="left"/>
      <w:pPr>
        <w:ind w:left="5400" w:hanging="360"/>
      </w:pPr>
      <w:rPr>
        <w:rFonts w:ascii="Wingdings" w:hAnsi="Wingdings" w:hint="default"/>
      </w:rPr>
    </w:lvl>
    <w:lvl w:ilvl="6" w:tplc="0409000F">
      <w:start w:val="1"/>
      <w:numFmt w:val="bullet"/>
      <w:lvlText w:val=""/>
      <w:lvlJc w:val="left"/>
      <w:pPr>
        <w:ind w:left="6120" w:hanging="360"/>
      </w:pPr>
      <w:rPr>
        <w:rFonts w:ascii="Symbol" w:hAnsi="Symbol" w:hint="default"/>
      </w:rPr>
    </w:lvl>
    <w:lvl w:ilvl="7" w:tplc="04090019">
      <w:start w:val="1"/>
      <w:numFmt w:val="bullet"/>
      <w:lvlText w:val="o"/>
      <w:lvlJc w:val="left"/>
      <w:pPr>
        <w:ind w:left="6840" w:hanging="360"/>
      </w:pPr>
      <w:rPr>
        <w:rFonts w:ascii="Courier New" w:hAnsi="Courier New" w:cs="Courier New" w:hint="default"/>
      </w:rPr>
    </w:lvl>
    <w:lvl w:ilvl="8" w:tplc="0409001B">
      <w:start w:val="1"/>
      <w:numFmt w:val="bullet"/>
      <w:lvlText w:val=""/>
      <w:lvlJc w:val="left"/>
      <w:pPr>
        <w:ind w:left="7560" w:hanging="360"/>
      </w:pPr>
      <w:rPr>
        <w:rFonts w:ascii="Wingdings" w:hAnsi="Wingdings" w:hint="default"/>
      </w:rPr>
    </w:lvl>
  </w:abstractNum>
  <w:abstractNum w:abstractNumId="72">
    <w:nsid w:val="5E0C431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5F5F1AC6"/>
    <w:multiLevelType w:val="hybridMultilevel"/>
    <w:tmpl w:val="AB789F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nsid w:val="61F41CD1"/>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nsid w:val="62227B15"/>
    <w:multiLevelType w:val="singleLevel"/>
    <w:tmpl w:val="3A7652D8"/>
    <w:lvl w:ilvl="0">
      <w:start w:val="1"/>
      <w:numFmt w:val="decimal"/>
      <w:lvlText w:val="%1."/>
      <w:lvlJc w:val="left"/>
      <w:pPr>
        <w:tabs>
          <w:tab w:val="num" w:pos="360"/>
        </w:tabs>
        <w:ind w:left="360" w:hanging="360"/>
      </w:pPr>
      <w:rPr>
        <w:rFonts w:asciiTheme="minorHAnsi" w:hAnsiTheme="minorHAnsi" w:cs="Times New Roman" w:hint="default"/>
        <w:b/>
        <w:i w:val="0"/>
        <w:sz w:val="24"/>
        <w:szCs w:val="24"/>
      </w:rPr>
    </w:lvl>
  </w:abstractNum>
  <w:abstractNum w:abstractNumId="76">
    <w:nsid w:val="643F1D96"/>
    <w:multiLevelType w:val="hybridMultilevel"/>
    <w:tmpl w:val="8BBE9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65DC76A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nsid w:val="66213EFB"/>
    <w:multiLevelType w:val="hybridMultilevel"/>
    <w:tmpl w:val="DD9A1326"/>
    <w:lvl w:ilvl="0" w:tplc="04090001">
      <w:start w:val="1"/>
      <w:numFmt w:val="decimal"/>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79">
    <w:nsid w:val="66F2163A"/>
    <w:multiLevelType w:val="hybridMultilevel"/>
    <w:tmpl w:val="77D820C4"/>
    <w:lvl w:ilvl="0" w:tplc="5FA8340E">
      <w:start w:val="1"/>
      <w:numFmt w:val="lowerRoman"/>
      <w:lvlText w:val="(%1)"/>
      <w:lvlJc w:val="left"/>
      <w:pPr>
        <w:tabs>
          <w:tab w:val="num" w:pos="1080"/>
        </w:tabs>
        <w:ind w:left="1080" w:hanging="720"/>
      </w:pPr>
      <w:rPr>
        <w:rFonts w:ascii="Calibri" w:hAnsi="Calibri" w:cs="Times New Roman" w:hint="default"/>
        <w:b w:val="0"/>
      </w:rPr>
    </w:lvl>
    <w:lvl w:ilvl="1" w:tplc="234474BA">
      <w:start w:val="1"/>
      <w:numFmt w:val="decimal"/>
      <w:lvlText w:val="(%2)"/>
      <w:lvlJc w:val="left"/>
      <w:pPr>
        <w:ind w:left="1800" w:hanging="72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0">
    <w:nsid w:val="675E4B9C"/>
    <w:multiLevelType w:val="hybridMultilevel"/>
    <w:tmpl w:val="DDA47B4C"/>
    <w:lvl w:ilvl="0" w:tplc="66705BA4">
      <w:start w:val="1"/>
      <w:numFmt w:val="bullet"/>
      <w:lvlText w:val=""/>
      <w:lvlJc w:val="left"/>
      <w:pPr>
        <w:ind w:left="2160" w:hanging="360"/>
      </w:pPr>
      <w:rPr>
        <w:rFonts w:ascii="Symbol" w:hAnsi="Symbol" w:hint="default"/>
      </w:rPr>
    </w:lvl>
    <w:lvl w:ilvl="1" w:tplc="1C08C51A" w:tentative="1">
      <w:start w:val="1"/>
      <w:numFmt w:val="bullet"/>
      <w:lvlText w:val="o"/>
      <w:lvlJc w:val="left"/>
      <w:pPr>
        <w:ind w:left="2880" w:hanging="360"/>
      </w:pPr>
      <w:rPr>
        <w:rFonts w:ascii="Courier New" w:hAnsi="Courier New" w:cs="Courier New" w:hint="default"/>
      </w:rPr>
    </w:lvl>
    <w:lvl w:ilvl="2" w:tplc="1422D03C" w:tentative="1">
      <w:start w:val="1"/>
      <w:numFmt w:val="bullet"/>
      <w:lvlText w:val=""/>
      <w:lvlJc w:val="left"/>
      <w:pPr>
        <w:ind w:left="3600" w:hanging="360"/>
      </w:pPr>
      <w:rPr>
        <w:rFonts w:ascii="Wingdings" w:hAnsi="Wingdings" w:hint="default"/>
      </w:rPr>
    </w:lvl>
    <w:lvl w:ilvl="3" w:tplc="40A460CE" w:tentative="1">
      <w:start w:val="1"/>
      <w:numFmt w:val="bullet"/>
      <w:lvlText w:val=""/>
      <w:lvlJc w:val="left"/>
      <w:pPr>
        <w:ind w:left="4320" w:hanging="360"/>
      </w:pPr>
      <w:rPr>
        <w:rFonts w:ascii="Symbol" w:hAnsi="Symbol" w:hint="default"/>
      </w:rPr>
    </w:lvl>
    <w:lvl w:ilvl="4" w:tplc="3320E206" w:tentative="1">
      <w:start w:val="1"/>
      <w:numFmt w:val="bullet"/>
      <w:lvlText w:val="o"/>
      <w:lvlJc w:val="left"/>
      <w:pPr>
        <w:ind w:left="5040" w:hanging="360"/>
      </w:pPr>
      <w:rPr>
        <w:rFonts w:ascii="Courier New" w:hAnsi="Courier New" w:cs="Courier New" w:hint="default"/>
      </w:rPr>
    </w:lvl>
    <w:lvl w:ilvl="5" w:tplc="ADAC1302" w:tentative="1">
      <w:start w:val="1"/>
      <w:numFmt w:val="bullet"/>
      <w:lvlText w:val=""/>
      <w:lvlJc w:val="left"/>
      <w:pPr>
        <w:ind w:left="5760" w:hanging="360"/>
      </w:pPr>
      <w:rPr>
        <w:rFonts w:ascii="Wingdings" w:hAnsi="Wingdings" w:hint="default"/>
      </w:rPr>
    </w:lvl>
    <w:lvl w:ilvl="6" w:tplc="78E2F8D6" w:tentative="1">
      <w:start w:val="1"/>
      <w:numFmt w:val="bullet"/>
      <w:lvlText w:val=""/>
      <w:lvlJc w:val="left"/>
      <w:pPr>
        <w:ind w:left="6480" w:hanging="360"/>
      </w:pPr>
      <w:rPr>
        <w:rFonts w:ascii="Symbol" w:hAnsi="Symbol" w:hint="default"/>
      </w:rPr>
    </w:lvl>
    <w:lvl w:ilvl="7" w:tplc="AE2AF5B8" w:tentative="1">
      <w:start w:val="1"/>
      <w:numFmt w:val="bullet"/>
      <w:lvlText w:val="o"/>
      <w:lvlJc w:val="left"/>
      <w:pPr>
        <w:ind w:left="7200" w:hanging="360"/>
      </w:pPr>
      <w:rPr>
        <w:rFonts w:ascii="Courier New" w:hAnsi="Courier New" w:cs="Courier New" w:hint="default"/>
      </w:rPr>
    </w:lvl>
    <w:lvl w:ilvl="8" w:tplc="1546A30E" w:tentative="1">
      <w:start w:val="1"/>
      <w:numFmt w:val="bullet"/>
      <w:lvlText w:val=""/>
      <w:lvlJc w:val="left"/>
      <w:pPr>
        <w:ind w:left="7920" w:hanging="360"/>
      </w:pPr>
      <w:rPr>
        <w:rFonts w:ascii="Wingdings" w:hAnsi="Wingdings" w:hint="default"/>
      </w:rPr>
    </w:lvl>
  </w:abstractNum>
  <w:abstractNum w:abstractNumId="81">
    <w:nsid w:val="68432FA1"/>
    <w:multiLevelType w:val="hybridMultilevel"/>
    <w:tmpl w:val="ECC8420C"/>
    <w:lvl w:ilvl="0" w:tplc="9F065854">
      <w:start w:val="1"/>
      <w:numFmt w:val="lowerRoman"/>
      <w:lvlText w:val="%1)"/>
      <w:lvlJc w:val="left"/>
      <w:pPr>
        <w:tabs>
          <w:tab w:val="num" w:pos="1080"/>
        </w:tabs>
        <w:ind w:left="1080" w:hanging="72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2">
    <w:nsid w:val="68462518"/>
    <w:multiLevelType w:val="hybridMultilevel"/>
    <w:tmpl w:val="69EE378A"/>
    <w:lvl w:ilvl="0" w:tplc="FFFFFFFF">
      <w:start w:val="1"/>
      <w:numFmt w:val="lowerLetter"/>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83">
    <w:nsid w:val="68B77C7A"/>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84">
    <w:nsid w:val="699D0764"/>
    <w:multiLevelType w:val="hybridMultilevel"/>
    <w:tmpl w:val="88A804B6"/>
    <w:lvl w:ilvl="0" w:tplc="B8B467CA">
      <w:start w:val="1"/>
      <w:numFmt w:val="lowerLetter"/>
      <w:lvlText w:val="%1."/>
      <w:lvlJc w:val="left"/>
      <w:pPr>
        <w:ind w:left="180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6A8833B2"/>
    <w:multiLevelType w:val="hybridMultilevel"/>
    <w:tmpl w:val="C4823D0E"/>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nsid w:val="6B434040"/>
    <w:multiLevelType w:val="hybridMultilevel"/>
    <w:tmpl w:val="855C7B44"/>
    <w:lvl w:ilvl="0" w:tplc="0409000F">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6BD06356"/>
    <w:multiLevelType w:val="hybridMultilevel"/>
    <w:tmpl w:val="60A639EA"/>
    <w:lvl w:ilvl="0" w:tplc="8760EA9A">
      <w:start w:val="1"/>
      <w:numFmt w:val="bullet"/>
      <w:lvlText w:val=""/>
      <w:lvlJc w:val="left"/>
      <w:pPr>
        <w:ind w:left="720" w:hanging="360"/>
      </w:pPr>
      <w:rPr>
        <w:rFonts w:ascii="Symbol" w:hAnsi="Symbol" w:hint="default"/>
      </w:rPr>
    </w:lvl>
    <w:lvl w:ilvl="1" w:tplc="B88439CA" w:tentative="1">
      <w:start w:val="1"/>
      <w:numFmt w:val="bullet"/>
      <w:lvlText w:val="o"/>
      <w:lvlJc w:val="left"/>
      <w:pPr>
        <w:ind w:left="1440" w:hanging="360"/>
      </w:pPr>
      <w:rPr>
        <w:rFonts w:ascii="Courier New" w:hAnsi="Courier New" w:cs="Courier New" w:hint="default"/>
      </w:rPr>
    </w:lvl>
    <w:lvl w:ilvl="2" w:tplc="7592D1DC" w:tentative="1">
      <w:start w:val="1"/>
      <w:numFmt w:val="bullet"/>
      <w:lvlText w:val=""/>
      <w:lvlJc w:val="left"/>
      <w:pPr>
        <w:ind w:left="2160" w:hanging="360"/>
      </w:pPr>
      <w:rPr>
        <w:rFonts w:ascii="Wingdings" w:hAnsi="Wingdings" w:hint="default"/>
      </w:rPr>
    </w:lvl>
    <w:lvl w:ilvl="3" w:tplc="9E6AF1F6" w:tentative="1">
      <w:start w:val="1"/>
      <w:numFmt w:val="bullet"/>
      <w:lvlText w:val=""/>
      <w:lvlJc w:val="left"/>
      <w:pPr>
        <w:ind w:left="2880" w:hanging="360"/>
      </w:pPr>
      <w:rPr>
        <w:rFonts w:ascii="Symbol" w:hAnsi="Symbol" w:hint="default"/>
      </w:rPr>
    </w:lvl>
    <w:lvl w:ilvl="4" w:tplc="085277AE" w:tentative="1">
      <w:start w:val="1"/>
      <w:numFmt w:val="bullet"/>
      <w:lvlText w:val="o"/>
      <w:lvlJc w:val="left"/>
      <w:pPr>
        <w:ind w:left="3600" w:hanging="360"/>
      </w:pPr>
      <w:rPr>
        <w:rFonts w:ascii="Courier New" w:hAnsi="Courier New" w:cs="Courier New" w:hint="default"/>
      </w:rPr>
    </w:lvl>
    <w:lvl w:ilvl="5" w:tplc="A8E4E018" w:tentative="1">
      <w:start w:val="1"/>
      <w:numFmt w:val="bullet"/>
      <w:lvlText w:val=""/>
      <w:lvlJc w:val="left"/>
      <w:pPr>
        <w:ind w:left="4320" w:hanging="360"/>
      </w:pPr>
      <w:rPr>
        <w:rFonts w:ascii="Wingdings" w:hAnsi="Wingdings" w:hint="default"/>
      </w:rPr>
    </w:lvl>
    <w:lvl w:ilvl="6" w:tplc="9DD464B4" w:tentative="1">
      <w:start w:val="1"/>
      <w:numFmt w:val="bullet"/>
      <w:lvlText w:val=""/>
      <w:lvlJc w:val="left"/>
      <w:pPr>
        <w:ind w:left="5040" w:hanging="360"/>
      </w:pPr>
      <w:rPr>
        <w:rFonts w:ascii="Symbol" w:hAnsi="Symbol" w:hint="default"/>
      </w:rPr>
    </w:lvl>
    <w:lvl w:ilvl="7" w:tplc="DB86588C" w:tentative="1">
      <w:start w:val="1"/>
      <w:numFmt w:val="bullet"/>
      <w:lvlText w:val="o"/>
      <w:lvlJc w:val="left"/>
      <w:pPr>
        <w:ind w:left="5760" w:hanging="360"/>
      </w:pPr>
      <w:rPr>
        <w:rFonts w:ascii="Courier New" w:hAnsi="Courier New" w:cs="Courier New" w:hint="default"/>
      </w:rPr>
    </w:lvl>
    <w:lvl w:ilvl="8" w:tplc="456A876E" w:tentative="1">
      <w:start w:val="1"/>
      <w:numFmt w:val="bullet"/>
      <w:lvlText w:val=""/>
      <w:lvlJc w:val="left"/>
      <w:pPr>
        <w:ind w:left="6480" w:hanging="360"/>
      </w:pPr>
      <w:rPr>
        <w:rFonts w:ascii="Wingdings" w:hAnsi="Wingdings" w:hint="default"/>
      </w:rPr>
    </w:lvl>
  </w:abstractNum>
  <w:abstractNum w:abstractNumId="88">
    <w:nsid w:val="6C1B137B"/>
    <w:multiLevelType w:val="hybridMultilevel"/>
    <w:tmpl w:val="49D2904E"/>
    <w:lvl w:ilvl="0" w:tplc="B16E790E">
      <w:start w:val="1"/>
      <w:numFmt w:val="upperLetter"/>
      <w:lvlText w:val="%1)"/>
      <w:lvlJc w:val="left"/>
      <w:pPr>
        <w:ind w:left="360" w:hanging="360"/>
      </w:pPr>
      <w:rPr>
        <w:rFonts w:hint="default"/>
        <w:i w:val="0"/>
      </w:rPr>
    </w:lvl>
    <w:lvl w:ilvl="1" w:tplc="90CED5E4" w:tentative="1">
      <w:start w:val="1"/>
      <w:numFmt w:val="lowerLetter"/>
      <w:lvlText w:val="%2."/>
      <w:lvlJc w:val="left"/>
      <w:pPr>
        <w:ind w:left="1080" w:hanging="360"/>
      </w:pPr>
    </w:lvl>
    <w:lvl w:ilvl="2" w:tplc="03F898B6" w:tentative="1">
      <w:start w:val="1"/>
      <w:numFmt w:val="lowerRoman"/>
      <w:lvlText w:val="%3."/>
      <w:lvlJc w:val="right"/>
      <w:pPr>
        <w:ind w:left="1800" w:hanging="180"/>
      </w:pPr>
    </w:lvl>
    <w:lvl w:ilvl="3" w:tplc="1F4604B4" w:tentative="1">
      <w:start w:val="1"/>
      <w:numFmt w:val="decimal"/>
      <w:lvlText w:val="%4."/>
      <w:lvlJc w:val="left"/>
      <w:pPr>
        <w:ind w:left="2520" w:hanging="360"/>
      </w:pPr>
    </w:lvl>
    <w:lvl w:ilvl="4" w:tplc="B2749DF8" w:tentative="1">
      <w:start w:val="1"/>
      <w:numFmt w:val="lowerLetter"/>
      <w:lvlText w:val="%5."/>
      <w:lvlJc w:val="left"/>
      <w:pPr>
        <w:ind w:left="3240" w:hanging="360"/>
      </w:pPr>
    </w:lvl>
    <w:lvl w:ilvl="5" w:tplc="CA7ED812" w:tentative="1">
      <w:start w:val="1"/>
      <w:numFmt w:val="lowerRoman"/>
      <w:lvlText w:val="%6."/>
      <w:lvlJc w:val="right"/>
      <w:pPr>
        <w:ind w:left="3960" w:hanging="180"/>
      </w:pPr>
    </w:lvl>
    <w:lvl w:ilvl="6" w:tplc="C624FC8E" w:tentative="1">
      <w:start w:val="1"/>
      <w:numFmt w:val="decimal"/>
      <w:lvlText w:val="%7."/>
      <w:lvlJc w:val="left"/>
      <w:pPr>
        <w:ind w:left="4680" w:hanging="360"/>
      </w:pPr>
    </w:lvl>
    <w:lvl w:ilvl="7" w:tplc="5750EA60" w:tentative="1">
      <w:start w:val="1"/>
      <w:numFmt w:val="lowerLetter"/>
      <w:lvlText w:val="%8."/>
      <w:lvlJc w:val="left"/>
      <w:pPr>
        <w:ind w:left="5400" w:hanging="360"/>
      </w:pPr>
    </w:lvl>
    <w:lvl w:ilvl="8" w:tplc="F0744496" w:tentative="1">
      <w:start w:val="1"/>
      <w:numFmt w:val="lowerRoman"/>
      <w:lvlText w:val="%9."/>
      <w:lvlJc w:val="right"/>
      <w:pPr>
        <w:ind w:left="6120" w:hanging="180"/>
      </w:pPr>
    </w:lvl>
  </w:abstractNum>
  <w:abstractNum w:abstractNumId="89">
    <w:nsid w:val="6C7525F6"/>
    <w:multiLevelType w:val="hybridMultilevel"/>
    <w:tmpl w:val="208E4F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nsid w:val="6CA40CEE"/>
    <w:multiLevelType w:val="hybridMultilevel"/>
    <w:tmpl w:val="6EE0036C"/>
    <w:lvl w:ilvl="0" w:tplc="EAE4AA5E">
      <w:start w:val="1"/>
      <w:numFmt w:val="bullet"/>
      <w:lvlText w:val=""/>
      <w:lvlJc w:val="left"/>
      <w:pPr>
        <w:ind w:left="1170" w:hanging="360"/>
      </w:pPr>
      <w:rPr>
        <w:rFonts w:ascii="Symbol" w:hAnsi="Symbol" w:hint="default"/>
      </w:rPr>
    </w:lvl>
    <w:lvl w:ilvl="1" w:tplc="04090019" w:tentative="1">
      <w:start w:val="1"/>
      <w:numFmt w:val="bullet"/>
      <w:lvlText w:val="o"/>
      <w:lvlJc w:val="left"/>
      <w:pPr>
        <w:ind w:left="1890" w:hanging="360"/>
      </w:pPr>
      <w:rPr>
        <w:rFonts w:ascii="Courier New" w:hAnsi="Courier New" w:cs="Courier New" w:hint="default"/>
      </w:rPr>
    </w:lvl>
    <w:lvl w:ilvl="2" w:tplc="0409001B" w:tentative="1">
      <w:start w:val="1"/>
      <w:numFmt w:val="bullet"/>
      <w:lvlText w:val=""/>
      <w:lvlJc w:val="left"/>
      <w:pPr>
        <w:ind w:left="2610" w:hanging="360"/>
      </w:pPr>
      <w:rPr>
        <w:rFonts w:ascii="Wingdings" w:hAnsi="Wingdings" w:hint="default"/>
      </w:rPr>
    </w:lvl>
    <w:lvl w:ilvl="3" w:tplc="0409000F" w:tentative="1">
      <w:start w:val="1"/>
      <w:numFmt w:val="bullet"/>
      <w:lvlText w:val=""/>
      <w:lvlJc w:val="left"/>
      <w:pPr>
        <w:ind w:left="3330" w:hanging="360"/>
      </w:pPr>
      <w:rPr>
        <w:rFonts w:ascii="Symbol" w:hAnsi="Symbol" w:hint="default"/>
      </w:rPr>
    </w:lvl>
    <w:lvl w:ilvl="4" w:tplc="04090019" w:tentative="1">
      <w:start w:val="1"/>
      <w:numFmt w:val="bullet"/>
      <w:lvlText w:val="o"/>
      <w:lvlJc w:val="left"/>
      <w:pPr>
        <w:ind w:left="4050" w:hanging="360"/>
      </w:pPr>
      <w:rPr>
        <w:rFonts w:ascii="Courier New" w:hAnsi="Courier New" w:cs="Courier New" w:hint="default"/>
      </w:rPr>
    </w:lvl>
    <w:lvl w:ilvl="5" w:tplc="0409001B" w:tentative="1">
      <w:start w:val="1"/>
      <w:numFmt w:val="bullet"/>
      <w:lvlText w:val=""/>
      <w:lvlJc w:val="left"/>
      <w:pPr>
        <w:ind w:left="4770" w:hanging="360"/>
      </w:pPr>
      <w:rPr>
        <w:rFonts w:ascii="Wingdings" w:hAnsi="Wingdings" w:hint="default"/>
      </w:rPr>
    </w:lvl>
    <w:lvl w:ilvl="6" w:tplc="0409000F" w:tentative="1">
      <w:start w:val="1"/>
      <w:numFmt w:val="bullet"/>
      <w:lvlText w:val=""/>
      <w:lvlJc w:val="left"/>
      <w:pPr>
        <w:ind w:left="5490" w:hanging="360"/>
      </w:pPr>
      <w:rPr>
        <w:rFonts w:ascii="Symbol" w:hAnsi="Symbol" w:hint="default"/>
      </w:rPr>
    </w:lvl>
    <w:lvl w:ilvl="7" w:tplc="04090019" w:tentative="1">
      <w:start w:val="1"/>
      <w:numFmt w:val="bullet"/>
      <w:lvlText w:val="o"/>
      <w:lvlJc w:val="left"/>
      <w:pPr>
        <w:ind w:left="6210" w:hanging="360"/>
      </w:pPr>
      <w:rPr>
        <w:rFonts w:ascii="Courier New" w:hAnsi="Courier New" w:cs="Courier New" w:hint="default"/>
      </w:rPr>
    </w:lvl>
    <w:lvl w:ilvl="8" w:tplc="0409001B" w:tentative="1">
      <w:start w:val="1"/>
      <w:numFmt w:val="bullet"/>
      <w:lvlText w:val=""/>
      <w:lvlJc w:val="left"/>
      <w:pPr>
        <w:ind w:left="6930" w:hanging="360"/>
      </w:pPr>
      <w:rPr>
        <w:rFonts w:ascii="Wingdings" w:hAnsi="Wingdings" w:hint="default"/>
      </w:rPr>
    </w:lvl>
  </w:abstractNum>
  <w:abstractNum w:abstractNumId="91">
    <w:nsid w:val="6F65537F"/>
    <w:multiLevelType w:val="hybridMultilevel"/>
    <w:tmpl w:val="E640C3E2"/>
    <w:lvl w:ilvl="0" w:tplc="747666F4">
      <w:start w:val="1"/>
      <w:numFmt w:val="bullet"/>
      <w:lvlText w:val=""/>
      <w:lvlJc w:val="left"/>
      <w:pPr>
        <w:ind w:left="1440" w:hanging="360"/>
      </w:pPr>
      <w:rPr>
        <w:rFonts w:ascii="Symbol" w:hAnsi="Symbol" w:hint="default"/>
      </w:rPr>
    </w:lvl>
    <w:lvl w:ilvl="1" w:tplc="395ABE2A" w:tentative="1">
      <w:start w:val="1"/>
      <w:numFmt w:val="bullet"/>
      <w:lvlText w:val="o"/>
      <w:lvlJc w:val="left"/>
      <w:pPr>
        <w:ind w:left="2160" w:hanging="360"/>
      </w:pPr>
      <w:rPr>
        <w:rFonts w:ascii="Courier New" w:hAnsi="Courier New" w:cs="Courier New" w:hint="default"/>
      </w:rPr>
    </w:lvl>
    <w:lvl w:ilvl="2" w:tplc="F4D8AD4E" w:tentative="1">
      <w:start w:val="1"/>
      <w:numFmt w:val="bullet"/>
      <w:lvlText w:val=""/>
      <w:lvlJc w:val="left"/>
      <w:pPr>
        <w:ind w:left="2880" w:hanging="360"/>
      </w:pPr>
      <w:rPr>
        <w:rFonts w:ascii="Wingdings" w:hAnsi="Wingdings" w:hint="default"/>
      </w:rPr>
    </w:lvl>
    <w:lvl w:ilvl="3" w:tplc="FA007928" w:tentative="1">
      <w:start w:val="1"/>
      <w:numFmt w:val="bullet"/>
      <w:lvlText w:val=""/>
      <w:lvlJc w:val="left"/>
      <w:pPr>
        <w:ind w:left="3600" w:hanging="360"/>
      </w:pPr>
      <w:rPr>
        <w:rFonts w:ascii="Symbol" w:hAnsi="Symbol" w:hint="default"/>
      </w:rPr>
    </w:lvl>
    <w:lvl w:ilvl="4" w:tplc="50A8BE7C" w:tentative="1">
      <w:start w:val="1"/>
      <w:numFmt w:val="bullet"/>
      <w:lvlText w:val="o"/>
      <w:lvlJc w:val="left"/>
      <w:pPr>
        <w:ind w:left="4320" w:hanging="360"/>
      </w:pPr>
      <w:rPr>
        <w:rFonts w:ascii="Courier New" w:hAnsi="Courier New" w:cs="Courier New" w:hint="default"/>
      </w:rPr>
    </w:lvl>
    <w:lvl w:ilvl="5" w:tplc="49AEE572" w:tentative="1">
      <w:start w:val="1"/>
      <w:numFmt w:val="bullet"/>
      <w:lvlText w:val=""/>
      <w:lvlJc w:val="left"/>
      <w:pPr>
        <w:ind w:left="5040" w:hanging="360"/>
      </w:pPr>
      <w:rPr>
        <w:rFonts w:ascii="Wingdings" w:hAnsi="Wingdings" w:hint="default"/>
      </w:rPr>
    </w:lvl>
    <w:lvl w:ilvl="6" w:tplc="D78CAD38" w:tentative="1">
      <w:start w:val="1"/>
      <w:numFmt w:val="bullet"/>
      <w:lvlText w:val=""/>
      <w:lvlJc w:val="left"/>
      <w:pPr>
        <w:ind w:left="5760" w:hanging="360"/>
      </w:pPr>
      <w:rPr>
        <w:rFonts w:ascii="Symbol" w:hAnsi="Symbol" w:hint="default"/>
      </w:rPr>
    </w:lvl>
    <w:lvl w:ilvl="7" w:tplc="F050F408" w:tentative="1">
      <w:start w:val="1"/>
      <w:numFmt w:val="bullet"/>
      <w:lvlText w:val="o"/>
      <w:lvlJc w:val="left"/>
      <w:pPr>
        <w:ind w:left="6480" w:hanging="360"/>
      </w:pPr>
      <w:rPr>
        <w:rFonts w:ascii="Courier New" w:hAnsi="Courier New" w:cs="Courier New" w:hint="default"/>
      </w:rPr>
    </w:lvl>
    <w:lvl w:ilvl="8" w:tplc="6E7E7A5E" w:tentative="1">
      <w:start w:val="1"/>
      <w:numFmt w:val="bullet"/>
      <w:lvlText w:val=""/>
      <w:lvlJc w:val="left"/>
      <w:pPr>
        <w:ind w:left="7200" w:hanging="360"/>
      </w:pPr>
      <w:rPr>
        <w:rFonts w:ascii="Wingdings" w:hAnsi="Wingdings" w:hint="default"/>
      </w:rPr>
    </w:lvl>
  </w:abstractNum>
  <w:abstractNum w:abstractNumId="92">
    <w:nsid w:val="6FF968C8"/>
    <w:multiLevelType w:val="hybridMultilevel"/>
    <w:tmpl w:val="49D2904E"/>
    <w:lvl w:ilvl="0" w:tplc="EB8AB89C">
      <w:start w:val="1"/>
      <w:numFmt w:val="upperLetter"/>
      <w:lvlText w:val="%1)"/>
      <w:lvlJc w:val="left"/>
      <w:pPr>
        <w:ind w:left="360" w:hanging="360"/>
      </w:pPr>
      <w:rPr>
        <w:rFonts w:hint="default"/>
        <w:i w:val="0"/>
      </w:rPr>
    </w:lvl>
    <w:lvl w:ilvl="1" w:tplc="B62E87AA" w:tentative="1">
      <w:start w:val="1"/>
      <w:numFmt w:val="lowerLetter"/>
      <w:lvlText w:val="%2."/>
      <w:lvlJc w:val="left"/>
      <w:pPr>
        <w:ind w:left="1080" w:hanging="360"/>
      </w:pPr>
    </w:lvl>
    <w:lvl w:ilvl="2" w:tplc="F3C42804">
      <w:start w:val="1"/>
      <w:numFmt w:val="lowerRoman"/>
      <w:lvlText w:val="%3."/>
      <w:lvlJc w:val="right"/>
      <w:pPr>
        <w:ind w:left="1800" w:hanging="180"/>
      </w:pPr>
    </w:lvl>
    <w:lvl w:ilvl="3" w:tplc="A50416D6" w:tentative="1">
      <w:start w:val="1"/>
      <w:numFmt w:val="decimal"/>
      <w:lvlText w:val="%4."/>
      <w:lvlJc w:val="left"/>
      <w:pPr>
        <w:ind w:left="2520" w:hanging="360"/>
      </w:pPr>
    </w:lvl>
    <w:lvl w:ilvl="4" w:tplc="66B46C02" w:tentative="1">
      <w:start w:val="1"/>
      <w:numFmt w:val="lowerLetter"/>
      <w:lvlText w:val="%5."/>
      <w:lvlJc w:val="left"/>
      <w:pPr>
        <w:ind w:left="3240" w:hanging="360"/>
      </w:pPr>
    </w:lvl>
    <w:lvl w:ilvl="5" w:tplc="FAAC2054" w:tentative="1">
      <w:start w:val="1"/>
      <w:numFmt w:val="lowerRoman"/>
      <w:lvlText w:val="%6."/>
      <w:lvlJc w:val="right"/>
      <w:pPr>
        <w:ind w:left="3960" w:hanging="180"/>
      </w:pPr>
    </w:lvl>
    <w:lvl w:ilvl="6" w:tplc="781C6AF8" w:tentative="1">
      <w:start w:val="1"/>
      <w:numFmt w:val="decimal"/>
      <w:lvlText w:val="%7."/>
      <w:lvlJc w:val="left"/>
      <w:pPr>
        <w:ind w:left="4680" w:hanging="360"/>
      </w:pPr>
    </w:lvl>
    <w:lvl w:ilvl="7" w:tplc="43E40E02" w:tentative="1">
      <w:start w:val="1"/>
      <w:numFmt w:val="lowerLetter"/>
      <w:lvlText w:val="%8."/>
      <w:lvlJc w:val="left"/>
      <w:pPr>
        <w:ind w:left="5400" w:hanging="360"/>
      </w:pPr>
    </w:lvl>
    <w:lvl w:ilvl="8" w:tplc="DA6ABD60" w:tentative="1">
      <w:start w:val="1"/>
      <w:numFmt w:val="lowerRoman"/>
      <w:lvlText w:val="%9."/>
      <w:lvlJc w:val="right"/>
      <w:pPr>
        <w:ind w:left="6120" w:hanging="180"/>
      </w:pPr>
    </w:lvl>
  </w:abstractNum>
  <w:abstractNum w:abstractNumId="93">
    <w:nsid w:val="73C11283"/>
    <w:multiLevelType w:val="hybridMultilevel"/>
    <w:tmpl w:val="C876F97A"/>
    <w:lvl w:ilvl="0" w:tplc="65F04446">
      <w:start w:val="2"/>
      <w:numFmt w:val="lowerLetter"/>
      <w:lvlText w:val="(%1)"/>
      <w:lvlJc w:val="left"/>
      <w:pPr>
        <w:tabs>
          <w:tab w:val="num" w:pos="720"/>
        </w:tabs>
        <w:ind w:left="720" w:hanging="360"/>
      </w:pPr>
      <w:rPr>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4">
    <w:nsid w:val="746047F2"/>
    <w:multiLevelType w:val="hybridMultilevel"/>
    <w:tmpl w:val="855C7B44"/>
    <w:lvl w:ilvl="0" w:tplc="288857F0">
      <w:start w:val="1"/>
      <w:numFmt w:val="upperLetter"/>
      <w:lvlText w:val="%1)"/>
      <w:lvlJc w:val="left"/>
      <w:pPr>
        <w:ind w:left="360" w:hanging="360"/>
      </w:pPr>
      <w:rPr>
        <w:rFonts w:hint="default"/>
        <w:i w:val="0"/>
      </w:rPr>
    </w:lvl>
    <w:lvl w:ilvl="1" w:tplc="0FF460FC" w:tentative="1">
      <w:start w:val="1"/>
      <w:numFmt w:val="lowerLetter"/>
      <w:lvlText w:val="%2."/>
      <w:lvlJc w:val="left"/>
      <w:pPr>
        <w:ind w:left="1080" w:hanging="360"/>
      </w:pPr>
    </w:lvl>
    <w:lvl w:ilvl="2" w:tplc="0D6EAFFC" w:tentative="1">
      <w:start w:val="1"/>
      <w:numFmt w:val="lowerRoman"/>
      <w:lvlText w:val="%3."/>
      <w:lvlJc w:val="right"/>
      <w:pPr>
        <w:ind w:left="1800" w:hanging="180"/>
      </w:pPr>
    </w:lvl>
    <w:lvl w:ilvl="3" w:tplc="F93AC104" w:tentative="1">
      <w:start w:val="1"/>
      <w:numFmt w:val="decimal"/>
      <w:lvlText w:val="%4."/>
      <w:lvlJc w:val="left"/>
      <w:pPr>
        <w:ind w:left="2520" w:hanging="360"/>
      </w:pPr>
    </w:lvl>
    <w:lvl w:ilvl="4" w:tplc="5CAA4780" w:tentative="1">
      <w:start w:val="1"/>
      <w:numFmt w:val="lowerLetter"/>
      <w:lvlText w:val="%5."/>
      <w:lvlJc w:val="left"/>
      <w:pPr>
        <w:ind w:left="3240" w:hanging="360"/>
      </w:pPr>
    </w:lvl>
    <w:lvl w:ilvl="5" w:tplc="83DAE634" w:tentative="1">
      <w:start w:val="1"/>
      <w:numFmt w:val="lowerRoman"/>
      <w:lvlText w:val="%6."/>
      <w:lvlJc w:val="right"/>
      <w:pPr>
        <w:ind w:left="3960" w:hanging="180"/>
      </w:pPr>
    </w:lvl>
    <w:lvl w:ilvl="6" w:tplc="EF6A399A" w:tentative="1">
      <w:start w:val="1"/>
      <w:numFmt w:val="decimal"/>
      <w:lvlText w:val="%7."/>
      <w:lvlJc w:val="left"/>
      <w:pPr>
        <w:ind w:left="4680" w:hanging="360"/>
      </w:pPr>
    </w:lvl>
    <w:lvl w:ilvl="7" w:tplc="2EF49D48" w:tentative="1">
      <w:start w:val="1"/>
      <w:numFmt w:val="lowerLetter"/>
      <w:lvlText w:val="%8."/>
      <w:lvlJc w:val="left"/>
      <w:pPr>
        <w:ind w:left="5400" w:hanging="360"/>
      </w:pPr>
    </w:lvl>
    <w:lvl w:ilvl="8" w:tplc="5BECD174" w:tentative="1">
      <w:start w:val="1"/>
      <w:numFmt w:val="lowerRoman"/>
      <w:lvlText w:val="%9."/>
      <w:lvlJc w:val="right"/>
      <w:pPr>
        <w:ind w:left="6120" w:hanging="180"/>
      </w:pPr>
    </w:lvl>
  </w:abstractNum>
  <w:abstractNum w:abstractNumId="95">
    <w:nsid w:val="773212F6"/>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78900A9D"/>
    <w:multiLevelType w:val="hybridMultilevel"/>
    <w:tmpl w:val="CB040B2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97">
    <w:nsid w:val="79213A7D"/>
    <w:multiLevelType w:val="singleLevel"/>
    <w:tmpl w:val="8512ADBE"/>
    <w:lvl w:ilvl="0">
      <w:start w:val="1"/>
      <w:numFmt w:val="bullet"/>
      <w:pStyle w:val="StyleHeading1SectionChapterTitleSectionHeadingArticleHeadi"/>
      <w:lvlText w:val=""/>
      <w:lvlJc w:val="left"/>
      <w:pPr>
        <w:tabs>
          <w:tab w:val="num" w:pos="284"/>
        </w:tabs>
        <w:ind w:left="284" w:hanging="284"/>
      </w:pPr>
      <w:rPr>
        <w:rFonts w:ascii="Symbol" w:hAnsi="Symbol" w:hint="default"/>
        <w:sz w:val="20"/>
        <w:szCs w:val="20"/>
      </w:rPr>
    </w:lvl>
  </w:abstractNum>
  <w:abstractNum w:abstractNumId="98">
    <w:nsid w:val="79FD3E37"/>
    <w:multiLevelType w:val="hybridMultilevel"/>
    <w:tmpl w:val="C3EA97BC"/>
    <w:lvl w:ilvl="0" w:tplc="184ED40E">
      <w:start w:val="1"/>
      <w:numFmt w:val="decimal"/>
      <w:lvlText w:val="%1."/>
      <w:lvlJc w:val="left"/>
      <w:pPr>
        <w:tabs>
          <w:tab w:val="num" w:pos="-720"/>
        </w:tabs>
        <w:ind w:left="-720" w:hanging="360"/>
      </w:pPr>
      <w:rPr>
        <w:rFonts w:ascii="Arial" w:hAnsi="Arial" w:cs="Times New Roman" w:hint="default"/>
        <w:b/>
        <w:i w:val="0"/>
        <w:sz w:val="20"/>
      </w:rPr>
    </w:lvl>
    <w:lvl w:ilvl="1" w:tplc="04090003">
      <w:start w:val="1"/>
      <w:numFmt w:val="upperLetter"/>
      <w:lvlText w:val="(%2)"/>
      <w:lvlJc w:val="left"/>
      <w:pPr>
        <w:tabs>
          <w:tab w:val="num" w:pos="720"/>
        </w:tabs>
        <w:ind w:left="720" w:hanging="360"/>
      </w:pPr>
      <w:rPr>
        <w:b/>
      </w:rPr>
    </w:lvl>
    <w:lvl w:ilvl="2" w:tplc="04090005">
      <w:start w:val="1"/>
      <w:numFmt w:val="lowerRoman"/>
      <w:lvlText w:val="%3."/>
      <w:lvlJc w:val="right"/>
      <w:pPr>
        <w:tabs>
          <w:tab w:val="num" w:pos="1440"/>
        </w:tabs>
        <w:ind w:left="1440" w:hanging="180"/>
      </w:pPr>
    </w:lvl>
    <w:lvl w:ilvl="3" w:tplc="04090001">
      <w:start w:val="1"/>
      <w:numFmt w:val="decimal"/>
      <w:lvlText w:val="%4."/>
      <w:lvlJc w:val="left"/>
      <w:pPr>
        <w:tabs>
          <w:tab w:val="num" w:pos="2160"/>
        </w:tabs>
        <w:ind w:left="2160" w:hanging="360"/>
      </w:pPr>
    </w:lvl>
    <w:lvl w:ilvl="4" w:tplc="04090003">
      <w:start w:val="1"/>
      <w:numFmt w:val="lowerLetter"/>
      <w:lvlText w:val="%5."/>
      <w:lvlJc w:val="left"/>
      <w:pPr>
        <w:tabs>
          <w:tab w:val="num" w:pos="2880"/>
        </w:tabs>
        <w:ind w:left="2880" w:hanging="360"/>
      </w:pPr>
    </w:lvl>
    <w:lvl w:ilvl="5" w:tplc="04090005">
      <w:start w:val="1"/>
      <w:numFmt w:val="lowerRoman"/>
      <w:lvlText w:val="%6."/>
      <w:lvlJc w:val="right"/>
      <w:pPr>
        <w:tabs>
          <w:tab w:val="num" w:pos="3600"/>
        </w:tabs>
        <w:ind w:left="3600" w:hanging="180"/>
      </w:pPr>
    </w:lvl>
    <w:lvl w:ilvl="6" w:tplc="04090001">
      <w:start w:val="1"/>
      <w:numFmt w:val="decimal"/>
      <w:lvlText w:val="%7."/>
      <w:lvlJc w:val="left"/>
      <w:pPr>
        <w:tabs>
          <w:tab w:val="num" w:pos="4320"/>
        </w:tabs>
        <w:ind w:left="4320" w:hanging="360"/>
      </w:pPr>
    </w:lvl>
    <w:lvl w:ilvl="7" w:tplc="04090003">
      <w:start w:val="1"/>
      <w:numFmt w:val="lowerLetter"/>
      <w:lvlText w:val="%8."/>
      <w:lvlJc w:val="left"/>
      <w:pPr>
        <w:tabs>
          <w:tab w:val="num" w:pos="5040"/>
        </w:tabs>
        <w:ind w:left="5040" w:hanging="360"/>
      </w:pPr>
    </w:lvl>
    <w:lvl w:ilvl="8" w:tplc="04090005">
      <w:start w:val="1"/>
      <w:numFmt w:val="lowerRoman"/>
      <w:lvlText w:val="%9."/>
      <w:lvlJc w:val="right"/>
      <w:pPr>
        <w:tabs>
          <w:tab w:val="num" w:pos="5760"/>
        </w:tabs>
        <w:ind w:left="5760" w:hanging="180"/>
      </w:pPr>
    </w:lvl>
  </w:abstractNum>
  <w:abstractNum w:abstractNumId="99">
    <w:nsid w:val="7B8C0F95"/>
    <w:multiLevelType w:val="hybridMultilevel"/>
    <w:tmpl w:val="E8E0695A"/>
    <w:lvl w:ilvl="0" w:tplc="6CCA1962">
      <w:start w:val="1"/>
      <w:numFmt w:val="lowerLetter"/>
      <w:lvlText w:val="(%1)"/>
      <w:lvlJc w:val="left"/>
      <w:pPr>
        <w:tabs>
          <w:tab w:val="num" w:pos="1080"/>
        </w:tabs>
        <w:ind w:left="1080" w:hanging="720"/>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0">
    <w:nsid w:val="7D480D55"/>
    <w:multiLevelType w:val="multilevel"/>
    <w:tmpl w:val="B04AB6A6"/>
    <w:lvl w:ilvl="0">
      <w:start w:val="1"/>
      <w:numFmt w:val="decimal"/>
      <w:pStyle w:val="Heading1"/>
      <w:lvlText w:val="%1."/>
      <w:lvlJc w:val="left"/>
      <w:pPr>
        <w:ind w:left="600" w:hanging="600"/>
      </w:pPr>
      <w:rPr>
        <w:rFonts w:hint="default"/>
      </w:rPr>
    </w:lvl>
    <w:lvl w:ilvl="1">
      <w:start w:val="14"/>
      <w:numFmt w:val="decimal"/>
      <w:lvlText w:val="%1.%2"/>
      <w:lvlJc w:val="left"/>
      <w:pPr>
        <w:ind w:left="780" w:hanging="780"/>
      </w:pPr>
      <w:rPr>
        <w:rFonts w:hint="default"/>
        <w:b/>
        <w:i w:val="0"/>
      </w:rPr>
    </w:lvl>
    <w:lvl w:ilvl="2">
      <w:start w:val="1"/>
      <w:numFmt w:val="decimal"/>
      <w:lvlText w:val="%1.%2.%3"/>
      <w:lvlJc w:val="left"/>
      <w:pPr>
        <w:tabs>
          <w:tab w:val="num" w:pos="936"/>
        </w:tabs>
        <w:ind w:left="936" w:hanging="936"/>
      </w:pPr>
      <w:rPr>
        <w:rFonts w:hint="default"/>
        <w:b w:val="0"/>
        <w:i w:val="0"/>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01">
    <w:nsid w:val="7E2236E4"/>
    <w:multiLevelType w:val="hybridMultilevel"/>
    <w:tmpl w:val="27CAF7D6"/>
    <w:lvl w:ilvl="0" w:tplc="1E12DA62">
      <w:start w:val="1"/>
      <w:numFmt w:val="bullet"/>
      <w:lvlText w:val=""/>
      <w:lvlJc w:val="left"/>
      <w:pPr>
        <w:ind w:left="1170" w:hanging="360"/>
      </w:pPr>
      <w:rPr>
        <w:rFonts w:ascii="Symbol" w:hAnsi="Symbol" w:hint="default"/>
      </w:rPr>
    </w:lvl>
    <w:lvl w:ilvl="1" w:tplc="9690924C">
      <w:start w:val="1"/>
      <w:numFmt w:val="bullet"/>
      <w:lvlText w:val="o"/>
      <w:lvlJc w:val="left"/>
      <w:pPr>
        <w:ind w:left="1890" w:hanging="360"/>
      </w:pPr>
      <w:rPr>
        <w:rFonts w:ascii="Courier New" w:hAnsi="Courier New" w:cs="Courier New" w:hint="default"/>
      </w:rPr>
    </w:lvl>
    <w:lvl w:ilvl="2" w:tplc="DC68329A">
      <w:start w:val="1"/>
      <w:numFmt w:val="bullet"/>
      <w:lvlText w:val=""/>
      <w:lvlJc w:val="left"/>
      <w:pPr>
        <w:ind w:left="2610" w:hanging="360"/>
      </w:pPr>
      <w:rPr>
        <w:rFonts w:ascii="Wingdings" w:hAnsi="Wingdings" w:hint="default"/>
      </w:rPr>
    </w:lvl>
    <w:lvl w:ilvl="3" w:tplc="BB54FAEA" w:tentative="1">
      <w:start w:val="1"/>
      <w:numFmt w:val="bullet"/>
      <w:lvlText w:val=""/>
      <w:lvlJc w:val="left"/>
      <w:pPr>
        <w:ind w:left="3330" w:hanging="360"/>
      </w:pPr>
      <w:rPr>
        <w:rFonts w:ascii="Symbol" w:hAnsi="Symbol" w:hint="default"/>
      </w:rPr>
    </w:lvl>
    <w:lvl w:ilvl="4" w:tplc="88EE9214" w:tentative="1">
      <w:start w:val="1"/>
      <w:numFmt w:val="bullet"/>
      <w:lvlText w:val="o"/>
      <w:lvlJc w:val="left"/>
      <w:pPr>
        <w:ind w:left="4050" w:hanging="360"/>
      </w:pPr>
      <w:rPr>
        <w:rFonts w:ascii="Courier New" w:hAnsi="Courier New" w:cs="Courier New" w:hint="default"/>
      </w:rPr>
    </w:lvl>
    <w:lvl w:ilvl="5" w:tplc="7BD89AC0" w:tentative="1">
      <w:start w:val="1"/>
      <w:numFmt w:val="bullet"/>
      <w:lvlText w:val=""/>
      <w:lvlJc w:val="left"/>
      <w:pPr>
        <w:ind w:left="4770" w:hanging="360"/>
      </w:pPr>
      <w:rPr>
        <w:rFonts w:ascii="Wingdings" w:hAnsi="Wingdings" w:hint="default"/>
      </w:rPr>
    </w:lvl>
    <w:lvl w:ilvl="6" w:tplc="2ED2B29A" w:tentative="1">
      <w:start w:val="1"/>
      <w:numFmt w:val="bullet"/>
      <w:lvlText w:val=""/>
      <w:lvlJc w:val="left"/>
      <w:pPr>
        <w:ind w:left="5490" w:hanging="360"/>
      </w:pPr>
      <w:rPr>
        <w:rFonts w:ascii="Symbol" w:hAnsi="Symbol" w:hint="default"/>
      </w:rPr>
    </w:lvl>
    <w:lvl w:ilvl="7" w:tplc="5BB6F224" w:tentative="1">
      <w:start w:val="1"/>
      <w:numFmt w:val="bullet"/>
      <w:lvlText w:val="o"/>
      <w:lvlJc w:val="left"/>
      <w:pPr>
        <w:ind w:left="6210" w:hanging="360"/>
      </w:pPr>
      <w:rPr>
        <w:rFonts w:ascii="Courier New" w:hAnsi="Courier New" w:cs="Courier New" w:hint="default"/>
      </w:rPr>
    </w:lvl>
    <w:lvl w:ilvl="8" w:tplc="06E2503A" w:tentative="1">
      <w:start w:val="1"/>
      <w:numFmt w:val="bullet"/>
      <w:lvlText w:val=""/>
      <w:lvlJc w:val="left"/>
      <w:pPr>
        <w:ind w:left="6930" w:hanging="360"/>
      </w:pPr>
      <w:rPr>
        <w:rFonts w:ascii="Wingdings" w:hAnsi="Wingdings" w:hint="default"/>
      </w:rPr>
    </w:lvl>
  </w:abstractNum>
  <w:abstractNum w:abstractNumId="102">
    <w:nsid w:val="7ECE7EB2"/>
    <w:multiLevelType w:val="hybridMultilevel"/>
    <w:tmpl w:val="87E8405E"/>
    <w:lvl w:ilvl="0" w:tplc="48F43CFC">
      <w:start w:val="1"/>
      <w:numFmt w:val="decimal"/>
      <w:lvlText w:val="%1."/>
      <w:lvlJc w:val="left"/>
      <w:pPr>
        <w:ind w:left="720" w:hanging="360"/>
      </w:pPr>
    </w:lvl>
    <w:lvl w:ilvl="1" w:tplc="1E5AD432" w:tentative="1">
      <w:start w:val="1"/>
      <w:numFmt w:val="lowerLetter"/>
      <w:lvlText w:val="%2."/>
      <w:lvlJc w:val="left"/>
      <w:pPr>
        <w:ind w:left="1440" w:hanging="360"/>
      </w:pPr>
    </w:lvl>
    <w:lvl w:ilvl="2" w:tplc="0134A924" w:tentative="1">
      <w:start w:val="1"/>
      <w:numFmt w:val="lowerRoman"/>
      <w:lvlText w:val="%3."/>
      <w:lvlJc w:val="right"/>
      <w:pPr>
        <w:ind w:left="2160" w:hanging="180"/>
      </w:pPr>
    </w:lvl>
    <w:lvl w:ilvl="3" w:tplc="6BF65936" w:tentative="1">
      <w:start w:val="1"/>
      <w:numFmt w:val="decimal"/>
      <w:lvlText w:val="%4."/>
      <w:lvlJc w:val="left"/>
      <w:pPr>
        <w:ind w:left="2880" w:hanging="360"/>
      </w:pPr>
    </w:lvl>
    <w:lvl w:ilvl="4" w:tplc="D3D05AAC" w:tentative="1">
      <w:start w:val="1"/>
      <w:numFmt w:val="lowerLetter"/>
      <w:lvlText w:val="%5."/>
      <w:lvlJc w:val="left"/>
      <w:pPr>
        <w:ind w:left="3600" w:hanging="360"/>
      </w:pPr>
    </w:lvl>
    <w:lvl w:ilvl="5" w:tplc="F0D23C5E" w:tentative="1">
      <w:start w:val="1"/>
      <w:numFmt w:val="lowerRoman"/>
      <w:lvlText w:val="%6."/>
      <w:lvlJc w:val="right"/>
      <w:pPr>
        <w:ind w:left="4320" w:hanging="180"/>
      </w:pPr>
    </w:lvl>
    <w:lvl w:ilvl="6" w:tplc="3F6A1734" w:tentative="1">
      <w:start w:val="1"/>
      <w:numFmt w:val="decimal"/>
      <w:lvlText w:val="%7."/>
      <w:lvlJc w:val="left"/>
      <w:pPr>
        <w:ind w:left="5040" w:hanging="360"/>
      </w:pPr>
    </w:lvl>
    <w:lvl w:ilvl="7" w:tplc="AEA6CBFA" w:tentative="1">
      <w:start w:val="1"/>
      <w:numFmt w:val="lowerLetter"/>
      <w:lvlText w:val="%8."/>
      <w:lvlJc w:val="left"/>
      <w:pPr>
        <w:ind w:left="5760" w:hanging="360"/>
      </w:pPr>
    </w:lvl>
    <w:lvl w:ilvl="8" w:tplc="B5C4A6CA" w:tentative="1">
      <w:start w:val="1"/>
      <w:numFmt w:val="lowerRoman"/>
      <w:lvlText w:val="%9."/>
      <w:lvlJc w:val="right"/>
      <w:pPr>
        <w:ind w:left="6480" w:hanging="180"/>
      </w:pPr>
    </w:lvl>
  </w:abstractNum>
  <w:abstractNum w:abstractNumId="103">
    <w:nsid w:val="7F826558"/>
    <w:multiLevelType w:val="hybridMultilevel"/>
    <w:tmpl w:val="49D2904E"/>
    <w:lvl w:ilvl="0" w:tplc="7A0EF1B0">
      <w:start w:val="1"/>
      <w:numFmt w:val="upperLetter"/>
      <w:lvlText w:val="%1)"/>
      <w:lvlJc w:val="left"/>
      <w:pPr>
        <w:ind w:left="360" w:hanging="360"/>
      </w:pPr>
      <w:rPr>
        <w:rFonts w:hint="default"/>
        <w:i w:val="0"/>
      </w:rPr>
    </w:lvl>
    <w:lvl w:ilvl="1" w:tplc="A7563F8C" w:tentative="1">
      <w:start w:val="1"/>
      <w:numFmt w:val="lowerLetter"/>
      <w:lvlText w:val="%2."/>
      <w:lvlJc w:val="left"/>
      <w:pPr>
        <w:ind w:left="1080" w:hanging="360"/>
      </w:pPr>
    </w:lvl>
    <w:lvl w:ilvl="2" w:tplc="40FC7EFC" w:tentative="1">
      <w:start w:val="1"/>
      <w:numFmt w:val="lowerRoman"/>
      <w:lvlText w:val="%3."/>
      <w:lvlJc w:val="right"/>
      <w:pPr>
        <w:ind w:left="1800" w:hanging="180"/>
      </w:pPr>
    </w:lvl>
    <w:lvl w:ilvl="3" w:tplc="0DACE762" w:tentative="1">
      <w:start w:val="1"/>
      <w:numFmt w:val="decimal"/>
      <w:lvlText w:val="%4."/>
      <w:lvlJc w:val="left"/>
      <w:pPr>
        <w:ind w:left="2520" w:hanging="360"/>
      </w:pPr>
    </w:lvl>
    <w:lvl w:ilvl="4" w:tplc="4BA0C3E0" w:tentative="1">
      <w:start w:val="1"/>
      <w:numFmt w:val="lowerLetter"/>
      <w:lvlText w:val="%5."/>
      <w:lvlJc w:val="left"/>
      <w:pPr>
        <w:ind w:left="3240" w:hanging="360"/>
      </w:pPr>
    </w:lvl>
    <w:lvl w:ilvl="5" w:tplc="00286EA4" w:tentative="1">
      <w:start w:val="1"/>
      <w:numFmt w:val="lowerRoman"/>
      <w:lvlText w:val="%6."/>
      <w:lvlJc w:val="right"/>
      <w:pPr>
        <w:ind w:left="3960" w:hanging="180"/>
      </w:pPr>
    </w:lvl>
    <w:lvl w:ilvl="6" w:tplc="247065B8" w:tentative="1">
      <w:start w:val="1"/>
      <w:numFmt w:val="decimal"/>
      <w:lvlText w:val="%7."/>
      <w:lvlJc w:val="left"/>
      <w:pPr>
        <w:ind w:left="4680" w:hanging="360"/>
      </w:pPr>
    </w:lvl>
    <w:lvl w:ilvl="7" w:tplc="A15E3F10" w:tentative="1">
      <w:start w:val="1"/>
      <w:numFmt w:val="lowerLetter"/>
      <w:lvlText w:val="%8."/>
      <w:lvlJc w:val="left"/>
      <w:pPr>
        <w:ind w:left="5400" w:hanging="360"/>
      </w:pPr>
    </w:lvl>
    <w:lvl w:ilvl="8" w:tplc="A29A6178" w:tentative="1">
      <w:start w:val="1"/>
      <w:numFmt w:val="lowerRoman"/>
      <w:lvlText w:val="%9."/>
      <w:lvlJc w:val="right"/>
      <w:pPr>
        <w:ind w:left="6120" w:hanging="180"/>
      </w:pPr>
    </w:lvl>
  </w:abstractNum>
  <w:num w:numId="1">
    <w:abstractNumId w:val="37"/>
  </w:num>
  <w:num w:numId="2">
    <w:abstractNumId w:val="100"/>
  </w:num>
  <w:num w:numId="3">
    <w:abstractNumId w:val="47"/>
  </w:num>
  <w:num w:numId="4">
    <w:abstractNumId w:val="90"/>
  </w:num>
  <w:num w:numId="5">
    <w:abstractNumId w:val="101"/>
  </w:num>
  <w:num w:numId="6">
    <w:abstractNumId w:val="13"/>
  </w:num>
  <w:num w:numId="7">
    <w:abstractNumId w:val="10"/>
  </w:num>
  <w:num w:numId="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num>
  <w:num w:numId="10">
    <w:abstractNumId w:val="3"/>
  </w:num>
  <w:num w:numId="11">
    <w:abstractNumId w:val="56"/>
  </w:num>
  <w:num w:numId="12">
    <w:abstractNumId w:val="89"/>
  </w:num>
  <w:num w:numId="13">
    <w:abstractNumId w:val="73"/>
  </w:num>
  <w:num w:numId="14">
    <w:abstractNumId w:val="78"/>
  </w:num>
  <w:num w:numId="15">
    <w:abstractNumId w:val="91"/>
  </w:num>
  <w:num w:numId="1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1"/>
  </w:num>
  <w:num w:numId="18">
    <w:abstractNumId w:val="80"/>
  </w:num>
  <w:num w:numId="19">
    <w:abstractNumId w:val="46"/>
  </w:num>
  <w:num w:numId="20">
    <w:abstractNumId w:val="97"/>
  </w:num>
  <w:num w:numId="21">
    <w:abstractNumId w:val="19"/>
  </w:num>
  <w:num w:numId="22">
    <w:abstractNumId w:val="86"/>
  </w:num>
  <w:num w:numId="23">
    <w:abstractNumId w:val="29"/>
  </w:num>
  <w:num w:numId="24">
    <w:abstractNumId w:val="63"/>
  </w:num>
  <w:num w:numId="25">
    <w:abstractNumId w:val="5"/>
  </w:num>
  <w:num w:numId="26">
    <w:abstractNumId w:val="7"/>
  </w:num>
  <w:num w:numId="27">
    <w:abstractNumId w:val="41"/>
  </w:num>
  <w:num w:numId="28">
    <w:abstractNumId w:val="38"/>
  </w:num>
  <w:num w:numId="29">
    <w:abstractNumId w:val="26"/>
  </w:num>
  <w:num w:numId="30">
    <w:abstractNumId w:val="12"/>
  </w:num>
  <w:num w:numId="31">
    <w:abstractNumId w:val="53"/>
  </w:num>
  <w:num w:numId="32">
    <w:abstractNumId w:val="103"/>
  </w:num>
  <w:num w:numId="33">
    <w:abstractNumId w:val="40"/>
  </w:num>
  <w:num w:numId="34">
    <w:abstractNumId w:val="25"/>
  </w:num>
  <w:num w:numId="35">
    <w:abstractNumId w:val="52"/>
  </w:num>
  <w:num w:numId="36">
    <w:abstractNumId w:val="8"/>
  </w:num>
  <w:num w:numId="37">
    <w:abstractNumId w:val="9"/>
  </w:num>
  <w:num w:numId="38">
    <w:abstractNumId w:val="74"/>
  </w:num>
  <w:num w:numId="39">
    <w:abstractNumId w:val="68"/>
  </w:num>
  <w:num w:numId="40">
    <w:abstractNumId w:val="28"/>
  </w:num>
  <w:num w:numId="41">
    <w:abstractNumId w:val="48"/>
  </w:num>
  <w:num w:numId="42">
    <w:abstractNumId w:val="31"/>
  </w:num>
  <w:num w:numId="43">
    <w:abstractNumId w:val="57"/>
  </w:num>
  <w:num w:numId="44">
    <w:abstractNumId w:val="88"/>
  </w:num>
  <w:num w:numId="45">
    <w:abstractNumId w:val="11"/>
  </w:num>
  <w:num w:numId="46">
    <w:abstractNumId w:val="49"/>
  </w:num>
  <w:num w:numId="47">
    <w:abstractNumId w:val="70"/>
  </w:num>
  <w:num w:numId="48">
    <w:abstractNumId w:val="77"/>
  </w:num>
  <w:num w:numId="49">
    <w:abstractNumId w:val="27"/>
  </w:num>
  <w:num w:numId="50">
    <w:abstractNumId w:val="94"/>
  </w:num>
  <w:num w:numId="51">
    <w:abstractNumId w:val="62"/>
  </w:num>
  <w:num w:numId="52">
    <w:abstractNumId w:val="39"/>
  </w:num>
  <w:num w:numId="53">
    <w:abstractNumId w:val="36"/>
  </w:num>
  <w:num w:numId="54">
    <w:abstractNumId w:val="95"/>
  </w:num>
  <w:num w:numId="55">
    <w:abstractNumId w:val="24"/>
  </w:num>
  <w:num w:numId="56">
    <w:abstractNumId w:val="72"/>
  </w:num>
  <w:num w:numId="57">
    <w:abstractNumId w:val="34"/>
  </w:num>
  <w:num w:numId="58">
    <w:abstractNumId w:val="16"/>
  </w:num>
  <w:num w:numId="59">
    <w:abstractNumId w:val="1"/>
  </w:num>
  <w:num w:numId="60">
    <w:abstractNumId w:val="18"/>
  </w:num>
  <w:num w:numId="61">
    <w:abstractNumId w:val="64"/>
  </w:num>
  <w:num w:numId="62">
    <w:abstractNumId w:val="35"/>
  </w:num>
  <w:num w:numId="63">
    <w:abstractNumId w:val="45"/>
  </w:num>
  <w:num w:numId="64">
    <w:abstractNumId w:val="44"/>
  </w:num>
  <w:num w:numId="65">
    <w:abstractNumId w:val="10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4"/>
  </w:num>
  <w:num w:numId="67">
    <w:abstractNumId w:val="22"/>
  </w:num>
  <w:num w:numId="68">
    <w:abstractNumId w:val="87"/>
  </w:num>
  <w:num w:numId="69">
    <w:abstractNumId w:val="76"/>
  </w:num>
  <w:num w:numId="70">
    <w:abstractNumId w:val="66"/>
  </w:num>
  <w:num w:numId="71">
    <w:abstractNumId w:val="67"/>
  </w:num>
  <w:num w:numId="72">
    <w:abstractNumId w:val="61"/>
  </w:num>
  <w:num w:numId="73">
    <w:abstractNumId w:val="92"/>
  </w:num>
  <w:num w:numId="74">
    <w:abstractNumId w:val="100"/>
    <w:lvlOverride w:ilvl="0">
      <w:startOverride w:val="3"/>
    </w:lvlOverride>
    <w:lvlOverride w:ilvl="1">
      <w:startOverride w:val="1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84"/>
  </w:num>
  <w:num w:numId="77">
    <w:abstractNumId w:val="102"/>
  </w:num>
  <w:num w:numId="78">
    <w:abstractNumId w:val="42"/>
  </w:num>
  <w:num w:numId="79">
    <w:abstractNumId w:val="85"/>
  </w:num>
  <w:num w:numId="80">
    <w:abstractNumId w:val="69"/>
  </w:num>
  <w:num w:numId="81">
    <w:abstractNumId w:val="55"/>
  </w:num>
  <w:num w:numId="82">
    <w:abstractNumId w:val="65"/>
  </w:num>
  <w:num w:numId="83">
    <w:abstractNumId w:val="4"/>
  </w:num>
  <w:num w:numId="84">
    <w:abstractNumId w:val="6"/>
  </w:num>
  <w:num w:numId="85">
    <w:abstractNumId w:val="83"/>
  </w:num>
  <w:num w:numId="86">
    <w:abstractNumId w:val="96"/>
  </w:num>
  <w:num w:numId="87">
    <w:abstractNumId w:val="51"/>
  </w:num>
  <w:num w:numId="88">
    <w:abstractNumId w:val="23"/>
  </w:num>
  <w:num w:numId="89">
    <w:abstractNumId w:val="75"/>
  </w:num>
  <w:num w:numId="90">
    <w:abstractNumId w:val="82"/>
  </w:num>
  <w:num w:numId="91">
    <w:abstractNumId w:val="98"/>
  </w:num>
  <w:num w:numId="92">
    <w:abstractNumId w:val="14"/>
  </w:num>
  <w:num w:numId="93">
    <w:abstractNumId w:val="15"/>
  </w:num>
  <w:num w:numId="94">
    <w:abstractNumId w:val="17"/>
  </w:num>
  <w:num w:numId="95">
    <w:abstractNumId w:val="81"/>
  </w:num>
  <w:num w:numId="96">
    <w:abstractNumId w:val="50"/>
  </w:num>
  <w:num w:numId="97">
    <w:abstractNumId w:val="93"/>
  </w:num>
  <w:num w:numId="98">
    <w:abstractNumId w:val="43"/>
  </w:num>
  <w:num w:numId="99">
    <w:abstractNumId w:val="59"/>
  </w:num>
  <w:num w:numId="100">
    <w:abstractNumId w:val="58"/>
  </w:num>
  <w:num w:numId="101">
    <w:abstractNumId w:val="2"/>
  </w:num>
  <w:num w:numId="102">
    <w:abstractNumId w:val="99"/>
  </w:num>
  <w:num w:numId="103">
    <w:abstractNumId w:val="30"/>
  </w:num>
  <w:num w:numId="104">
    <w:abstractNumId w:val="0"/>
  </w:num>
  <w:num w:numId="105">
    <w:abstractNumId w:val="60"/>
  </w:num>
  <w:num w:numId="106">
    <w:abstractNumId w:val="79"/>
  </w:num>
  <w:num w:numId="107">
    <w:abstractNumId w:val="32"/>
  </w:num>
  <w:num w:numId="108">
    <w:abstractNumId w:val="33"/>
  </w:num>
  <w:num w:numId="109">
    <w:abstractNumId w:val="37"/>
  </w:num>
  <w:numIdMacAtCleanup w:val="10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proofState w:grammar="clean"/>
  <w:defaultTabStop w:val="720"/>
  <w:drawingGridHorizontalSpacing w:val="120"/>
  <w:displayHorizontalDrawingGridEvery w:val="2"/>
  <w:characterSpacingControl w:val="doNotCompress"/>
  <w:hdrShapeDefaults>
    <o:shapedefaults v:ext="edit" spidmax="2173"/>
    <o:shapelayout v:ext="edit">
      <o:idmap v:ext="edit" data="2"/>
    </o:shapelayout>
  </w:hdrShapeDefaults>
  <w:footnotePr>
    <w:footnote w:id="-1"/>
    <w:footnote w:id="0"/>
  </w:footnotePr>
  <w:endnotePr>
    <w:endnote w:id="-1"/>
    <w:endnote w:id="0"/>
  </w:endnotePr>
  <w:compat/>
  <w:rsids>
    <w:rsidRoot w:val="00E6329E"/>
    <w:rsid w:val="00000B03"/>
    <w:rsid w:val="000039E4"/>
    <w:rsid w:val="000042BB"/>
    <w:rsid w:val="00004E78"/>
    <w:rsid w:val="00006084"/>
    <w:rsid w:val="0000721C"/>
    <w:rsid w:val="00012202"/>
    <w:rsid w:val="000125BF"/>
    <w:rsid w:val="00012CA8"/>
    <w:rsid w:val="0001533B"/>
    <w:rsid w:val="00016E94"/>
    <w:rsid w:val="000174C0"/>
    <w:rsid w:val="00020067"/>
    <w:rsid w:val="000206FE"/>
    <w:rsid w:val="00020C6F"/>
    <w:rsid w:val="000216CA"/>
    <w:rsid w:val="00025939"/>
    <w:rsid w:val="000263EC"/>
    <w:rsid w:val="00026C96"/>
    <w:rsid w:val="000306BB"/>
    <w:rsid w:val="00031A42"/>
    <w:rsid w:val="000340A2"/>
    <w:rsid w:val="00036500"/>
    <w:rsid w:val="000431ED"/>
    <w:rsid w:val="00043BCC"/>
    <w:rsid w:val="00044B05"/>
    <w:rsid w:val="00044F5F"/>
    <w:rsid w:val="00046240"/>
    <w:rsid w:val="00046442"/>
    <w:rsid w:val="00046C2B"/>
    <w:rsid w:val="00047122"/>
    <w:rsid w:val="000517A6"/>
    <w:rsid w:val="000536DE"/>
    <w:rsid w:val="0005411D"/>
    <w:rsid w:val="00055F8C"/>
    <w:rsid w:val="000574E1"/>
    <w:rsid w:val="00060069"/>
    <w:rsid w:val="0006095F"/>
    <w:rsid w:val="00061BFF"/>
    <w:rsid w:val="0006313B"/>
    <w:rsid w:val="0006353D"/>
    <w:rsid w:val="000638AA"/>
    <w:rsid w:val="00064B37"/>
    <w:rsid w:val="00065AD7"/>
    <w:rsid w:val="00066721"/>
    <w:rsid w:val="00066BDE"/>
    <w:rsid w:val="00067C0F"/>
    <w:rsid w:val="0007009E"/>
    <w:rsid w:val="00071D20"/>
    <w:rsid w:val="0007444F"/>
    <w:rsid w:val="00074C67"/>
    <w:rsid w:val="000768B7"/>
    <w:rsid w:val="00077B14"/>
    <w:rsid w:val="00081232"/>
    <w:rsid w:val="000817C9"/>
    <w:rsid w:val="00084377"/>
    <w:rsid w:val="00084FF2"/>
    <w:rsid w:val="000934A1"/>
    <w:rsid w:val="00094A83"/>
    <w:rsid w:val="00094D92"/>
    <w:rsid w:val="000950D8"/>
    <w:rsid w:val="00095176"/>
    <w:rsid w:val="00095D17"/>
    <w:rsid w:val="00095E21"/>
    <w:rsid w:val="00097B66"/>
    <w:rsid w:val="000A256D"/>
    <w:rsid w:val="000B0B6C"/>
    <w:rsid w:val="000B0C9B"/>
    <w:rsid w:val="000B107C"/>
    <w:rsid w:val="000B113E"/>
    <w:rsid w:val="000B1E37"/>
    <w:rsid w:val="000B3696"/>
    <w:rsid w:val="000B3B9B"/>
    <w:rsid w:val="000B6EA7"/>
    <w:rsid w:val="000C05F2"/>
    <w:rsid w:val="000C2D94"/>
    <w:rsid w:val="000C349D"/>
    <w:rsid w:val="000C3706"/>
    <w:rsid w:val="000C3943"/>
    <w:rsid w:val="000C4812"/>
    <w:rsid w:val="000C7112"/>
    <w:rsid w:val="000C76B5"/>
    <w:rsid w:val="000D170C"/>
    <w:rsid w:val="000D496B"/>
    <w:rsid w:val="000D4DB9"/>
    <w:rsid w:val="000D5BE3"/>
    <w:rsid w:val="000D7021"/>
    <w:rsid w:val="000D76B2"/>
    <w:rsid w:val="000E1E5E"/>
    <w:rsid w:val="000E40D4"/>
    <w:rsid w:val="000F09B5"/>
    <w:rsid w:val="000F347F"/>
    <w:rsid w:val="000F37A3"/>
    <w:rsid w:val="000F6488"/>
    <w:rsid w:val="00100575"/>
    <w:rsid w:val="001103D3"/>
    <w:rsid w:val="00110EBE"/>
    <w:rsid w:val="00112DD5"/>
    <w:rsid w:val="00113BD6"/>
    <w:rsid w:val="00120B36"/>
    <w:rsid w:val="00123720"/>
    <w:rsid w:val="001259EB"/>
    <w:rsid w:val="00125FB6"/>
    <w:rsid w:val="00127479"/>
    <w:rsid w:val="00131B6C"/>
    <w:rsid w:val="001330DA"/>
    <w:rsid w:val="00133424"/>
    <w:rsid w:val="0013484F"/>
    <w:rsid w:val="00136584"/>
    <w:rsid w:val="00137A0A"/>
    <w:rsid w:val="001403EA"/>
    <w:rsid w:val="001407B8"/>
    <w:rsid w:val="0014083F"/>
    <w:rsid w:val="00143AD1"/>
    <w:rsid w:val="001508FD"/>
    <w:rsid w:val="00151B1B"/>
    <w:rsid w:val="0015232B"/>
    <w:rsid w:val="00152974"/>
    <w:rsid w:val="00156B33"/>
    <w:rsid w:val="00157DF4"/>
    <w:rsid w:val="001618FB"/>
    <w:rsid w:val="00161975"/>
    <w:rsid w:val="00162023"/>
    <w:rsid w:val="00163F9F"/>
    <w:rsid w:val="001655C0"/>
    <w:rsid w:val="001662D9"/>
    <w:rsid w:val="00167EF0"/>
    <w:rsid w:val="001725B6"/>
    <w:rsid w:val="00172A49"/>
    <w:rsid w:val="00174926"/>
    <w:rsid w:val="00176376"/>
    <w:rsid w:val="00181B15"/>
    <w:rsid w:val="001948D7"/>
    <w:rsid w:val="00194E7E"/>
    <w:rsid w:val="0019733A"/>
    <w:rsid w:val="001A4E14"/>
    <w:rsid w:val="001A7DF4"/>
    <w:rsid w:val="001B0B0B"/>
    <w:rsid w:val="001B0E07"/>
    <w:rsid w:val="001B106D"/>
    <w:rsid w:val="001B1F3A"/>
    <w:rsid w:val="001B2C4C"/>
    <w:rsid w:val="001B38B2"/>
    <w:rsid w:val="001B3C50"/>
    <w:rsid w:val="001B469B"/>
    <w:rsid w:val="001B74BA"/>
    <w:rsid w:val="001C0D1D"/>
    <w:rsid w:val="001C10D4"/>
    <w:rsid w:val="001C2282"/>
    <w:rsid w:val="001C336D"/>
    <w:rsid w:val="001C36BA"/>
    <w:rsid w:val="001C40DF"/>
    <w:rsid w:val="001C4ADB"/>
    <w:rsid w:val="001C6159"/>
    <w:rsid w:val="001C771F"/>
    <w:rsid w:val="001D09B8"/>
    <w:rsid w:val="001D0FBE"/>
    <w:rsid w:val="001D32FB"/>
    <w:rsid w:val="001D3BEC"/>
    <w:rsid w:val="001E1488"/>
    <w:rsid w:val="001E21E7"/>
    <w:rsid w:val="001E35FC"/>
    <w:rsid w:val="001E3745"/>
    <w:rsid w:val="001E6359"/>
    <w:rsid w:val="001E656F"/>
    <w:rsid w:val="001F17BF"/>
    <w:rsid w:val="001F24E2"/>
    <w:rsid w:val="001F29F7"/>
    <w:rsid w:val="001F4D76"/>
    <w:rsid w:val="001F6A69"/>
    <w:rsid w:val="001F6DE1"/>
    <w:rsid w:val="00200E17"/>
    <w:rsid w:val="00202158"/>
    <w:rsid w:val="002029F9"/>
    <w:rsid w:val="00203972"/>
    <w:rsid w:val="00205869"/>
    <w:rsid w:val="00207A49"/>
    <w:rsid w:val="0021059B"/>
    <w:rsid w:val="0021261A"/>
    <w:rsid w:val="002149A9"/>
    <w:rsid w:val="00214C28"/>
    <w:rsid w:val="00217400"/>
    <w:rsid w:val="0022134B"/>
    <w:rsid w:val="00224343"/>
    <w:rsid w:val="002274F4"/>
    <w:rsid w:val="002276FA"/>
    <w:rsid w:val="0023110A"/>
    <w:rsid w:val="00232BEF"/>
    <w:rsid w:val="0023467C"/>
    <w:rsid w:val="00241434"/>
    <w:rsid w:val="00241E72"/>
    <w:rsid w:val="002460AF"/>
    <w:rsid w:val="0024752D"/>
    <w:rsid w:val="00247D53"/>
    <w:rsid w:val="00250896"/>
    <w:rsid w:val="00250FF0"/>
    <w:rsid w:val="0025281A"/>
    <w:rsid w:val="00252A96"/>
    <w:rsid w:val="00254C5D"/>
    <w:rsid w:val="00254F4F"/>
    <w:rsid w:val="00257A9A"/>
    <w:rsid w:val="0026280C"/>
    <w:rsid w:val="0026307C"/>
    <w:rsid w:val="0026501C"/>
    <w:rsid w:val="00265950"/>
    <w:rsid w:val="00267AF8"/>
    <w:rsid w:val="002712A3"/>
    <w:rsid w:val="00271E71"/>
    <w:rsid w:val="00272472"/>
    <w:rsid w:val="002736B5"/>
    <w:rsid w:val="00274054"/>
    <w:rsid w:val="00280822"/>
    <w:rsid w:val="00281BD9"/>
    <w:rsid w:val="00283266"/>
    <w:rsid w:val="002847AC"/>
    <w:rsid w:val="00284D76"/>
    <w:rsid w:val="00285F9C"/>
    <w:rsid w:val="00290B90"/>
    <w:rsid w:val="00293004"/>
    <w:rsid w:val="0029334E"/>
    <w:rsid w:val="00294244"/>
    <w:rsid w:val="00295D09"/>
    <w:rsid w:val="00296FC3"/>
    <w:rsid w:val="002A147E"/>
    <w:rsid w:val="002A1F3B"/>
    <w:rsid w:val="002A251F"/>
    <w:rsid w:val="002A29EF"/>
    <w:rsid w:val="002A2F15"/>
    <w:rsid w:val="002A5098"/>
    <w:rsid w:val="002A5616"/>
    <w:rsid w:val="002A6D93"/>
    <w:rsid w:val="002B0139"/>
    <w:rsid w:val="002B0266"/>
    <w:rsid w:val="002B0CB8"/>
    <w:rsid w:val="002B2E71"/>
    <w:rsid w:val="002B3D6B"/>
    <w:rsid w:val="002B42E2"/>
    <w:rsid w:val="002B4D4E"/>
    <w:rsid w:val="002C084B"/>
    <w:rsid w:val="002C2E17"/>
    <w:rsid w:val="002C3FDB"/>
    <w:rsid w:val="002D0F76"/>
    <w:rsid w:val="002D16A6"/>
    <w:rsid w:val="002D2D53"/>
    <w:rsid w:val="002D3C80"/>
    <w:rsid w:val="002D44A0"/>
    <w:rsid w:val="002D523C"/>
    <w:rsid w:val="002D5EDE"/>
    <w:rsid w:val="002E0223"/>
    <w:rsid w:val="002E2220"/>
    <w:rsid w:val="002E4D60"/>
    <w:rsid w:val="002E7985"/>
    <w:rsid w:val="002E7E9D"/>
    <w:rsid w:val="002F0D15"/>
    <w:rsid w:val="002F2746"/>
    <w:rsid w:val="002F3C51"/>
    <w:rsid w:val="002F44AA"/>
    <w:rsid w:val="002F4766"/>
    <w:rsid w:val="0030096A"/>
    <w:rsid w:val="0030136E"/>
    <w:rsid w:val="0030299F"/>
    <w:rsid w:val="00302AB7"/>
    <w:rsid w:val="00302DAE"/>
    <w:rsid w:val="00303BB9"/>
    <w:rsid w:val="0030693A"/>
    <w:rsid w:val="00307C29"/>
    <w:rsid w:val="00310146"/>
    <w:rsid w:val="00311840"/>
    <w:rsid w:val="003146EF"/>
    <w:rsid w:val="00314D82"/>
    <w:rsid w:val="00315114"/>
    <w:rsid w:val="00323C3B"/>
    <w:rsid w:val="00325093"/>
    <w:rsid w:val="003253C4"/>
    <w:rsid w:val="00326EE0"/>
    <w:rsid w:val="003306F1"/>
    <w:rsid w:val="0033220A"/>
    <w:rsid w:val="00335334"/>
    <w:rsid w:val="003357A5"/>
    <w:rsid w:val="003362CE"/>
    <w:rsid w:val="003368FA"/>
    <w:rsid w:val="003369CE"/>
    <w:rsid w:val="003376AA"/>
    <w:rsid w:val="00340B02"/>
    <w:rsid w:val="00341A69"/>
    <w:rsid w:val="00343A15"/>
    <w:rsid w:val="003444DF"/>
    <w:rsid w:val="00345735"/>
    <w:rsid w:val="003463DF"/>
    <w:rsid w:val="0034717A"/>
    <w:rsid w:val="00350492"/>
    <w:rsid w:val="00352029"/>
    <w:rsid w:val="00355E2B"/>
    <w:rsid w:val="0035674D"/>
    <w:rsid w:val="00356CE7"/>
    <w:rsid w:val="00361485"/>
    <w:rsid w:val="00362418"/>
    <w:rsid w:val="003631D4"/>
    <w:rsid w:val="00363E4A"/>
    <w:rsid w:val="00365E3F"/>
    <w:rsid w:val="00366018"/>
    <w:rsid w:val="00366437"/>
    <w:rsid w:val="003717E8"/>
    <w:rsid w:val="0037307B"/>
    <w:rsid w:val="00374632"/>
    <w:rsid w:val="003762E0"/>
    <w:rsid w:val="00383E48"/>
    <w:rsid w:val="00385E8A"/>
    <w:rsid w:val="00386BDF"/>
    <w:rsid w:val="00390023"/>
    <w:rsid w:val="0039027A"/>
    <w:rsid w:val="003A0481"/>
    <w:rsid w:val="003A22DC"/>
    <w:rsid w:val="003A4574"/>
    <w:rsid w:val="003A5360"/>
    <w:rsid w:val="003A6B3B"/>
    <w:rsid w:val="003A7637"/>
    <w:rsid w:val="003B04AE"/>
    <w:rsid w:val="003B1EA2"/>
    <w:rsid w:val="003B39E6"/>
    <w:rsid w:val="003B451A"/>
    <w:rsid w:val="003C0353"/>
    <w:rsid w:val="003C18BD"/>
    <w:rsid w:val="003C36E4"/>
    <w:rsid w:val="003C48F5"/>
    <w:rsid w:val="003C4DE7"/>
    <w:rsid w:val="003C6F2D"/>
    <w:rsid w:val="003D2F87"/>
    <w:rsid w:val="003D30A6"/>
    <w:rsid w:val="003D3111"/>
    <w:rsid w:val="003D516B"/>
    <w:rsid w:val="003D5A53"/>
    <w:rsid w:val="003D75D7"/>
    <w:rsid w:val="003E0D75"/>
    <w:rsid w:val="003E399E"/>
    <w:rsid w:val="003E4631"/>
    <w:rsid w:val="003E5C19"/>
    <w:rsid w:val="003E7FB3"/>
    <w:rsid w:val="003F0112"/>
    <w:rsid w:val="003F073C"/>
    <w:rsid w:val="003F1BEF"/>
    <w:rsid w:val="003F1DC7"/>
    <w:rsid w:val="003F377D"/>
    <w:rsid w:val="003F39F2"/>
    <w:rsid w:val="003F4165"/>
    <w:rsid w:val="003F4688"/>
    <w:rsid w:val="003F4DF9"/>
    <w:rsid w:val="003F4EAB"/>
    <w:rsid w:val="003F66EE"/>
    <w:rsid w:val="00402E96"/>
    <w:rsid w:val="0040445B"/>
    <w:rsid w:val="0040603C"/>
    <w:rsid w:val="00406441"/>
    <w:rsid w:val="004065F0"/>
    <w:rsid w:val="00406FDA"/>
    <w:rsid w:val="004075AA"/>
    <w:rsid w:val="0041213A"/>
    <w:rsid w:val="0041265C"/>
    <w:rsid w:val="00413EF8"/>
    <w:rsid w:val="004157FF"/>
    <w:rsid w:val="00415849"/>
    <w:rsid w:val="00415DB8"/>
    <w:rsid w:val="00416164"/>
    <w:rsid w:val="00416E7D"/>
    <w:rsid w:val="00417C5E"/>
    <w:rsid w:val="004210BD"/>
    <w:rsid w:val="004243CF"/>
    <w:rsid w:val="00424BF4"/>
    <w:rsid w:val="004257D0"/>
    <w:rsid w:val="00425A98"/>
    <w:rsid w:val="0042676A"/>
    <w:rsid w:val="00433780"/>
    <w:rsid w:val="004365EC"/>
    <w:rsid w:val="004375F0"/>
    <w:rsid w:val="004415AF"/>
    <w:rsid w:val="00442716"/>
    <w:rsid w:val="0044481C"/>
    <w:rsid w:val="00444A98"/>
    <w:rsid w:val="00444E4D"/>
    <w:rsid w:val="004452E8"/>
    <w:rsid w:val="0044544A"/>
    <w:rsid w:val="004454F7"/>
    <w:rsid w:val="00451757"/>
    <w:rsid w:val="00451976"/>
    <w:rsid w:val="00452DE6"/>
    <w:rsid w:val="004539B6"/>
    <w:rsid w:val="00453DDD"/>
    <w:rsid w:val="00454491"/>
    <w:rsid w:val="00457AB4"/>
    <w:rsid w:val="00457F83"/>
    <w:rsid w:val="004604CE"/>
    <w:rsid w:val="00461A61"/>
    <w:rsid w:val="004625BA"/>
    <w:rsid w:val="00463735"/>
    <w:rsid w:val="00463EEA"/>
    <w:rsid w:val="004641D7"/>
    <w:rsid w:val="0046578E"/>
    <w:rsid w:val="0046652B"/>
    <w:rsid w:val="00466ADE"/>
    <w:rsid w:val="004727B8"/>
    <w:rsid w:val="00472956"/>
    <w:rsid w:val="004745ED"/>
    <w:rsid w:val="0047683A"/>
    <w:rsid w:val="00480089"/>
    <w:rsid w:val="004800CD"/>
    <w:rsid w:val="00480214"/>
    <w:rsid w:val="004841A5"/>
    <w:rsid w:val="004848F7"/>
    <w:rsid w:val="00485683"/>
    <w:rsid w:val="00486797"/>
    <w:rsid w:val="00487518"/>
    <w:rsid w:val="00487B60"/>
    <w:rsid w:val="004905E5"/>
    <w:rsid w:val="00490E70"/>
    <w:rsid w:val="00491774"/>
    <w:rsid w:val="00492AF9"/>
    <w:rsid w:val="0049320E"/>
    <w:rsid w:val="00493A15"/>
    <w:rsid w:val="00493E07"/>
    <w:rsid w:val="00496D8B"/>
    <w:rsid w:val="0049737B"/>
    <w:rsid w:val="00497DD0"/>
    <w:rsid w:val="004A317A"/>
    <w:rsid w:val="004A516B"/>
    <w:rsid w:val="004B0F24"/>
    <w:rsid w:val="004B18B2"/>
    <w:rsid w:val="004B2943"/>
    <w:rsid w:val="004B54D4"/>
    <w:rsid w:val="004B5AB4"/>
    <w:rsid w:val="004B734B"/>
    <w:rsid w:val="004C0787"/>
    <w:rsid w:val="004C0BF4"/>
    <w:rsid w:val="004C0CF4"/>
    <w:rsid w:val="004C1BAB"/>
    <w:rsid w:val="004C2227"/>
    <w:rsid w:val="004C4724"/>
    <w:rsid w:val="004C74C2"/>
    <w:rsid w:val="004D0378"/>
    <w:rsid w:val="004D0EC9"/>
    <w:rsid w:val="004D1266"/>
    <w:rsid w:val="004D2D95"/>
    <w:rsid w:val="004D3068"/>
    <w:rsid w:val="004D558C"/>
    <w:rsid w:val="004E17EB"/>
    <w:rsid w:val="004E3094"/>
    <w:rsid w:val="004E3307"/>
    <w:rsid w:val="004E346B"/>
    <w:rsid w:val="004F1B38"/>
    <w:rsid w:val="004F50E1"/>
    <w:rsid w:val="004F5E8D"/>
    <w:rsid w:val="004F60D3"/>
    <w:rsid w:val="00502676"/>
    <w:rsid w:val="005033AA"/>
    <w:rsid w:val="00503A8C"/>
    <w:rsid w:val="00506C80"/>
    <w:rsid w:val="005077B1"/>
    <w:rsid w:val="0051019D"/>
    <w:rsid w:val="00510DDE"/>
    <w:rsid w:val="005119F7"/>
    <w:rsid w:val="00511F54"/>
    <w:rsid w:val="00514948"/>
    <w:rsid w:val="00514E44"/>
    <w:rsid w:val="005171AD"/>
    <w:rsid w:val="005178D9"/>
    <w:rsid w:val="00520274"/>
    <w:rsid w:val="00522B5F"/>
    <w:rsid w:val="00522C25"/>
    <w:rsid w:val="00522F97"/>
    <w:rsid w:val="00523769"/>
    <w:rsid w:val="0052684B"/>
    <w:rsid w:val="005271E6"/>
    <w:rsid w:val="005278A1"/>
    <w:rsid w:val="00532EF9"/>
    <w:rsid w:val="00533B3D"/>
    <w:rsid w:val="00533D5C"/>
    <w:rsid w:val="0053478A"/>
    <w:rsid w:val="005405B3"/>
    <w:rsid w:val="005405C1"/>
    <w:rsid w:val="0054070D"/>
    <w:rsid w:val="00543F35"/>
    <w:rsid w:val="0054445A"/>
    <w:rsid w:val="00544CBE"/>
    <w:rsid w:val="00544EEE"/>
    <w:rsid w:val="00547480"/>
    <w:rsid w:val="005540AF"/>
    <w:rsid w:val="00555A5A"/>
    <w:rsid w:val="00562551"/>
    <w:rsid w:val="00564993"/>
    <w:rsid w:val="00565C9F"/>
    <w:rsid w:val="0056699B"/>
    <w:rsid w:val="00567EF5"/>
    <w:rsid w:val="005719E1"/>
    <w:rsid w:val="00571CD1"/>
    <w:rsid w:val="0057265E"/>
    <w:rsid w:val="005729FE"/>
    <w:rsid w:val="00572F19"/>
    <w:rsid w:val="00574139"/>
    <w:rsid w:val="00574412"/>
    <w:rsid w:val="0057692D"/>
    <w:rsid w:val="005803E9"/>
    <w:rsid w:val="00581811"/>
    <w:rsid w:val="00582CD1"/>
    <w:rsid w:val="005831D5"/>
    <w:rsid w:val="00583A5B"/>
    <w:rsid w:val="00585261"/>
    <w:rsid w:val="00586476"/>
    <w:rsid w:val="00595166"/>
    <w:rsid w:val="00596790"/>
    <w:rsid w:val="00597318"/>
    <w:rsid w:val="00597525"/>
    <w:rsid w:val="00597BB0"/>
    <w:rsid w:val="005A1441"/>
    <w:rsid w:val="005A1C9B"/>
    <w:rsid w:val="005A2E20"/>
    <w:rsid w:val="005A421D"/>
    <w:rsid w:val="005A6EAB"/>
    <w:rsid w:val="005A74F2"/>
    <w:rsid w:val="005A7753"/>
    <w:rsid w:val="005B00A0"/>
    <w:rsid w:val="005B31C0"/>
    <w:rsid w:val="005B5AA6"/>
    <w:rsid w:val="005B6646"/>
    <w:rsid w:val="005B7005"/>
    <w:rsid w:val="005C0E49"/>
    <w:rsid w:val="005C239E"/>
    <w:rsid w:val="005C296B"/>
    <w:rsid w:val="005C35A4"/>
    <w:rsid w:val="005C3ED9"/>
    <w:rsid w:val="005C4E93"/>
    <w:rsid w:val="005D1D3F"/>
    <w:rsid w:val="005D2B4A"/>
    <w:rsid w:val="005D434D"/>
    <w:rsid w:val="005D5E36"/>
    <w:rsid w:val="005D5FE0"/>
    <w:rsid w:val="005D68E7"/>
    <w:rsid w:val="005D78C7"/>
    <w:rsid w:val="005D7AFD"/>
    <w:rsid w:val="005E21B0"/>
    <w:rsid w:val="005E3624"/>
    <w:rsid w:val="005E3B7F"/>
    <w:rsid w:val="005E4C58"/>
    <w:rsid w:val="005E4F80"/>
    <w:rsid w:val="005E6E36"/>
    <w:rsid w:val="005E7EA4"/>
    <w:rsid w:val="005F0716"/>
    <w:rsid w:val="005F0B78"/>
    <w:rsid w:val="005F15C2"/>
    <w:rsid w:val="005F326D"/>
    <w:rsid w:val="005F3624"/>
    <w:rsid w:val="005F6F7D"/>
    <w:rsid w:val="005F7CC5"/>
    <w:rsid w:val="006047C7"/>
    <w:rsid w:val="00604E4A"/>
    <w:rsid w:val="00605260"/>
    <w:rsid w:val="00605BDD"/>
    <w:rsid w:val="006071E9"/>
    <w:rsid w:val="00607458"/>
    <w:rsid w:val="00611D9A"/>
    <w:rsid w:val="00612B77"/>
    <w:rsid w:val="006132A3"/>
    <w:rsid w:val="00621767"/>
    <w:rsid w:val="00621C9E"/>
    <w:rsid w:val="00621EC6"/>
    <w:rsid w:val="006235F3"/>
    <w:rsid w:val="00624382"/>
    <w:rsid w:val="00626406"/>
    <w:rsid w:val="00626971"/>
    <w:rsid w:val="00630436"/>
    <w:rsid w:val="0063069C"/>
    <w:rsid w:val="0063279F"/>
    <w:rsid w:val="00633821"/>
    <w:rsid w:val="006343C0"/>
    <w:rsid w:val="0063627B"/>
    <w:rsid w:val="006369EC"/>
    <w:rsid w:val="00641046"/>
    <w:rsid w:val="006415D4"/>
    <w:rsid w:val="0064279F"/>
    <w:rsid w:val="006531C4"/>
    <w:rsid w:val="006560FD"/>
    <w:rsid w:val="006571C9"/>
    <w:rsid w:val="00661D9D"/>
    <w:rsid w:val="0066266B"/>
    <w:rsid w:val="0066355D"/>
    <w:rsid w:val="00663B01"/>
    <w:rsid w:val="00664B8C"/>
    <w:rsid w:val="00664EAE"/>
    <w:rsid w:val="006663E8"/>
    <w:rsid w:val="00666400"/>
    <w:rsid w:val="00666B40"/>
    <w:rsid w:val="006711BC"/>
    <w:rsid w:val="00672ABB"/>
    <w:rsid w:val="00672C54"/>
    <w:rsid w:val="00673F3A"/>
    <w:rsid w:val="00677398"/>
    <w:rsid w:val="00681639"/>
    <w:rsid w:val="00682228"/>
    <w:rsid w:val="00683627"/>
    <w:rsid w:val="00685055"/>
    <w:rsid w:val="006877BD"/>
    <w:rsid w:val="00687CFA"/>
    <w:rsid w:val="00694490"/>
    <w:rsid w:val="006949FC"/>
    <w:rsid w:val="00696660"/>
    <w:rsid w:val="006A2C0E"/>
    <w:rsid w:val="006A3406"/>
    <w:rsid w:val="006A4E3E"/>
    <w:rsid w:val="006A6059"/>
    <w:rsid w:val="006B0245"/>
    <w:rsid w:val="006B045B"/>
    <w:rsid w:val="006B3A10"/>
    <w:rsid w:val="006B52A2"/>
    <w:rsid w:val="006B5D63"/>
    <w:rsid w:val="006B633D"/>
    <w:rsid w:val="006B75E1"/>
    <w:rsid w:val="006B7720"/>
    <w:rsid w:val="006C0642"/>
    <w:rsid w:val="006C0BB3"/>
    <w:rsid w:val="006C3474"/>
    <w:rsid w:val="006C6C25"/>
    <w:rsid w:val="006C77AF"/>
    <w:rsid w:val="006D06A3"/>
    <w:rsid w:val="006D269B"/>
    <w:rsid w:val="006D37A2"/>
    <w:rsid w:val="006D4E39"/>
    <w:rsid w:val="006E1101"/>
    <w:rsid w:val="006E7463"/>
    <w:rsid w:val="006F2BDE"/>
    <w:rsid w:val="006F7AE9"/>
    <w:rsid w:val="006F7B0E"/>
    <w:rsid w:val="00700C4D"/>
    <w:rsid w:val="00702D87"/>
    <w:rsid w:val="00703A40"/>
    <w:rsid w:val="00704C79"/>
    <w:rsid w:val="0070518E"/>
    <w:rsid w:val="007060BA"/>
    <w:rsid w:val="00706119"/>
    <w:rsid w:val="007073DE"/>
    <w:rsid w:val="00710993"/>
    <w:rsid w:val="007122E5"/>
    <w:rsid w:val="00712360"/>
    <w:rsid w:val="00714D97"/>
    <w:rsid w:val="007177AB"/>
    <w:rsid w:val="007203B1"/>
    <w:rsid w:val="00720C1F"/>
    <w:rsid w:val="00722648"/>
    <w:rsid w:val="00722973"/>
    <w:rsid w:val="00722CA9"/>
    <w:rsid w:val="007239BF"/>
    <w:rsid w:val="0072600F"/>
    <w:rsid w:val="00727774"/>
    <w:rsid w:val="00730184"/>
    <w:rsid w:val="00731A1E"/>
    <w:rsid w:val="007325B7"/>
    <w:rsid w:val="0073266D"/>
    <w:rsid w:val="00733625"/>
    <w:rsid w:val="007415CE"/>
    <w:rsid w:val="007434A0"/>
    <w:rsid w:val="00743710"/>
    <w:rsid w:val="007446B5"/>
    <w:rsid w:val="00745A95"/>
    <w:rsid w:val="00747070"/>
    <w:rsid w:val="0074754B"/>
    <w:rsid w:val="0075026F"/>
    <w:rsid w:val="007521F5"/>
    <w:rsid w:val="007529D2"/>
    <w:rsid w:val="007549C4"/>
    <w:rsid w:val="00755788"/>
    <w:rsid w:val="00757F3A"/>
    <w:rsid w:val="007600D0"/>
    <w:rsid w:val="00760345"/>
    <w:rsid w:val="00760F70"/>
    <w:rsid w:val="00761038"/>
    <w:rsid w:val="00763CD7"/>
    <w:rsid w:val="00766B37"/>
    <w:rsid w:val="00766F57"/>
    <w:rsid w:val="00767138"/>
    <w:rsid w:val="007737AF"/>
    <w:rsid w:val="007745DC"/>
    <w:rsid w:val="00777D57"/>
    <w:rsid w:val="00777D9E"/>
    <w:rsid w:val="0078150B"/>
    <w:rsid w:val="007827FC"/>
    <w:rsid w:val="00782F7D"/>
    <w:rsid w:val="00784374"/>
    <w:rsid w:val="00785B9B"/>
    <w:rsid w:val="00786A82"/>
    <w:rsid w:val="0078736E"/>
    <w:rsid w:val="0079663D"/>
    <w:rsid w:val="007A07A2"/>
    <w:rsid w:val="007A0C54"/>
    <w:rsid w:val="007A20D2"/>
    <w:rsid w:val="007A57CC"/>
    <w:rsid w:val="007A5ECB"/>
    <w:rsid w:val="007A64DC"/>
    <w:rsid w:val="007B0002"/>
    <w:rsid w:val="007B0595"/>
    <w:rsid w:val="007B20CC"/>
    <w:rsid w:val="007B20EF"/>
    <w:rsid w:val="007B2492"/>
    <w:rsid w:val="007B3C58"/>
    <w:rsid w:val="007B7C5D"/>
    <w:rsid w:val="007B7ED9"/>
    <w:rsid w:val="007C3C8E"/>
    <w:rsid w:val="007C4220"/>
    <w:rsid w:val="007C470D"/>
    <w:rsid w:val="007C4B86"/>
    <w:rsid w:val="007C74A5"/>
    <w:rsid w:val="007D1F39"/>
    <w:rsid w:val="007D3720"/>
    <w:rsid w:val="007D6A46"/>
    <w:rsid w:val="007D6B91"/>
    <w:rsid w:val="007D6C2B"/>
    <w:rsid w:val="007D7B9F"/>
    <w:rsid w:val="007E1AE9"/>
    <w:rsid w:val="007E2A44"/>
    <w:rsid w:val="007E6384"/>
    <w:rsid w:val="007F03AB"/>
    <w:rsid w:val="007F151B"/>
    <w:rsid w:val="007F17BC"/>
    <w:rsid w:val="007F1DCB"/>
    <w:rsid w:val="007F21C8"/>
    <w:rsid w:val="007F413F"/>
    <w:rsid w:val="007F4204"/>
    <w:rsid w:val="007F43AA"/>
    <w:rsid w:val="007F5CE3"/>
    <w:rsid w:val="007F787F"/>
    <w:rsid w:val="007F7B53"/>
    <w:rsid w:val="008032A7"/>
    <w:rsid w:val="008049AE"/>
    <w:rsid w:val="00806820"/>
    <w:rsid w:val="00807292"/>
    <w:rsid w:val="00810CB4"/>
    <w:rsid w:val="00811284"/>
    <w:rsid w:val="00812E07"/>
    <w:rsid w:val="00814F9E"/>
    <w:rsid w:val="0082193B"/>
    <w:rsid w:val="008223D0"/>
    <w:rsid w:val="00824E82"/>
    <w:rsid w:val="008255F6"/>
    <w:rsid w:val="00825A7A"/>
    <w:rsid w:val="008270FE"/>
    <w:rsid w:val="00836795"/>
    <w:rsid w:val="00840032"/>
    <w:rsid w:val="008423D9"/>
    <w:rsid w:val="00842547"/>
    <w:rsid w:val="008435E7"/>
    <w:rsid w:val="0084417B"/>
    <w:rsid w:val="00845A6B"/>
    <w:rsid w:val="00846312"/>
    <w:rsid w:val="0084711B"/>
    <w:rsid w:val="00847C1B"/>
    <w:rsid w:val="008524AE"/>
    <w:rsid w:val="00852B7F"/>
    <w:rsid w:val="008545CF"/>
    <w:rsid w:val="00856959"/>
    <w:rsid w:val="008571F6"/>
    <w:rsid w:val="00857973"/>
    <w:rsid w:val="0086008E"/>
    <w:rsid w:val="00860F2A"/>
    <w:rsid w:val="00861683"/>
    <w:rsid w:val="00865BCA"/>
    <w:rsid w:val="00866C97"/>
    <w:rsid w:val="00871C2D"/>
    <w:rsid w:val="00873BFE"/>
    <w:rsid w:val="00874CA6"/>
    <w:rsid w:val="00877DBF"/>
    <w:rsid w:val="00880361"/>
    <w:rsid w:val="00880A56"/>
    <w:rsid w:val="0088446E"/>
    <w:rsid w:val="00884748"/>
    <w:rsid w:val="00884E31"/>
    <w:rsid w:val="008946D3"/>
    <w:rsid w:val="00895E9B"/>
    <w:rsid w:val="0089626C"/>
    <w:rsid w:val="008966A0"/>
    <w:rsid w:val="00897D8C"/>
    <w:rsid w:val="008A3C45"/>
    <w:rsid w:val="008A5507"/>
    <w:rsid w:val="008B0095"/>
    <w:rsid w:val="008B0AF6"/>
    <w:rsid w:val="008B0F63"/>
    <w:rsid w:val="008B2752"/>
    <w:rsid w:val="008B3647"/>
    <w:rsid w:val="008B3782"/>
    <w:rsid w:val="008B7396"/>
    <w:rsid w:val="008C3BD9"/>
    <w:rsid w:val="008C6209"/>
    <w:rsid w:val="008C6E98"/>
    <w:rsid w:val="008C7563"/>
    <w:rsid w:val="008C76DA"/>
    <w:rsid w:val="008C7D2C"/>
    <w:rsid w:val="008D17E3"/>
    <w:rsid w:val="008D455C"/>
    <w:rsid w:val="008D5412"/>
    <w:rsid w:val="008D57E9"/>
    <w:rsid w:val="008D5864"/>
    <w:rsid w:val="008E0A5A"/>
    <w:rsid w:val="008E1429"/>
    <w:rsid w:val="008E1782"/>
    <w:rsid w:val="008E3D57"/>
    <w:rsid w:val="008E4CF4"/>
    <w:rsid w:val="008E5045"/>
    <w:rsid w:val="008E5564"/>
    <w:rsid w:val="008E5D90"/>
    <w:rsid w:val="008E677B"/>
    <w:rsid w:val="008F11E7"/>
    <w:rsid w:val="008F25BC"/>
    <w:rsid w:val="008F2FC8"/>
    <w:rsid w:val="008F4C87"/>
    <w:rsid w:val="008F7BF1"/>
    <w:rsid w:val="00900C0F"/>
    <w:rsid w:val="009014BD"/>
    <w:rsid w:val="00902C01"/>
    <w:rsid w:val="00903F94"/>
    <w:rsid w:val="00905137"/>
    <w:rsid w:val="009123A5"/>
    <w:rsid w:val="00914333"/>
    <w:rsid w:val="00914889"/>
    <w:rsid w:val="00924962"/>
    <w:rsid w:val="009250C6"/>
    <w:rsid w:val="009266CD"/>
    <w:rsid w:val="009268E4"/>
    <w:rsid w:val="0092760F"/>
    <w:rsid w:val="009302DA"/>
    <w:rsid w:val="00930F28"/>
    <w:rsid w:val="00932450"/>
    <w:rsid w:val="00932EEF"/>
    <w:rsid w:val="00934FB6"/>
    <w:rsid w:val="009354CF"/>
    <w:rsid w:val="009355CF"/>
    <w:rsid w:val="0093605E"/>
    <w:rsid w:val="00936765"/>
    <w:rsid w:val="00936A93"/>
    <w:rsid w:val="00936B38"/>
    <w:rsid w:val="009464AE"/>
    <w:rsid w:val="00947E2B"/>
    <w:rsid w:val="00950918"/>
    <w:rsid w:val="009513DE"/>
    <w:rsid w:val="00951C90"/>
    <w:rsid w:val="00952F26"/>
    <w:rsid w:val="0095440C"/>
    <w:rsid w:val="0095476A"/>
    <w:rsid w:val="00955630"/>
    <w:rsid w:val="0095733C"/>
    <w:rsid w:val="009575F2"/>
    <w:rsid w:val="00963F3C"/>
    <w:rsid w:val="0096590E"/>
    <w:rsid w:val="00965B73"/>
    <w:rsid w:val="009669B6"/>
    <w:rsid w:val="009677F2"/>
    <w:rsid w:val="00973C8C"/>
    <w:rsid w:val="0097714B"/>
    <w:rsid w:val="00983070"/>
    <w:rsid w:val="00983573"/>
    <w:rsid w:val="00983BEC"/>
    <w:rsid w:val="00983CAC"/>
    <w:rsid w:val="009854E8"/>
    <w:rsid w:val="00985698"/>
    <w:rsid w:val="00987118"/>
    <w:rsid w:val="00990BC5"/>
    <w:rsid w:val="00990EB9"/>
    <w:rsid w:val="00990F6F"/>
    <w:rsid w:val="009926EB"/>
    <w:rsid w:val="0099328F"/>
    <w:rsid w:val="00993FBE"/>
    <w:rsid w:val="009950CC"/>
    <w:rsid w:val="00996538"/>
    <w:rsid w:val="00996942"/>
    <w:rsid w:val="009A14C9"/>
    <w:rsid w:val="009A20EA"/>
    <w:rsid w:val="009A21EE"/>
    <w:rsid w:val="009A2D3C"/>
    <w:rsid w:val="009A4DF6"/>
    <w:rsid w:val="009A76A5"/>
    <w:rsid w:val="009B03C1"/>
    <w:rsid w:val="009B4093"/>
    <w:rsid w:val="009B47C5"/>
    <w:rsid w:val="009B695B"/>
    <w:rsid w:val="009B798B"/>
    <w:rsid w:val="009B7BE6"/>
    <w:rsid w:val="009C0240"/>
    <w:rsid w:val="009C254B"/>
    <w:rsid w:val="009C69CA"/>
    <w:rsid w:val="009C6E94"/>
    <w:rsid w:val="009D0228"/>
    <w:rsid w:val="009D0BA2"/>
    <w:rsid w:val="009D1D19"/>
    <w:rsid w:val="009D428A"/>
    <w:rsid w:val="009D469E"/>
    <w:rsid w:val="009D4A4A"/>
    <w:rsid w:val="009D5C2D"/>
    <w:rsid w:val="009D7F2B"/>
    <w:rsid w:val="009E022A"/>
    <w:rsid w:val="009E08DE"/>
    <w:rsid w:val="009E0BBE"/>
    <w:rsid w:val="009E0DE9"/>
    <w:rsid w:val="009E13F9"/>
    <w:rsid w:val="009E14DD"/>
    <w:rsid w:val="009E1655"/>
    <w:rsid w:val="009E1940"/>
    <w:rsid w:val="009E1A2A"/>
    <w:rsid w:val="009E33BA"/>
    <w:rsid w:val="009E3783"/>
    <w:rsid w:val="009E44BC"/>
    <w:rsid w:val="009F0074"/>
    <w:rsid w:val="009F067B"/>
    <w:rsid w:val="009F0AC4"/>
    <w:rsid w:val="009F2036"/>
    <w:rsid w:val="00A001FD"/>
    <w:rsid w:val="00A013F6"/>
    <w:rsid w:val="00A01493"/>
    <w:rsid w:val="00A02724"/>
    <w:rsid w:val="00A05B74"/>
    <w:rsid w:val="00A06A3F"/>
    <w:rsid w:val="00A11619"/>
    <w:rsid w:val="00A15EAA"/>
    <w:rsid w:val="00A16288"/>
    <w:rsid w:val="00A20D54"/>
    <w:rsid w:val="00A21414"/>
    <w:rsid w:val="00A3248C"/>
    <w:rsid w:val="00A329AE"/>
    <w:rsid w:val="00A334BA"/>
    <w:rsid w:val="00A35063"/>
    <w:rsid w:val="00A35484"/>
    <w:rsid w:val="00A40430"/>
    <w:rsid w:val="00A408A8"/>
    <w:rsid w:val="00A40D57"/>
    <w:rsid w:val="00A41301"/>
    <w:rsid w:val="00A418A5"/>
    <w:rsid w:val="00A423BD"/>
    <w:rsid w:val="00A44EA7"/>
    <w:rsid w:val="00A45146"/>
    <w:rsid w:val="00A45736"/>
    <w:rsid w:val="00A46E68"/>
    <w:rsid w:val="00A473E9"/>
    <w:rsid w:val="00A53AA0"/>
    <w:rsid w:val="00A5411A"/>
    <w:rsid w:val="00A5441A"/>
    <w:rsid w:val="00A5539F"/>
    <w:rsid w:val="00A6138E"/>
    <w:rsid w:val="00A624BF"/>
    <w:rsid w:val="00A64A75"/>
    <w:rsid w:val="00A64BE9"/>
    <w:rsid w:val="00A65B77"/>
    <w:rsid w:val="00A6611B"/>
    <w:rsid w:val="00A679CA"/>
    <w:rsid w:val="00A67BF3"/>
    <w:rsid w:val="00A706B3"/>
    <w:rsid w:val="00A71B2A"/>
    <w:rsid w:val="00A7278B"/>
    <w:rsid w:val="00A83DA9"/>
    <w:rsid w:val="00A83E2F"/>
    <w:rsid w:val="00A86F08"/>
    <w:rsid w:val="00A91407"/>
    <w:rsid w:val="00A92659"/>
    <w:rsid w:val="00A9266A"/>
    <w:rsid w:val="00A95102"/>
    <w:rsid w:val="00A955BE"/>
    <w:rsid w:val="00AA146D"/>
    <w:rsid w:val="00AA3E24"/>
    <w:rsid w:val="00AA438C"/>
    <w:rsid w:val="00AA56FE"/>
    <w:rsid w:val="00AA5CF2"/>
    <w:rsid w:val="00AA63CD"/>
    <w:rsid w:val="00AA6B14"/>
    <w:rsid w:val="00AB0319"/>
    <w:rsid w:val="00AB1639"/>
    <w:rsid w:val="00AB32E6"/>
    <w:rsid w:val="00AB3383"/>
    <w:rsid w:val="00AB48AB"/>
    <w:rsid w:val="00AB49E3"/>
    <w:rsid w:val="00AB4B5B"/>
    <w:rsid w:val="00AB4EB0"/>
    <w:rsid w:val="00AB634B"/>
    <w:rsid w:val="00AB7F53"/>
    <w:rsid w:val="00AC02B0"/>
    <w:rsid w:val="00AC225C"/>
    <w:rsid w:val="00AC256A"/>
    <w:rsid w:val="00AC3748"/>
    <w:rsid w:val="00AC55E3"/>
    <w:rsid w:val="00AC6369"/>
    <w:rsid w:val="00AD02E2"/>
    <w:rsid w:val="00AD22B2"/>
    <w:rsid w:val="00AD41D9"/>
    <w:rsid w:val="00AD57D2"/>
    <w:rsid w:val="00AD5B73"/>
    <w:rsid w:val="00AE05C8"/>
    <w:rsid w:val="00AE0CE9"/>
    <w:rsid w:val="00AE2E1E"/>
    <w:rsid w:val="00AE35CF"/>
    <w:rsid w:val="00AE3D88"/>
    <w:rsid w:val="00AE40F2"/>
    <w:rsid w:val="00AE6237"/>
    <w:rsid w:val="00AF065E"/>
    <w:rsid w:val="00AF3835"/>
    <w:rsid w:val="00AF6B62"/>
    <w:rsid w:val="00AF7516"/>
    <w:rsid w:val="00B010FD"/>
    <w:rsid w:val="00B03008"/>
    <w:rsid w:val="00B0382E"/>
    <w:rsid w:val="00B05709"/>
    <w:rsid w:val="00B125A8"/>
    <w:rsid w:val="00B12EE3"/>
    <w:rsid w:val="00B135AB"/>
    <w:rsid w:val="00B1539E"/>
    <w:rsid w:val="00B1783E"/>
    <w:rsid w:val="00B26D5D"/>
    <w:rsid w:val="00B320A8"/>
    <w:rsid w:val="00B33E5F"/>
    <w:rsid w:val="00B35A86"/>
    <w:rsid w:val="00B35AAF"/>
    <w:rsid w:val="00B3783E"/>
    <w:rsid w:val="00B37F39"/>
    <w:rsid w:val="00B403FF"/>
    <w:rsid w:val="00B406ED"/>
    <w:rsid w:val="00B4098C"/>
    <w:rsid w:val="00B409DA"/>
    <w:rsid w:val="00B40DE6"/>
    <w:rsid w:val="00B4210E"/>
    <w:rsid w:val="00B431C3"/>
    <w:rsid w:val="00B4575E"/>
    <w:rsid w:val="00B53423"/>
    <w:rsid w:val="00B54737"/>
    <w:rsid w:val="00B547BA"/>
    <w:rsid w:val="00B54C84"/>
    <w:rsid w:val="00B557A4"/>
    <w:rsid w:val="00B56146"/>
    <w:rsid w:val="00B60405"/>
    <w:rsid w:val="00B612BA"/>
    <w:rsid w:val="00B61336"/>
    <w:rsid w:val="00B62850"/>
    <w:rsid w:val="00B63A0B"/>
    <w:rsid w:val="00B67514"/>
    <w:rsid w:val="00B70234"/>
    <w:rsid w:val="00B70CD6"/>
    <w:rsid w:val="00B75482"/>
    <w:rsid w:val="00B75A8A"/>
    <w:rsid w:val="00B76262"/>
    <w:rsid w:val="00B76DFB"/>
    <w:rsid w:val="00B776C2"/>
    <w:rsid w:val="00B77B9B"/>
    <w:rsid w:val="00B802D2"/>
    <w:rsid w:val="00B80824"/>
    <w:rsid w:val="00B80E98"/>
    <w:rsid w:val="00B821AC"/>
    <w:rsid w:val="00B82371"/>
    <w:rsid w:val="00B90410"/>
    <w:rsid w:val="00B90C8E"/>
    <w:rsid w:val="00B90EC2"/>
    <w:rsid w:val="00B91140"/>
    <w:rsid w:val="00B92FC0"/>
    <w:rsid w:val="00B93A3E"/>
    <w:rsid w:val="00B95810"/>
    <w:rsid w:val="00B95BFC"/>
    <w:rsid w:val="00B9647A"/>
    <w:rsid w:val="00BA0296"/>
    <w:rsid w:val="00BA1365"/>
    <w:rsid w:val="00BA3ECA"/>
    <w:rsid w:val="00BB0C21"/>
    <w:rsid w:val="00BB217C"/>
    <w:rsid w:val="00BB3C8B"/>
    <w:rsid w:val="00BB56DE"/>
    <w:rsid w:val="00BB6CD0"/>
    <w:rsid w:val="00BB774E"/>
    <w:rsid w:val="00BC05D9"/>
    <w:rsid w:val="00BC06C0"/>
    <w:rsid w:val="00BC12D1"/>
    <w:rsid w:val="00BC2750"/>
    <w:rsid w:val="00BC41A8"/>
    <w:rsid w:val="00BC5B54"/>
    <w:rsid w:val="00BC60A3"/>
    <w:rsid w:val="00BD020A"/>
    <w:rsid w:val="00BD1A8E"/>
    <w:rsid w:val="00BD30D3"/>
    <w:rsid w:val="00BD374A"/>
    <w:rsid w:val="00BD4825"/>
    <w:rsid w:val="00BD4972"/>
    <w:rsid w:val="00BD6060"/>
    <w:rsid w:val="00BD74B3"/>
    <w:rsid w:val="00BD7603"/>
    <w:rsid w:val="00BD7651"/>
    <w:rsid w:val="00BD79F5"/>
    <w:rsid w:val="00BE03D5"/>
    <w:rsid w:val="00BE1638"/>
    <w:rsid w:val="00BE59CE"/>
    <w:rsid w:val="00BE6569"/>
    <w:rsid w:val="00BE798E"/>
    <w:rsid w:val="00BE7A5A"/>
    <w:rsid w:val="00BF27DB"/>
    <w:rsid w:val="00BF3874"/>
    <w:rsid w:val="00BF4AEB"/>
    <w:rsid w:val="00BF5702"/>
    <w:rsid w:val="00BF59FA"/>
    <w:rsid w:val="00BF7486"/>
    <w:rsid w:val="00BF7D9E"/>
    <w:rsid w:val="00C00006"/>
    <w:rsid w:val="00C0038F"/>
    <w:rsid w:val="00C010EB"/>
    <w:rsid w:val="00C05E46"/>
    <w:rsid w:val="00C05F0E"/>
    <w:rsid w:val="00C077CF"/>
    <w:rsid w:val="00C12159"/>
    <w:rsid w:val="00C12E4E"/>
    <w:rsid w:val="00C13A3F"/>
    <w:rsid w:val="00C14350"/>
    <w:rsid w:val="00C1620C"/>
    <w:rsid w:val="00C20856"/>
    <w:rsid w:val="00C20E39"/>
    <w:rsid w:val="00C26652"/>
    <w:rsid w:val="00C3239B"/>
    <w:rsid w:val="00C32B27"/>
    <w:rsid w:val="00C34D49"/>
    <w:rsid w:val="00C36673"/>
    <w:rsid w:val="00C41CAB"/>
    <w:rsid w:val="00C44806"/>
    <w:rsid w:val="00C44B23"/>
    <w:rsid w:val="00C47451"/>
    <w:rsid w:val="00C47DFE"/>
    <w:rsid w:val="00C51088"/>
    <w:rsid w:val="00C514F8"/>
    <w:rsid w:val="00C551DA"/>
    <w:rsid w:val="00C56206"/>
    <w:rsid w:val="00C56DBB"/>
    <w:rsid w:val="00C57FEC"/>
    <w:rsid w:val="00C60506"/>
    <w:rsid w:val="00C61672"/>
    <w:rsid w:val="00C6177B"/>
    <w:rsid w:val="00C6238D"/>
    <w:rsid w:val="00C63F1E"/>
    <w:rsid w:val="00C63FC9"/>
    <w:rsid w:val="00C6551C"/>
    <w:rsid w:val="00C658E8"/>
    <w:rsid w:val="00C66B2F"/>
    <w:rsid w:val="00C673AB"/>
    <w:rsid w:val="00C67A15"/>
    <w:rsid w:val="00C71720"/>
    <w:rsid w:val="00C7185B"/>
    <w:rsid w:val="00C71C7B"/>
    <w:rsid w:val="00C83E64"/>
    <w:rsid w:val="00C83FFC"/>
    <w:rsid w:val="00C8484E"/>
    <w:rsid w:val="00C869C1"/>
    <w:rsid w:val="00C9181F"/>
    <w:rsid w:val="00C95535"/>
    <w:rsid w:val="00C9740F"/>
    <w:rsid w:val="00CA0835"/>
    <w:rsid w:val="00CA2474"/>
    <w:rsid w:val="00CA2A4F"/>
    <w:rsid w:val="00CA6127"/>
    <w:rsid w:val="00CB4365"/>
    <w:rsid w:val="00CB4EA7"/>
    <w:rsid w:val="00CB58F7"/>
    <w:rsid w:val="00CB5EAF"/>
    <w:rsid w:val="00CB6924"/>
    <w:rsid w:val="00CB7DAF"/>
    <w:rsid w:val="00CC100B"/>
    <w:rsid w:val="00CC287A"/>
    <w:rsid w:val="00CC3561"/>
    <w:rsid w:val="00CC5A91"/>
    <w:rsid w:val="00CC6083"/>
    <w:rsid w:val="00CD047C"/>
    <w:rsid w:val="00CD07BD"/>
    <w:rsid w:val="00CD087E"/>
    <w:rsid w:val="00CD3D2B"/>
    <w:rsid w:val="00CD51E5"/>
    <w:rsid w:val="00CD5A87"/>
    <w:rsid w:val="00CE194F"/>
    <w:rsid w:val="00CE4D5D"/>
    <w:rsid w:val="00CE51D8"/>
    <w:rsid w:val="00CE60B8"/>
    <w:rsid w:val="00CE6562"/>
    <w:rsid w:val="00CF1C3D"/>
    <w:rsid w:val="00CF49EF"/>
    <w:rsid w:val="00CF7963"/>
    <w:rsid w:val="00D0080E"/>
    <w:rsid w:val="00D0134F"/>
    <w:rsid w:val="00D027EB"/>
    <w:rsid w:val="00D03317"/>
    <w:rsid w:val="00D03E0E"/>
    <w:rsid w:val="00D058E2"/>
    <w:rsid w:val="00D10D9B"/>
    <w:rsid w:val="00D13A2C"/>
    <w:rsid w:val="00D14599"/>
    <w:rsid w:val="00D17C23"/>
    <w:rsid w:val="00D21D37"/>
    <w:rsid w:val="00D21D83"/>
    <w:rsid w:val="00D26B9D"/>
    <w:rsid w:val="00D271A0"/>
    <w:rsid w:val="00D27240"/>
    <w:rsid w:val="00D27699"/>
    <w:rsid w:val="00D358B4"/>
    <w:rsid w:val="00D35B7B"/>
    <w:rsid w:val="00D42D43"/>
    <w:rsid w:val="00D442D2"/>
    <w:rsid w:val="00D442EE"/>
    <w:rsid w:val="00D460FC"/>
    <w:rsid w:val="00D476B2"/>
    <w:rsid w:val="00D5070D"/>
    <w:rsid w:val="00D50DD0"/>
    <w:rsid w:val="00D52134"/>
    <w:rsid w:val="00D541ED"/>
    <w:rsid w:val="00D567E8"/>
    <w:rsid w:val="00D57765"/>
    <w:rsid w:val="00D6061A"/>
    <w:rsid w:val="00D61032"/>
    <w:rsid w:val="00D72363"/>
    <w:rsid w:val="00D7350F"/>
    <w:rsid w:val="00D738EE"/>
    <w:rsid w:val="00D75F2D"/>
    <w:rsid w:val="00D763F3"/>
    <w:rsid w:val="00D767E2"/>
    <w:rsid w:val="00D810A6"/>
    <w:rsid w:val="00D82EA9"/>
    <w:rsid w:val="00D83937"/>
    <w:rsid w:val="00D86AC6"/>
    <w:rsid w:val="00D86CAC"/>
    <w:rsid w:val="00D905D9"/>
    <w:rsid w:val="00D91F0F"/>
    <w:rsid w:val="00D94035"/>
    <w:rsid w:val="00D94437"/>
    <w:rsid w:val="00D94698"/>
    <w:rsid w:val="00D949C9"/>
    <w:rsid w:val="00D94AF3"/>
    <w:rsid w:val="00D95933"/>
    <w:rsid w:val="00D965EF"/>
    <w:rsid w:val="00DA15D1"/>
    <w:rsid w:val="00DA1856"/>
    <w:rsid w:val="00DA3D5F"/>
    <w:rsid w:val="00DA676B"/>
    <w:rsid w:val="00DA715D"/>
    <w:rsid w:val="00DA7704"/>
    <w:rsid w:val="00DB164D"/>
    <w:rsid w:val="00DB1A62"/>
    <w:rsid w:val="00DB2699"/>
    <w:rsid w:val="00DB2D36"/>
    <w:rsid w:val="00DB2EEE"/>
    <w:rsid w:val="00DB4FC5"/>
    <w:rsid w:val="00DB6E35"/>
    <w:rsid w:val="00DC149A"/>
    <w:rsid w:val="00DC1A02"/>
    <w:rsid w:val="00DC2071"/>
    <w:rsid w:val="00DC210B"/>
    <w:rsid w:val="00DC4892"/>
    <w:rsid w:val="00DC5851"/>
    <w:rsid w:val="00DD3BC9"/>
    <w:rsid w:val="00DD438E"/>
    <w:rsid w:val="00DD5819"/>
    <w:rsid w:val="00DD6C6D"/>
    <w:rsid w:val="00DD6D8E"/>
    <w:rsid w:val="00DD75ED"/>
    <w:rsid w:val="00DD784E"/>
    <w:rsid w:val="00DD7F18"/>
    <w:rsid w:val="00DE0736"/>
    <w:rsid w:val="00DE2E02"/>
    <w:rsid w:val="00DE37E0"/>
    <w:rsid w:val="00DE61EE"/>
    <w:rsid w:val="00DE7726"/>
    <w:rsid w:val="00DE7F4E"/>
    <w:rsid w:val="00DF0ACC"/>
    <w:rsid w:val="00DF2539"/>
    <w:rsid w:val="00DF3092"/>
    <w:rsid w:val="00DF3180"/>
    <w:rsid w:val="00DF3875"/>
    <w:rsid w:val="00DF5CEF"/>
    <w:rsid w:val="00DF6B53"/>
    <w:rsid w:val="00DF78C3"/>
    <w:rsid w:val="00E01823"/>
    <w:rsid w:val="00E01885"/>
    <w:rsid w:val="00E03120"/>
    <w:rsid w:val="00E03138"/>
    <w:rsid w:val="00E1087F"/>
    <w:rsid w:val="00E126A4"/>
    <w:rsid w:val="00E127F5"/>
    <w:rsid w:val="00E14E50"/>
    <w:rsid w:val="00E15926"/>
    <w:rsid w:val="00E1652B"/>
    <w:rsid w:val="00E23435"/>
    <w:rsid w:val="00E26754"/>
    <w:rsid w:val="00E271FD"/>
    <w:rsid w:val="00E27AD1"/>
    <w:rsid w:val="00E306C2"/>
    <w:rsid w:val="00E3093F"/>
    <w:rsid w:val="00E309E7"/>
    <w:rsid w:val="00E30D08"/>
    <w:rsid w:val="00E31E40"/>
    <w:rsid w:val="00E33537"/>
    <w:rsid w:val="00E33828"/>
    <w:rsid w:val="00E345BE"/>
    <w:rsid w:val="00E34D7E"/>
    <w:rsid w:val="00E35B5F"/>
    <w:rsid w:val="00E373E3"/>
    <w:rsid w:val="00E41100"/>
    <w:rsid w:val="00E41B43"/>
    <w:rsid w:val="00E42F07"/>
    <w:rsid w:val="00E434EA"/>
    <w:rsid w:val="00E4357E"/>
    <w:rsid w:val="00E43DAF"/>
    <w:rsid w:val="00E44C8D"/>
    <w:rsid w:val="00E4508A"/>
    <w:rsid w:val="00E51BDA"/>
    <w:rsid w:val="00E52CC5"/>
    <w:rsid w:val="00E53E4D"/>
    <w:rsid w:val="00E548BD"/>
    <w:rsid w:val="00E5595A"/>
    <w:rsid w:val="00E605C8"/>
    <w:rsid w:val="00E609E9"/>
    <w:rsid w:val="00E61AB8"/>
    <w:rsid w:val="00E6206E"/>
    <w:rsid w:val="00E6329E"/>
    <w:rsid w:val="00E65297"/>
    <w:rsid w:val="00E6746B"/>
    <w:rsid w:val="00E6797D"/>
    <w:rsid w:val="00E70751"/>
    <w:rsid w:val="00E714AE"/>
    <w:rsid w:val="00E72AE9"/>
    <w:rsid w:val="00E742BD"/>
    <w:rsid w:val="00E74475"/>
    <w:rsid w:val="00E74974"/>
    <w:rsid w:val="00E765D9"/>
    <w:rsid w:val="00E76AD0"/>
    <w:rsid w:val="00E7775C"/>
    <w:rsid w:val="00E77A1F"/>
    <w:rsid w:val="00E80371"/>
    <w:rsid w:val="00E84666"/>
    <w:rsid w:val="00E93F0F"/>
    <w:rsid w:val="00E94637"/>
    <w:rsid w:val="00EA0038"/>
    <w:rsid w:val="00EA1B06"/>
    <w:rsid w:val="00EA3467"/>
    <w:rsid w:val="00EA3482"/>
    <w:rsid w:val="00EA4D04"/>
    <w:rsid w:val="00EA5E4E"/>
    <w:rsid w:val="00EA5E68"/>
    <w:rsid w:val="00EB168E"/>
    <w:rsid w:val="00EB2C69"/>
    <w:rsid w:val="00EB6CB1"/>
    <w:rsid w:val="00EB723C"/>
    <w:rsid w:val="00EC07C3"/>
    <w:rsid w:val="00EC0E85"/>
    <w:rsid w:val="00EC1317"/>
    <w:rsid w:val="00EC1469"/>
    <w:rsid w:val="00EC27CF"/>
    <w:rsid w:val="00EC2E71"/>
    <w:rsid w:val="00EC4DED"/>
    <w:rsid w:val="00EC637C"/>
    <w:rsid w:val="00EC6F2C"/>
    <w:rsid w:val="00ED06DA"/>
    <w:rsid w:val="00ED16CF"/>
    <w:rsid w:val="00ED338D"/>
    <w:rsid w:val="00ED3668"/>
    <w:rsid w:val="00ED3792"/>
    <w:rsid w:val="00ED4C4A"/>
    <w:rsid w:val="00ED6040"/>
    <w:rsid w:val="00ED622A"/>
    <w:rsid w:val="00ED704C"/>
    <w:rsid w:val="00ED780C"/>
    <w:rsid w:val="00EE00F4"/>
    <w:rsid w:val="00EE08CB"/>
    <w:rsid w:val="00EE0DBF"/>
    <w:rsid w:val="00EE102E"/>
    <w:rsid w:val="00EE3409"/>
    <w:rsid w:val="00EE3A04"/>
    <w:rsid w:val="00EE4490"/>
    <w:rsid w:val="00EE58C6"/>
    <w:rsid w:val="00EE658C"/>
    <w:rsid w:val="00EE6692"/>
    <w:rsid w:val="00EE7342"/>
    <w:rsid w:val="00EF3861"/>
    <w:rsid w:val="00EF40FA"/>
    <w:rsid w:val="00EF488C"/>
    <w:rsid w:val="00EF570F"/>
    <w:rsid w:val="00F0051F"/>
    <w:rsid w:val="00F00CD2"/>
    <w:rsid w:val="00F010B4"/>
    <w:rsid w:val="00F03A0C"/>
    <w:rsid w:val="00F04F2A"/>
    <w:rsid w:val="00F0636B"/>
    <w:rsid w:val="00F06CFB"/>
    <w:rsid w:val="00F076B5"/>
    <w:rsid w:val="00F10E89"/>
    <w:rsid w:val="00F11D8E"/>
    <w:rsid w:val="00F126DD"/>
    <w:rsid w:val="00F14C6D"/>
    <w:rsid w:val="00F1649C"/>
    <w:rsid w:val="00F17BCD"/>
    <w:rsid w:val="00F206C3"/>
    <w:rsid w:val="00F2096F"/>
    <w:rsid w:val="00F215B6"/>
    <w:rsid w:val="00F2494F"/>
    <w:rsid w:val="00F2642B"/>
    <w:rsid w:val="00F267E6"/>
    <w:rsid w:val="00F276FD"/>
    <w:rsid w:val="00F27A94"/>
    <w:rsid w:val="00F30A6D"/>
    <w:rsid w:val="00F317C9"/>
    <w:rsid w:val="00F33650"/>
    <w:rsid w:val="00F3391A"/>
    <w:rsid w:val="00F34C87"/>
    <w:rsid w:val="00F350D3"/>
    <w:rsid w:val="00F35A9F"/>
    <w:rsid w:val="00F35F17"/>
    <w:rsid w:val="00F36C4D"/>
    <w:rsid w:val="00F41C2C"/>
    <w:rsid w:val="00F42C8B"/>
    <w:rsid w:val="00F432D8"/>
    <w:rsid w:val="00F448E3"/>
    <w:rsid w:val="00F44E60"/>
    <w:rsid w:val="00F512B9"/>
    <w:rsid w:val="00F53A16"/>
    <w:rsid w:val="00F53CCC"/>
    <w:rsid w:val="00F53E37"/>
    <w:rsid w:val="00F55488"/>
    <w:rsid w:val="00F55D6E"/>
    <w:rsid w:val="00F5688F"/>
    <w:rsid w:val="00F56923"/>
    <w:rsid w:val="00F60880"/>
    <w:rsid w:val="00F617BE"/>
    <w:rsid w:val="00F63BA5"/>
    <w:rsid w:val="00F661DA"/>
    <w:rsid w:val="00F66310"/>
    <w:rsid w:val="00F6717F"/>
    <w:rsid w:val="00F701BA"/>
    <w:rsid w:val="00F702CE"/>
    <w:rsid w:val="00F71141"/>
    <w:rsid w:val="00F727CF"/>
    <w:rsid w:val="00F72864"/>
    <w:rsid w:val="00F74CC1"/>
    <w:rsid w:val="00F7686E"/>
    <w:rsid w:val="00F800F4"/>
    <w:rsid w:val="00F826F5"/>
    <w:rsid w:val="00F8285C"/>
    <w:rsid w:val="00F82CEF"/>
    <w:rsid w:val="00F82F59"/>
    <w:rsid w:val="00F83120"/>
    <w:rsid w:val="00F8598E"/>
    <w:rsid w:val="00F8697C"/>
    <w:rsid w:val="00F92E0C"/>
    <w:rsid w:val="00F93B5B"/>
    <w:rsid w:val="00F96B8C"/>
    <w:rsid w:val="00F970EE"/>
    <w:rsid w:val="00FA0FCF"/>
    <w:rsid w:val="00FA1125"/>
    <w:rsid w:val="00FA2706"/>
    <w:rsid w:val="00FA2A80"/>
    <w:rsid w:val="00FB000A"/>
    <w:rsid w:val="00FC0E06"/>
    <w:rsid w:val="00FC20A1"/>
    <w:rsid w:val="00FC4570"/>
    <w:rsid w:val="00FD11D5"/>
    <w:rsid w:val="00FD14E3"/>
    <w:rsid w:val="00FD1586"/>
    <w:rsid w:val="00FD2311"/>
    <w:rsid w:val="00FD25C2"/>
    <w:rsid w:val="00FD72B3"/>
    <w:rsid w:val="00FD7EC9"/>
    <w:rsid w:val="00FE1178"/>
    <w:rsid w:val="00FE1D84"/>
    <w:rsid w:val="00FE2231"/>
    <w:rsid w:val="00FE3293"/>
    <w:rsid w:val="00FE36DE"/>
    <w:rsid w:val="00FE47DF"/>
    <w:rsid w:val="00FE5E7B"/>
    <w:rsid w:val="00FE6925"/>
    <w:rsid w:val="00FE6E8A"/>
    <w:rsid w:val="00FE7DF0"/>
    <w:rsid w:val="00FF0B33"/>
    <w:rsid w:val="00FF22A9"/>
    <w:rsid w:val="00FF3EC0"/>
    <w:rsid w:val="00FF691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17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0" w:qFormat="1"/>
    <w:lsdException w:name="annotation reference" w:uiPriority="0"/>
    <w:lsdException w:name="line number" w:uiPriority="0"/>
    <w:lsdException w:name="page number" w:uiPriority="0"/>
    <w:lsdException w:name="endnote reference" w:uiPriority="0"/>
    <w:lsdException w:name="endnote text" w:uiPriority="0"/>
    <w:lsdException w:name="List Bullet" w:uiPriority="0"/>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annotation subject" w:uiPriority="0"/>
    <w:lsdException w:name="Table Grid 8" w:uiPriority="0"/>
    <w:lsdException w:name="Table 3D effects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329E"/>
    <w:pPr>
      <w:spacing w:before="120" w:after="0"/>
      <w:jc w:val="both"/>
    </w:pPr>
    <w:rPr>
      <w:rFonts w:ascii="Calibri" w:eastAsia="Times New Roman" w:hAnsi="Calibri" w:cs="Times New Roman"/>
      <w:sz w:val="24"/>
      <w:szCs w:val="24"/>
      <w:lang w:val="en-GB"/>
    </w:rPr>
  </w:style>
  <w:style w:type="paragraph" w:styleId="Heading1">
    <w:name w:val="heading 1"/>
    <w:aliases w:val="Section,HEADING 1,Section Heading,MainHeader,1 ghost,g,Main heading,App1,1,h1,L1,Outline1,Chapter Heading,Text Heading 18pt,Full Page Heading 1,toc1a,AAR Level 1 Heading,Article Heading,EASI 1,Hoofdstuk,Heading 1-nonum,Headline,Chapter Title"/>
    <w:basedOn w:val="Normal"/>
    <w:next w:val="Heading2"/>
    <w:link w:val="Heading1Char"/>
    <w:qFormat/>
    <w:rsid w:val="00E6329E"/>
    <w:pPr>
      <w:keepNext/>
      <w:numPr>
        <w:numId w:val="2"/>
      </w:numPr>
      <w:spacing w:after="60" w:line="360" w:lineRule="auto"/>
      <w:outlineLvl w:val="0"/>
    </w:pPr>
    <w:rPr>
      <w:rFonts w:cs="Arial"/>
      <w:b/>
      <w:bCs/>
      <w:color w:val="333399"/>
      <w:kern w:val="32"/>
      <w:szCs w:val="32"/>
    </w:rPr>
  </w:style>
  <w:style w:type="paragraph" w:styleId="Heading2">
    <w:name w:val="heading 2"/>
    <w:aliases w:val="Major,h2,2,Titre 2,l2,list + change bar,???,h21,heading 2,LetHead2,MisHead2,Normalhead2,Normal Heading 2,1.1 HEADING 2,Z_hanging_2,Subchapter 1.1,Reset numbering,2/1,A,level 2,2 headline,h2 main heading,B Heading,H2,Centerhead,A.B.C.,PARA2,b1"/>
    <w:basedOn w:val="ListParagraph"/>
    <w:link w:val="Heading2Char1"/>
    <w:qFormat/>
    <w:rsid w:val="00812E07"/>
    <w:pPr>
      <w:keepNext/>
      <w:numPr>
        <w:ilvl w:val="1"/>
        <w:numId w:val="1"/>
      </w:numPr>
      <w:spacing w:before="0"/>
      <w:outlineLvl w:val="1"/>
    </w:pPr>
    <w:rPr>
      <w:rFonts w:asciiTheme="minorHAnsi" w:hAnsiTheme="minorHAnsi" w:cstheme="minorHAnsi"/>
      <w:b/>
      <w:bCs/>
      <w:color w:val="000000"/>
    </w:rPr>
  </w:style>
  <w:style w:type="paragraph" w:styleId="Heading3">
    <w:name w:val="heading 3"/>
    <w:aliases w:val="3,h3,No Indent,Newshead1,C Heading,Half Space,Minor,Título 3_PDAPM_3,h31,Titre 3,l3,CT,LetHead3,Normal Heading 3,MisHead3,Normalhead3,Z_hanging_3,H3,H31,H32,H33,H34,H35,H36,H37,H38,H311,H321,H331,H341,H351,H361,H371,H39,H312,H322,Bu,heading 3"/>
    <w:basedOn w:val="Heading2"/>
    <w:link w:val="Heading3Char"/>
    <w:qFormat/>
    <w:rsid w:val="00812E07"/>
    <w:pPr>
      <w:numPr>
        <w:ilvl w:val="2"/>
      </w:numPr>
      <w:outlineLvl w:val="2"/>
    </w:pPr>
    <w:rPr>
      <w:b w:val="0"/>
    </w:rPr>
  </w:style>
  <w:style w:type="paragraph" w:styleId="Heading4">
    <w:name w:val="heading 4"/>
    <w:aliases w:val="( i ),o"/>
    <w:basedOn w:val="Normal"/>
    <w:link w:val="Heading4Char"/>
    <w:qFormat/>
    <w:rsid w:val="00E6329E"/>
    <w:pPr>
      <w:numPr>
        <w:ilvl w:val="3"/>
        <w:numId w:val="1"/>
      </w:numPr>
      <w:outlineLvl w:val="3"/>
    </w:pPr>
    <w:rPr>
      <w:bCs/>
      <w:szCs w:val="28"/>
    </w:rPr>
  </w:style>
  <w:style w:type="paragraph" w:styleId="Heading5">
    <w:name w:val="heading 5"/>
    <w:basedOn w:val="Normal"/>
    <w:next w:val="Normal"/>
    <w:link w:val="Heading5Char"/>
    <w:qFormat/>
    <w:rsid w:val="00E6329E"/>
    <w:pPr>
      <w:numPr>
        <w:ilvl w:val="4"/>
        <w:numId w:val="1"/>
      </w:numPr>
      <w:tabs>
        <w:tab w:val="left" w:pos="1440"/>
      </w:tabs>
      <w:spacing w:before="240" w:after="60"/>
      <w:outlineLvl w:val="4"/>
    </w:pPr>
    <w:rPr>
      <w:b/>
      <w:bCs/>
      <w:i/>
      <w:iCs/>
      <w:szCs w:val="26"/>
    </w:rPr>
  </w:style>
  <w:style w:type="paragraph" w:styleId="Heading6">
    <w:name w:val="heading 6"/>
    <w:basedOn w:val="Normal"/>
    <w:next w:val="Normal"/>
    <w:link w:val="Heading6Char"/>
    <w:qFormat/>
    <w:rsid w:val="00E6329E"/>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E6329E"/>
    <w:pPr>
      <w:numPr>
        <w:ilvl w:val="6"/>
        <w:numId w:val="1"/>
      </w:numPr>
      <w:spacing w:before="240" w:after="60"/>
      <w:outlineLvl w:val="6"/>
    </w:pPr>
  </w:style>
  <w:style w:type="paragraph" w:styleId="Heading8">
    <w:name w:val="heading 8"/>
    <w:basedOn w:val="Normal"/>
    <w:next w:val="Normal"/>
    <w:link w:val="Heading8Char"/>
    <w:qFormat/>
    <w:rsid w:val="00E6329E"/>
    <w:pPr>
      <w:numPr>
        <w:ilvl w:val="7"/>
        <w:numId w:val="1"/>
      </w:numPr>
      <w:spacing w:before="240" w:after="60"/>
      <w:outlineLvl w:val="7"/>
    </w:pPr>
    <w:rPr>
      <w:i/>
      <w:iCs/>
    </w:rPr>
  </w:style>
  <w:style w:type="paragraph" w:styleId="Heading9">
    <w:name w:val="heading 9"/>
    <w:basedOn w:val="Normal"/>
    <w:next w:val="Normal"/>
    <w:link w:val="Heading9Char"/>
    <w:qFormat/>
    <w:rsid w:val="00E6329E"/>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Char,HEADING 1 Char,Section Heading Char,MainHeader Char,1 ghost Char,g Char,Main heading Char,App1 Char,1 Char,h1 Char,L1 Char,Outline1 Char,Chapter Heading Char,Text Heading 18pt Char,Full Page Heading 1 Char,toc1a Char"/>
    <w:basedOn w:val="DefaultParagraphFont"/>
    <w:link w:val="Heading1"/>
    <w:rsid w:val="00E6329E"/>
    <w:rPr>
      <w:rFonts w:ascii="Calibri" w:eastAsia="Times New Roman" w:hAnsi="Calibri" w:cs="Arial"/>
      <w:b/>
      <w:bCs/>
      <w:color w:val="333399"/>
      <w:kern w:val="32"/>
      <w:sz w:val="24"/>
      <w:szCs w:val="32"/>
      <w:lang w:val="en-GB"/>
    </w:rPr>
  </w:style>
  <w:style w:type="character" w:customStyle="1" w:styleId="Heading2Char">
    <w:name w:val="Heading 2 Char"/>
    <w:basedOn w:val="DefaultParagraphFont"/>
    <w:link w:val="Heading2"/>
    <w:rsid w:val="00E6329E"/>
    <w:rPr>
      <w:rFonts w:asciiTheme="majorHAnsi" w:eastAsiaTheme="majorEastAsia" w:hAnsiTheme="majorHAnsi" w:cstheme="majorBidi"/>
      <w:b/>
      <w:bCs/>
      <w:color w:val="4F81BD" w:themeColor="accent1"/>
      <w:sz w:val="26"/>
      <w:szCs w:val="26"/>
      <w:lang w:val="en-GB"/>
    </w:rPr>
  </w:style>
  <w:style w:type="character" w:customStyle="1" w:styleId="Heading3Char">
    <w:name w:val="Heading 3 Char"/>
    <w:aliases w:val="3 Char,h3 Char,No Indent Char,Newshead1 Char,C Heading Char,Half Space Char,Minor Char,Título 3_PDAPM_3 Char,h31 Char,Titre 3 Char,l3 Char,CT Char,LetHead3 Char,Normal Heading 3 Char,MisHead3 Char,Normalhead3 Char,Z_hanging_3 Char,H3 Char"/>
    <w:basedOn w:val="DefaultParagraphFont"/>
    <w:link w:val="Heading3"/>
    <w:rsid w:val="00812E07"/>
    <w:rPr>
      <w:rFonts w:eastAsia="Times New Roman" w:cstheme="minorHAnsi"/>
      <w:bCs/>
      <w:color w:val="000000"/>
      <w:sz w:val="24"/>
      <w:szCs w:val="24"/>
      <w:lang w:val="en-GB"/>
    </w:rPr>
  </w:style>
  <w:style w:type="character" w:customStyle="1" w:styleId="Heading4Char">
    <w:name w:val="Heading 4 Char"/>
    <w:aliases w:val="( i ) Char,o Char"/>
    <w:basedOn w:val="DefaultParagraphFont"/>
    <w:link w:val="Heading4"/>
    <w:rsid w:val="00E6329E"/>
    <w:rPr>
      <w:rFonts w:ascii="Calibri" w:eastAsia="Times New Roman" w:hAnsi="Calibri" w:cs="Times New Roman"/>
      <w:bCs/>
      <w:sz w:val="24"/>
      <w:szCs w:val="28"/>
      <w:lang w:val="en-GB"/>
    </w:rPr>
  </w:style>
  <w:style w:type="character" w:customStyle="1" w:styleId="Heading5Char">
    <w:name w:val="Heading 5 Char"/>
    <w:basedOn w:val="DefaultParagraphFont"/>
    <w:link w:val="Heading5"/>
    <w:rsid w:val="00E6329E"/>
    <w:rPr>
      <w:rFonts w:ascii="Calibri" w:eastAsia="Times New Roman" w:hAnsi="Calibri" w:cs="Times New Roman"/>
      <w:b/>
      <w:bCs/>
      <w:i/>
      <w:iCs/>
      <w:sz w:val="24"/>
      <w:szCs w:val="26"/>
      <w:lang w:val="en-GB"/>
    </w:rPr>
  </w:style>
  <w:style w:type="character" w:customStyle="1" w:styleId="Heading6Char">
    <w:name w:val="Heading 6 Char"/>
    <w:basedOn w:val="DefaultParagraphFont"/>
    <w:link w:val="Heading6"/>
    <w:rsid w:val="00E6329E"/>
    <w:rPr>
      <w:rFonts w:ascii="Calibri" w:eastAsia="Times New Roman" w:hAnsi="Calibri" w:cs="Times New Roman"/>
      <w:b/>
      <w:bCs/>
      <w:lang w:val="en-GB"/>
    </w:rPr>
  </w:style>
  <w:style w:type="character" w:customStyle="1" w:styleId="Heading7Char">
    <w:name w:val="Heading 7 Char"/>
    <w:basedOn w:val="DefaultParagraphFont"/>
    <w:link w:val="Heading7"/>
    <w:rsid w:val="00E6329E"/>
    <w:rPr>
      <w:rFonts w:ascii="Calibri" w:eastAsia="Times New Roman" w:hAnsi="Calibri" w:cs="Times New Roman"/>
      <w:sz w:val="24"/>
      <w:szCs w:val="24"/>
      <w:lang w:val="en-GB"/>
    </w:rPr>
  </w:style>
  <w:style w:type="character" w:customStyle="1" w:styleId="Heading8Char">
    <w:name w:val="Heading 8 Char"/>
    <w:basedOn w:val="DefaultParagraphFont"/>
    <w:link w:val="Heading8"/>
    <w:rsid w:val="00E6329E"/>
    <w:rPr>
      <w:rFonts w:ascii="Calibri" w:eastAsia="Times New Roman" w:hAnsi="Calibri" w:cs="Times New Roman"/>
      <w:i/>
      <w:iCs/>
      <w:sz w:val="24"/>
      <w:szCs w:val="24"/>
      <w:lang w:val="en-GB"/>
    </w:rPr>
  </w:style>
  <w:style w:type="character" w:customStyle="1" w:styleId="Heading9Char">
    <w:name w:val="Heading 9 Char"/>
    <w:basedOn w:val="DefaultParagraphFont"/>
    <w:link w:val="Heading9"/>
    <w:rsid w:val="00E6329E"/>
    <w:rPr>
      <w:rFonts w:ascii="Arial" w:eastAsia="Times New Roman" w:hAnsi="Arial" w:cs="Arial"/>
      <w:lang w:val="en-GB"/>
    </w:rPr>
  </w:style>
  <w:style w:type="paragraph" w:styleId="ListParagraph">
    <w:name w:val="List Paragraph"/>
    <w:basedOn w:val="Normal"/>
    <w:link w:val="ListParagraphChar"/>
    <w:uiPriority w:val="34"/>
    <w:qFormat/>
    <w:rsid w:val="00E6329E"/>
    <w:pPr>
      <w:ind w:left="720"/>
    </w:pPr>
  </w:style>
  <w:style w:type="character" w:customStyle="1" w:styleId="ListParagraphChar">
    <w:name w:val="List Paragraph Char"/>
    <w:basedOn w:val="DefaultParagraphFont"/>
    <w:link w:val="ListParagraph"/>
    <w:uiPriority w:val="34"/>
    <w:rsid w:val="00E6329E"/>
    <w:rPr>
      <w:rFonts w:ascii="Calibri" w:eastAsia="Times New Roman" w:hAnsi="Calibri" w:cs="Times New Roman"/>
      <w:sz w:val="24"/>
      <w:szCs w:val="24"/>
      <w:lang w:val="en-GB"/>
    </w:rPr>
  </w:style>
  <w:style w:type="character" w:customStyle="1" w:styleId="Heading2Char1">
    <w:name w:val="Heading 2 Char1"/>
    <w:aliases w:val="Major Char,h2 Char,2 Char,Titre 2 Char,l2 Char,list + change bar Char,??? Char,h21 Char,heading 2 Char,LetHead2 Char,MisHead2 Char,Normalhead2 Char,Normal Heading 2 Char,1.1 HEADING 2 Char,Z_hanging_2 Char,Subchapter 1.1 Char,2/1 Char"/>
    <w:link w:val="Heading2"/>
    <w:rsid w:val="00812E07"/>
    <w:rPr>
      <w:rFonts w:eastAsia="Times New Roman" w:cstheme="minorHAnsi"/>
      <w:b/>
      <w:bCs/>
      <w:color w:val="000000"/>
      <w:sz w:val="24"/>
      <w:szCs w:val="24"/>
      <w:lang w:val="en-GB"/>
    </w:rPr>
  </w:style>
  <w:style w:type="paragraph" w:styleId="Header">
    <w:name w:val="header"/>
    <w:aliases w:val="heading 3 after h2,h,h3+,ContentsHeader,hd,*Header,Section Header,page-header,ph,Header 2,Name,Tab Title,H-PDID,h6,h22,h7,h8,Chapter Name"/>
    <w:basedOn w:val="Normal"/>
    <w:link w:val="HeaderChar"/>
    <w:rsid w:val="00E6329E"/>
    <w:pPr>
      <w:tabs>
        <w:tab w:val="center" w:pos="4320"/>
        <w:tab w:val="right" w:pos="8640"/>
      </w:tabs>
    </w:pPr>
  </w:style>
  <w:style w:type="character" w:customStyle="1" w:styleId="HeaderChar">
    <w:name w:val="Header Char"/>
    <w:aliases w:val="heading 3 after h2 Char,h Char,h3+ Char,ContentsHeader Char,hd Char,*Header Char,Section Header Char,page-header Char,ph Char,Header 2 Char,Name Char,Tab Title Char,H-PDID Char,h6 Char,h22 Char,h7 Char,h8 Char,Chapter Name Char"/>
    <w:basedOn w:val="DefaultParagraphFont"/>
    <w:link w:val="Header"/>
    <w:rsid w:val="00E6329E"/>
    <w:rPr>
      <w:rFonts w:ascii="Calibri" w:eastAsia="Times New Roman" w:hAnsi="Calibri" w:cs="Times New Roman"/>
      <w:sz w:val="24"/>
      <w:szCs w:val="24"/>
      <w:lang w:val="en-GB"/>
    </w:rPr>
  </w:style>
  <w:style w:type="paragraph" w:styleId="TableofFigures">
    <w:name w:val="table of figures"/>
    <w:basedOn w:val="Normal"/>
    <w:next w:val="Normal"/>
    <w:uiPriority w:val="99"/>
    <w:rsid w:val="00E6329E"/>
    <w:pPr>
      <w:ind w:left="480" w:hanging="480"/>
      <w:jc w:val="left"/>
    </w:pPr>
    <w:rPr>
      <w:rFonts w:asciiTheme="minorHAnsi" w:hAnsiTheme="minorHAnsi" w:cstheme="minorHAnsi"/>
      <w:smallCaps/>
      <w:sz w:val="20"/>
      <w:szCs w:val="20"/>
    </w:rPr>
  </w:style>
  <w:style w:type="paragraph" w:styleId="TOC1">
    <w:name w:val="toc 1"/>
    <w:basedOn w:val="Normal"/>
    <w:next w:val="Normal"/>
    <w:autoRedefine/>
    <w:uiPriority w:val="39"/>
    <w:qFormat/>
    <w:rsid w:val="00E6329E"/>
    <w:pPr>
      <w:tabs>
        <w:tab w:val="left" w:pos="480"/>
        <w:tab w:val="right" w:leader="dot" w:pos="8659"/>
      </w:tabs>
      <w:spacing w:after="120"/>
      <w:jc w:val="center"/>
    </w:pPr>
    <w:rPr>
      <w:rFonts w:asciiTheme="minorHAnsi" w:hAnsiTheme="minorHAnsi" w:cstheme="minorHAnsi"/>
      <w:bCs/>
      <w:caps/>
      <w:sz w:val="20"/>
      <w:szCs w:val="20"/>
    </w:rPr>
  </w:style>
  <w:style w:type="paragraph" w:styleId="Footer">
    <w:name w:val="footer"/>
    <w:aliases w:val="eersteregel"/>
    <w:basedOn w:val="Normal"/>
    <w:link w:val="FooterChar"/>
    <w:rsid w:val="00E6329E"/>
    <w:pPr>
      <w:tabs>
        <w:tab w:val="center" w:pos="4320"/>
        <w:tab w:val="right" w:pos="8640"/>
      </w:tabs>
    </w:pPr>
  </w:style>
  <w:style w:type="character" w:customStyle="1" w:styleId="FooterChar">
    <w:name w:val="Footer Char"/>
    <w:aliases w:val="eersteregel Char"/>
    <w:basedOn w:val="DefaultParagraphFont"/>
    <w:link w:val="Footer"/>
    <w:rsid w:val="00E6329E"/>
    <w:rPr>
      <w:rFonts w:ascii="Calibri" w:eastAsia="Times New Roman" w:hAnsi="Calibri" w:cs="Times New Roman"/>
      <w:sz w:val="24"/>
      <w:szCs w:val="24"/>
      <w:lang w:val="en-GB"/>
    </w:rPr>
  </w:style>
  <w:style w:type="paragraph" w:styleId="TOC2">
    <w:name w:val="toc 2"/>
    <w:basedOn w:val="Normal"/>
    <w:next w:val="Normal"/>
    <w:autoRedefine/>
    <w:uiPriority w:val="39"/>
    <w:qFormat/>
    <w:rsid w:val="00E6329E"/>
    <w:pPr>
      <w:ind w:left="240"/>
      <w:jc w:val="left"/>
    </w:pPr>
    <w:rPr>
      <w:rFonts w:asciiTheme="minorHAnsi" w:hAnsiTheme="minorHAnsi" w:cstheme="minorHAnsi"/>
      <w:smallCaps/>
      <w:sz w:val="20"/>
      <w:szCs w:val="20"/>
    </w:rPr>
  </w:style>
  <w:style w:type="character" w:styleId="Hyperlink">
    <w:name w:val="Hyperlink"/>
    <w:uiPriority w:val="99"/>
    <w:rsid w:val="00E6329E"/>
    <w:rPr>
      <w:color w:val="0000FF"/>
      <w:u w:val="single"/>
    </w:rPr>
  </w:style>
  <w:style w:type="paragraph" w:styleId="TOC3">
    <w:name w:val="toc 3"/>
    <w:basedOn w:val="Normal"/>
    <w:next w:val="Normal"/>
    <w:autoRedefine/>
    <w:uiPriority w:val="39"/>
    <w:qFormat/>
    <w:rsid w:val="00E6329E"/>
    <w:pPr>
      <w:ind w:left="480"/>
      <w:jc w:val="left"/>
    </w:pPr>
    <w:rPr>
      <w:rFonts w:asciiTheme="minorHAnsi" w:hAnsiTheme="minorHAnsi" w:cstheme="minorHAnsi"/>
      <w:i/>
      <w:iCs/>
      <w:sz w:val="20"/>
      <w:szCs w:val="20"/>
    </w:rPr>
  </w:style>
  <w:style w:type="paragraph" w:styleId="Caption">
    <w:name w:val="caption"/>
    <w:aliases w:val="Caption Char1"/>
    <w:basedOn w:val="Normal"/>
    <w:next w:val="Normal"/>
    <w:qFormat/>
    <w:rsid w:val="00E6329E"/>
    <w:pPr>
      <w:spacing w:after="120" w:line="240" w:lineRule="auto"/>
      <w:jc w:val="left"/>
    </w:pPr>
    <w:rPr>
      <w:b/>
      <w:bCs/>
      <w:szCs w:val="20"/>
    </w:rPr>
  </w:style>
  <w:style w:type="character" w:styleId="CommentReference">
    <w:name w:val="annotation reference"/>
    <w:rsid w:val="00E6329E"/>
    <w:rPr>
      <w:sz w:val="16"/>
      <w:szCs w:val="16"/>
    </w:rPr>
  </w:style>
  <w:style w:type="paragraph" w:styleId="CommentText">
    <w:name w:val="annotation text"/>
    <w:basedOn w:val="Normal"/>
    <w:link w:val="CommentTextChar"/>
    <w:rsid w:val="00E6329E"/>
    <w:rPr>
      <w:sz w:val="20"/>
      <w:szCs w:val="20"/>
    </w:rPr>
  </w:style>
  <w:style w:type="character" w:customStyle="1" w:styleId="CommentTextChar">
    <w:name w:val="Comment Text Char"/>
    <w:basedOn w:val="DefaultParagraphFont"/>
    <w:link w:val="CommentText"/>
    <w:rsid w:val="00E6329E"/>
    <w:rPr>
      <w:rFonts w:ascii="Calibri" w:eastAsia="Times New Roman" w:hAnsi="Calibri" w:cs="Times New Roman"/>
      <w:sz w:val="20"/>
      <w:szCs w:val="20"/>
      <w:lang w:val="en-GB"/>
    </w:rPr>
  </w:style>
  <w:style w:type="paragraph" w:styleId="CommentSubject">
    <w:name w:val="annotation subject"/>
    <w:basedOn w:val="CommentText"/>
    <w:next w:val="CommentText"/>
    <w:link w:val="CommentSubjectChar"/>
    <w:rsid w:val="00E6329E"/>
    <w:rPr>
      <w:b/>
      <w:bCs/>
    </w:rPr>
  </w:style>
  <w:style w:type="character" w:customStyle="1" w:styleId="CommentSubjectChar">
    <w:name w:val="Comment Subject Char"/>
    <w:basedOn w:val="CommentTextChar"/>
    <w:link w:val="CommentSubject"/>
    <w:rsid w:val="00E6329E"/>
    <w:rPr>
      <w:b/>
      <w:bCs/>
    </w:rPr>
  </w:style>
  <w:style w:type="paragraph" w:styleId="BalloonText">
    <w:name w:val="Balloon Text"/>
    <w:basedOn w:val="Normal"/>
    <w:link w:val="BalloonTextChar"/>
    <w:rsid w:val="00E6329E"/>
    <w:rPr>
      <w:rFonts w:ascii="Tahoma" w:hAnsi="Tahoma" w:cs="Tahoma"/>
      <w:sz w:val="16"/>
      <w:szCs w:val="16"/>
    </w:rPr>
  </w:style>
  <w:style w:type="character" w:customStyle="1" w:styleId="BalloonTextChar">
    <w:name w:val="Balloon Text Char"/>
    <w:basedOn w:val="DefaultParagraphFont"/>
    <w:link w:val="BalloonText"/>
    <w:rsid w:val="00E6329E"/>
    <w:rPr>
      <w:rFonts w:ascii="Tahoma" w:eastAsia="Times New Roman" w:hAnsi="Tahoma" w:cs="Tahoma"/>
      <w:sz w:val="16"/>
      <w:szCs w:val="16"/>
      <w:lang w:val="en-GB"/>
    </w:rPr>
  </w:style>
  <w:style w:type="paragraph" w:customStyle="1" w:styleId="StyleCaptionCentered">
    <w:name w:val="Style Caption + Centered"/>
    <w:basedOn w:val="Caption"/>
    <w:rsid w:val="00E6329E"/>
    <w:pPr>
      <w:keepNext/>
      <w:jc w:val="center"/>
    </w:pPr>
    <w:rPr>
      <w:rFonts w:ascii="Book Antiqua" w:hAnsi="Book Antiqua"/>
    </w:rPr>
  </w:style>
  <w:style w:type="paragraph" w:customStyle="1" w:styleId="StyleHeading3Bold">
    <w:name w:val="Style Heading 3 + Bold"/>
    <w:basedOn w:val="Heading3"/>
    <w:rsid w:val="00E6329E"/>
    <w:rPr>
      <w:b/>
    </w:rPr>
  </w:style>
  <w:style w:type="paragraph" w:customStyle="1" w:styleId="StyleHeading2NotLatinBoldBefore6ptAfter6pt">
    <w:name w:val="Style Heading 2 + Not (Latin) Bold Before:  6 pt After:  6 pt"/>
    <w:basedOn w:val="Heading2"/>
    <w:rsid w:val="00E6329E"/>
    <w:pPr>
      <w:tabs>
        <w:tab w:val="num" w:pos="576"/>
      </w:tabs>
      <w:spacing w:after="120"/>
    </w:pPr>
    <w:rPr>
      <w:b w:val="0"/>
    </w:rPr>
  </w:style>
  <w:style w:type="paragraph" w:customStyle="1" w:styleId="StyleCaptionCentered1">
    <w:name w:val="Style Caption + Centered1"/>
    <w:basedOn w:val="Caption"/>
    <w:rsid w:val="00E6329E"/>
    <w:pPr>
      <w:keepNext/>
      <w:jc w:val="center"/>
    </w:pPr>
    <w:rPr>
      <w:rFonts w:ascii="Book Antiqua" w:hAnsi="Book Antiqua"/>
    </w:rPr>
  </w:style>
  <w:style w:type="paragraph" w:customStyle="1" w:styleId="StyleHeading2After6pt">
    <w:name w:val="Style Heading 2 + After:  6 pt"/>
    <w:basedOn w:val="Heading2"/>
    <w:rsid w:val="00E6329E"/>
    <w:pPr>
      <w:spacing w:after="120"/>
    </w:pPr>
    <w:rPr>
      <w:rFonts w:cs="Times New Roman"/>
      <w:iCs/>
      <w:szCs w:val="20"/>
    </w:rPr>
  </w:style>
  <w:style w:type="character" w:styleId="PageNumber">
    <w:name w:val="page number"/>
    <w:basedOn w:val="DefaultParagraphFont"/>
    <w:rsid w:val="00E6329E"/>
  </w:style>
  <w:style w:type="paragraph" w:styleId="TOC4">
    <w:name w:val="toc 4"/>
    <w:basedOn w:val="Normal"/>
    <w:next w:val="Normal"/>
    <w:autoRedefine/>
    <w:uiPriority w:val="39"/>
    <w:rsid w:val="00E6329E"/>
    <w:pPr>
      <w:ind w:left="720"/>
      <w:jc w:val="left"/>
    </w:pPr>
    <w:rPr>
      <w:rFonts w:asciiTheme="minorHAnsi" w:hAnsiTheme="minorHAnsi" w:cstheme="minorHAnsi"/>
      <w:sz w:val="18"/>
      <w:szCs w:val="18"/>
    </w:rPr>
  </w:style>
  <w:style w:type="paragraph" w:styleId="TOC5">
    <w:name w:val="toc 5"/>
    <w:basedOn w:val="Normal"/>
    <w:next w:val="Normal"/>
    <w:autoRedefine/>
    <w:uiPriority w:val="39"/>
    <w:rsid w:val="00E6329E"/>
    <w:pPr>
      <w:ind w:left="960"/>
      <w:jc w:val="left"/>
    </w:pPr>
    <w:rPr>
      <w:rFonts w:asciiTheme="minorHAnsi" w:hAnsiTheme="minorHAnsi" w:cstheme="minorHAnsi"/>
      <w:sz w:val="18"/>
      <w:szCs w:val="18"/>
    </w:rPr>
  </w:style>
  <w:style w:type="paragraph" w:styleId="TOC6">
    <w:name w:val="toc 6"/>
    <w:basedOn w:val="Normal"/>
    <w:next w:val="Normal"/>
    <w:autoRedefine/>
    <w:uiPriority w:val="39"/>
    <w:rsid w:val="00E6329E"/>
    <w:pPr>
      <w:ind w:left="1200"/>
      <w:jc w:val="left"/>
    </w:pPr>
    <w:rPr>
      <w:rFonts w:asciiTheme="minorHAnsi" w:hAnsiTheme="minorHAnsi" w:cstheme="minorHAnsi"/>
      <w:sz w:val="18"/>
      <w:szCs w:val="18"/>
    </w:rPr>
  </w:style>
  <w:style w:type="paragraph" w:styleId="TOC7">
    <w:name w:val="toc 7"/>
    <w:basedOn w:val="Normal"/>
    <w:next w:val="Normal"/>
    <w:autoRedefine/>
    <w:uiPriority w:val="39"/>
    <w:rsid w:val="00E6329E"/>
    <w:pPr>
      <w:ind w:left="1440"/>
      <w:jc w:val="left"/>
    </w:pPr>
    <w:rPr>
      <w:rFonts w:asciiTheme="minorHAnsi" w:hAnsiTheme="minorHAnsi" w:cstheme="minorHAnsi"/>
      <w:sz w:val="18"/>
      <w:szCs w:val="18"/>
    </w:rPr>
  </w:style>
  <w:style w:type="paragraph" w:styleId="TOC8">
    <w:name w:val="toc 8"/>
    <w:basedOn w:val="Normal"/>
    <w:next w:val="Normal"/>
    <w:autoRedefine/>
    <w:uiPriority w:val="39"/>
    <w:rsid w:val="00E6329E"/>
    <w:pPr>
      <w:ind w:left="1680"/>
      <w:jc w:val="left"/>
    </w:pPr>
    <w:rPr>
      <w:rFonts w:asciiTheme="minorHAnsi" w:hAnsiTheme="minorHAnsi" w:cstheme="minorHAnsi"/>
      <w:sz w:val="18"/>
      <w:szCs w:val="18"/>
    </w:rPr>
  </w:style>
  <w:style w:type="paragraph" w:styleId="TOC9">
    <w:name w:val="toc 9"/>
    <w:basedOn w:val="Normal"/>
    <w:next w:val="Normal"/>
    <w:autoRedefine/>
    <w:uiPriority w:val="39"/>
    <w:rsid w:val="00E6329E"/>
    <w:pPr>
      <w:ind w:left="1920"/>
      <w:jc w:val="left"/>
    </w:pPr>
    <w:rPr>
      <w:rFonts w:asciiTheme="minorHAnsi" w:hAnsiTheme="minorHAnsi" w:cstheme="minorHAnsi"/>
      <w:sz w:val="18"/>
      <w:szCs w:val="18"/>
    </w:rPr>
  </w:style>
  <w:style w:type="table" w:styleId="TableGrid">
    <w:name w:val="Table Grid"/>
    <w:basedOn w:val="TableNormal"/>
    <w:uiPriority w:val="59"/>
    <w:rsid w:val="00E6329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2NotBold">
    <w:name w:val="Style Heading 2 + Not Bold"/>
    <w:basedOn w:val="Heading2"/>
    <w:link w:val="StyleHeading2NotBoldChar"/>
    <w:rsid w:val="00E6329E"/>
    <w:rPr>
      <w:b w:val="0"/>
      <w:bCs w:val="0"/>
      <w:iCs/>
    </w:rPr>
  </w:style>
  <w:style w:type="character" w:customStyle="1" w:styleId="StyleHeading2NotBoldChar">
    <w:name w:val="Style Heading 2 + Not Bold Char"/>
    <w:basedOn w:val="Heading2Char1"/>
    <w:link w:val="StyleHeading2NotBold"/>
    <w:rsid w:val="00E6329E"/>
    <w:rPr>
      <w:iCs/>
    </w:rPr>
  </w:style>
  <w:style w:type="paragraph" w:styleId="BodyTextIndent">
    <w:name w:val="Body Text Indent"/>
    <w:basedOn w:val="Normal"/>
    <w:link w:val="BodyTextIndentChar"/>
    <w:rsid w:val="00E6329E"/>
    <w:pPr>
      <w:spacing w:line="240" w:lineRule="auto"/>
      <w:ind w:left="720"/>
    </w:pPr>
    <w:rPr>
      <w:rFonts w:ascii="Times New Roman" w:hAnsi="Times New Roman"/>
      <w:bCs/>
      <w:lang w:val="en-US"/>
    </w:rPr>
  </w:style>
  <w:style w:type="character" w:customStyle="1" w:styleId="BodyTextIndentChar">
    <w:name w:val="Body Text Indent Char"/>
    <w:basedOn w:val="DefaultParagraphFont"/>
    <w:link w:val="BodyTextIndent"/>
    <w:rsid w:val="00E6329E"/>
    <w:rPr>
      <w:rFonts w:ascii="Times New Roman" w:eastAsia="Times New Roman" w:hAnsi="Times New Roman" w:cs="Times New Roman"/>
      <w:bCs/>
      <w:sz w:val="24"/>
      <w:szCs w:val="24"/>
    </w:rPr>
  </w:style>
  <w:style w:type="paragraph" w:customStyle="1" w:styleId="Default">
    <w:name w:val="Default"/>
    <w:rsid w:val="00E6329E"/>
    <w:pPr>
      <w:autoSpaceDE w:val="0"/>
      <w:autoSpaceDN w:val="0"/>
      <w:adjustRightInd w:val="0"/>
      <w:spacing w:after="0" w:line="240" w:lineRule="auto"/>
    </w:pPr>
    <w:rPr>
      <w:rFonts w:ascii="Calibri" w:eastAsia="Times New Roman" w:hAnsi="Calibri" w:cs="Calibri"/>
      <w:color w:val="000000"/>
      <w:sz w:val="24"/>
      <w:szCs w:val="24"/>
    </w:rPr>
  </w:style>
  <w:style w:type="paragraph" w:styleId="NormalWeb">
    <w:name w:val="Normal (Web)"/>
    <w:basedOn w:val="Normal"/>
    <w:unhideWhenUsed/>
    <w:rsid w:val="00E6329E"/>
    <w:pPr>
      <w:spacing w:before="100" w:beforeAutospacing="1" w:after="100" w:afterAutospacing="1" w:line="240" w:lineRule="auto"/>
      <w:jc w:val="left"/>
    </w:pPr>
    <w:rPr>
      <w:rFonts w:ascii="Times New Roman" w:hAnsi="Times New Roman"/>
      <w:lang w:val="en-IN" w:eastAsia="en-IN"/>
    </w:rPr>
  </w:style>
  <w:style w:type="table" w:customStyle="1" w:styleId="MediumShading2-Accent12">
    <w:name w:val="Medium Shading 2 - Accent 12"/>
    <w:basedOn w:val="TableNormal"/>
    <w:uiPriority w:val="64"/>
    <w:rsid w:val="00E6329E"/>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Index1">
    <w:name w:val="index 1"/>
    <w:basedOn w:val="Normal"/>
    <w:next w:val="Normal"/>
    <w:autoRedefine/>
    <w:rsid w:val="00E6329E"/>
    <w:pPr>
      <w:ind w:left="240" w:hanging="240"/>
      <w:jc w:val="left"/>
    </w:pPr>
    <w:rPr>
      <w:rFonts w:asciiTheme="minorHAnsi" w:hAnsiTheme="minorHAnsi" w:cstheme="minorHAnsi"/>
      <w:sz w:val="20"/>
      <w:szCs w:val="20"/>
    </w:rPr>
  </w:style>
  <w:style w:type="paragraph" w:styleId="Index2">
    <w:name w:val="index 2"/>
    <w:basedOn w:val="Normal"/>
    <w:next w:val="Normal"/>
    <w:autoRedefine/>
    <w:rsid w:val="00E6329E"/>
    <w:pPr>
      <w:ind w:left="480" w:hanging="240"/>
      <w:jc w:val="left"/>
    </w:pPr>
    <w:rPr>
      <w:rFonts w:asciiTheme="minorHAnsi" w:hAnsiTheme="minorHAnsi" w:cstheme="minorHAnsi"/>
      <w:sz w:val="20"/>
      <w:szCs w:val="20"/>
    </w:rPr>
  </w:style>
  <w:style w:type="paragraph" w:styleId="Index3">
    <w:name w:val="index 3"/>
    <w:basedOn w:val="Normal"/>
    <w:next w:val="Normal"/>
    <w:autoRedefine/>
    <w:rsid w:val="00E6329E"/>
    <w:pPr>
      <w:ind w:left="720" w:hanging="240"/>
      <w:jc w:val="left"/>
    </w:pPr>
    <w:rPr>
      <w:rFonts w:asciiTheme="minorHAnsi" w:hAnsiTheme="minorHAnsi" w:cstheme="minorHAnsi"/>
      <w:sz w:val="20"/>
      <w:szCs w:val="20"/>
    </w:rPr>
  </w:style>
  <w:style w:type="paragraph" w:styleId="Index4">
    <w:name w:val="index 4"/>
    <w:basedOn w:val="Normal"/>
    <w:next w:val="Normal"/>
    <w:autoRedefine/>
    <w:rsid w:val="00E6329E"/>
    <w:pPr>
      <w:ind w:left="960" w:hanging="240"/>
      <w:jc w:val="left"/>
    </w:pPr>
    <w:rPr>
      <w:rFonts w:asciiTheme="minorHAnsi" w:hAnsiTheme="minorHAnsi" w:cstheme="minorHAnsi"/>
      <w:sz w:val="20"/>
      <w:szCs w:val="20"/>
    </w:rPr>
  </w:style>
  <w:style w:type="paragraph" w:styleId="Index5">
    <w:name w:val="index 5"/>
    <w:basedOn w:val="Normal"/>
    <w:next w:val="Normal"/>
    <w:autoRedefine/>
    <w:rsid w:val="00E6329E"/>
    <w:pPr>
      <w:ind w:left="1200" w:hanging="240"/>
      <w:jc w:val="left"/>
    </w:pPr>
    <w:rPr>
      <w:rFonts w:asciiTheme="minorHAnsi" w:hAnsiTheme="minorHAnsi" w:cstheme="minorHAnsi"/>
      <w:sz w:val="20"/>
      <w:szCs w:val="20"/>
    </w:rPr>
  </w:style>
  <w:style w:type="paragraph" w:styleId="Index6">
    <w:name w:val="index 6"/>
    <w:basedOn w:val="Normal"/>
    <w:next w:val="Normal"/>
    <w:autoRedefine/>
    <w:rsid w:val="00E6329E"/>
    <w:pPr>
      <w:ind w:left="1440" w:hanging="240"/>
      <w:jc w:val="left"/>
    </w:pPr>
    <w:rPr>
      <w:rFonts w:asciiTheme="minorHAnsi" w:hAnsiTheme="minorHAnsi" w:cstheme="minorHAnsi"/>
      <w:sz w:val="20"/>
      <w:szCs w:val="20"/>
    </w:rPr>
  </w:style>
  <w:style w:type="paragraph" w:styleId="Index7">
    <w:name w:val="index 7"/>
    <w:basedOn w:val="Normal"/>
    <w:next w:val="Normal"/>
    <w:autoRedefine/>
    <w:rsid w:val="00E6329E"/>
    <w:pPr>
      <w:ind w:left="1680" w:hanging="240"/>
      <w:jc w:val="left"/>
    </w:pPr>
    <w:rPr>
      <w:rFonts w:asciiTheme="minorHAnsi" w:hAnsiTheme="minorHAnsi" w:cstheme="minorHAnsi"/>
      <w:sz w:val="20"/>
      <w:szCs w:val="20"/>
    </w:rPr>
  </w:style>
  <w:style w:type="paragraph" w:styleId="Index8">
    <w:name w:val="index 8"/>
    <w:basedOn w:val="Normal"/>
    <w:next w:val="Normal"/>
    <w:autoRedefine/>
    <w:rsid w:val="00E6329E"/>
    <w:pPr>
      <w:ind w:left="1920" w:hanging="240"/>
      <w:jc w:val="left"/>
    </w:pPr>
    <w:rPr>
      <w:rFonts w:asciiTheme="minorHAnsi" w:hAnsiTheme="minorHAnsi" w:cstheme="minorHAnsi"/>
      <w:sz w:val="20"/>
      <w:szCs w:val="20"/>
    </w:rPr>
  </w:style>
  <w:style w:type="paragraph" w:styleId="Index9">
    <w:name w:val="index 9"/>
    <w:basedOn w:val="Normal"/>
    <w:next w:val="Normal"/>
    <w:autoRedefine/>
    <w:rsid w:val="00E6329E"/>
    <w:pPr>
      <w:ind w:left="2160" w:hanging="240"/>
      <w:jc w:val="left"/>
    </w:pPr>
    <w:rPr>
      <w:rFonts w:asciiTheme="minorHAnsi" w:hAnsiTheme="minorHAnsi" w:cstheme="minorHAnsi"/>
      <w:sz w:val="20"/>
      <w:szCs w:val="20"/>
    </w:rPr>
  </w:style>
  <w:style w:type="paragraph" w:styleId="IndexHeading">
    <w:name w:val="index heading"/>
    <w:basedOn w:val="Normal"/>
    <w:next w:val="Index1"/>
    <w:rsid w:val="00E6329E"/>
    <w:pPr>
      <w:spacing w:after="120"/>
      <w:jc w:val="left"/>
    </w:pPr>
    <w:rPr>
      <w:rFonts w:asciiTheme="minorHAnsi" w:hAnsiTheme="minorHAnsi" w:cstheme="minorHAnsi"/>
      <w:b/>
      <w:bCs/>
      <w:i/>
      <w:iCs/>
      <w:sz w:val="20"/>
      <w:szCs w:val="20"/>
    </w:rPr>
  </w:style>
  <w:style w:type="paragraph" w:styleId="TOCHeading">
    <w:name w:val="TOC Heading"/>
    <w:basedOn w:val="Heading1"/>
    <w:next w:val="Normal"/>
    <w:uiPriority w:val="39"/>
    <w:unhideWhenUsed/>
    <w:qFormat/>
    <w:rsid w:val="00E6329E"/>
    <w:pPr>
      <w:keepLines/>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val="en-US" w:eastAsia="ja-JP"/>
    </w:rPr>
  </w:style>
  <w:style w:type="character" w:styleId="FollowedHyperlink">
    <w:name w:val="FollowedHyperlink"/>
    <w:basedOn w:val="DefaultParagraphFont"/>
    <w:uiPriority w:val="99"/>
    <w:rsid w:val="00E6329E"/>
    <w:rPr>
      <w:color w:val="800080" w:themeColor="followedHyperlink"/>
      <w:u w:val="single"/>
    </w:rPr>
  </w:style>
  <w:style w:type="paragraph" w:styleId="FootnoteText">
    <w:name w:val="footnote text"/>
    <w:basedOn w:val="Normal"/>
    <w:link w:val="FootnoteTextChar"/>
    <w:unhideWhenUsed/>
    <w:rsid w:val="00E6329E"/>
    <w:pPr>
      <w:tabs>
        <w:tab w:val="left" w:pos="720"/>
      </w:tabs>
      <w:spacing w:line="240" w:lineRule="auto"/>
      <w:ind w:left="432"/>
      <w:jc w:val="left"/>
    </w:pPr>
    <w:rPr>
      <w:rFonts w:ascii="Arial" w:hAnsi="Arial" w:cs="Arial"/>
      <w:sz w:val="22"/>
      <w:szCs w:val="22"/>
    </w:rPr>
  </w:style>
  <w:style w:type="character" w:customStyle="1" w:styleId="FootnoteTextChar">
    <w:name w:val="Footnote Text Char"/>
    <w:basedOn w:val="DefaultParagraphFont"/>
    <w:link w:val="FootnoteText"/>
    <w:rsid w:val="00E6329E"/>
    <w:rPr>
      <w:rFonts w:ascii="Arial" w:eastAsia="Times New Roman" w:hAnsi="Arial" w:cs="Arial"/>
      <w:lang w:val="en-GB"/>
    </w:rPr>
  </w:style>
  <w:style w:type="character" w:styleId="FootnoteReference">
    <w:name w:val="footnote reference"/>
    <w:uiPriority w:val="99"/>
    <w:unhideWhenUsed/>
    <w:rsid w:val="00E6329E"/>
    <w:rPr>
      <w:rFonts w:ascii="Times New Roman" w:hAnsi="Times New Roman" w:cs="Times New Roman" w:hint="default"/>
      <w:vertAlign w:val="superscript"/>
    </w:rPr>
  </w:style>
  <w:style w:type="paragraph" w:styleId="BodyText">
    <w:name w:val="Body Text"/>
    <w:aliases w:val="Body"/>
    <w:basedOn w:val="Normal"/>
    <w:link w:val="BodyTextChar"/>
    <w:rsid w:val="00E6329E"/>
    <w:pPr>
      <w:spacing w:after="120"/>
    </w:pPr>
  </w:style>
  <w:style w:type="character" w:customStyle="1" w:styleId="BodyTextChar">
    <w:name w:val="Body Text Char"/>
    <w:aliases w:val="Body Char"/>
    <w:basedOn w:val="DefaultParagraphFont"/>
    <w:link w:val="BodyText"/>
    <w:rsid w:val="00E6329E"/>
    <w:rPr>
      <w:rFonts w:ascii="Calibri" w:eastAsia="Times New Roman" w:hAnsi="Calibri" w:cs="Times New Roman"/>
      <w:sz w:val="24"/>
      <w:szCs w:val="24"/>
      <w:lang w:val="en-GB"/>
    </w:rPr>
  </w:style>
  <w:style w:type="paragraph" w:styleId="BlockText">
    <w:name w:val="Block Text"/>
    <w:basedOn w:val="Normal"/>
    <w:rsid w:val="00E6329E"/>
    <w:pPr>
      <w:spacing w:before="0" w:line="360" w:lineRule="auto"/>
      <w:ind w:left="-720" w:right="29" w:firstLine="720"/>
    </w:pPr>
    <w:rPr>
      <w:rFonts w:ascii="Arial" w:hAnsi="Arial"/>
      <w:szCs w:val="20"/>
      <w:lang w:val="en-US"/>
    </w:rPr>
  </w:style>
  <w:style w:type="paragraph" w:customStyle="1" w:styleId="xl25">
    <w:name w:val="xl25"/>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26">
    <w:name w:val="xl26"/>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7">
    <w:name w:val="xl27"/>
    <w:basedOn w:val="Normal"/>
    <w:rsid w:val="00E6329E"/>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28">
    <w:name w:val="xl28"/>
    <w:basedOn w:val="Normal"/>
    <w:rsid w:val="00E6329E"/>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9">
    <w:name w:val="xl29"/>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0">
    <w:name w:val="xl30"/>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1">
    <w:name w:val="xl31"/>
    <w:basedOn w:val="Normal"/>
    <w:rsid w:val="00E6329E"/>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32">
    <w:name w:val="xl32"/>
    <w:basedOn w:val="Normal"/>
    <w:rsid w:val="00E6329E"/>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3">
    <w:name w:val="xl33"/>
    <w:basedOn w:val="Normal"/>
    <w:rsid w:val="00E6329E"/>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4">
    <w:name w:val="xl34"/>
    <w:basedOn w:val="Normal"/>
    <w:rsid w:val="00E6329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5">
    <w:name w:val="xl35"/>
    <w:basedOn w:val="Normal"/>
    <w:rsid w:val="00E6329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6">
    <w:name w:val="xl36"/>
    <w:basedOn w:val="Normal"/>
    <w:rsid w:val="00E6329E"/>
    <w:pPr>
      <w:pBdr>
        <w:top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7">
    <w:name w:val="xl37"/>
    <w:basedOn w:val="Normal"/>
    <w:rsid w:val="00E6329E"/>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8">
    <w:name w:val="xl38"/>
    <w:basedOn w:val="Normal"/>
    <w:rsid w:val="00E6329E"/>
    <w:pPr>
      <w:pBdr>
        <w:top w:val="single" w:sz="8" w:space="0" w:color="auto"/>
        <w:bottom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9">
    <w:name w:val="xl39"/>
    <w:basedOn w:val="Normal"/>
    <w:rsid w:val="00E6329E"/>
    <w:pPr>
      <w:pBdr>
        <w:top w:val="single" w:sz="8" w:space="0" w:color="auto"/>
        <w:bottom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0">
    <w:name w:val="xl40"/>
    <w:basedOn w:val="Normal"/>
    <w:rsid w:val="00E6329E"/>
    <w:pPr>
      <w:pBdr>
        <w:top w:val="single" w:sz="8" w:space="0" w:color="auto"/>
        <w:left w:val="single" w:sz="8" w:space="0" w:color="auto"/>
        <w:bottom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1">
    <w:name w:val="xl41"/>
    <w:basedOn w:val="Normal"/>
    <w:rsid w:val="00E6329E"/>
    <w:pPr>
      <w:pBdr>
        <w:top w:val="single" w:sz="8" w:space="0" w:color="auto"/>
        <w:lef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2">
    <w:name w:val="xl42"/>
    <w:basedOn w:val="Normal"/>
    <w:rsid w:val="00E6329E"/>
    <w:pPr>
      <w:pBdr>
        <w:top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3">
    <w:name w:val="xl43"/>
    <w:basedOn w:val="Normal"/>
    <w:rsid w:val="00E6329E"/>
    <w:pPr>
      <w:pBdr>
        <w:top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4">
    <w:name w:val="xl44"/>
    <w:basedOn w:val="Normal"/>
    <w:rsid w:val="00E6329E"/>
    <w:pPr>
      <w:pBdr>
        <w:top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5">
    <w:name w:val="xl45"/>
    <w:basedOn w:val="Normal"/>
    <w:rsid w:val="00E6329E"/>
    <w:pPr>
      <w:pBdr>
        <w:top w:val="single" w:sz="8"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46">
    <w:name w:val="xl46"/>
    <w:basedOn w:val="Normal"/>
    <w:rsid w:val="00E6329E"/>
    <w:pPr>
      <w:pBdr>
        <w:top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7">
    <w:name w:val="xl47"/>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48">
    <w:name w:val="xl48"/>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sz w:val="20"/>
      <w:szCs w:val="20"/>
      <w:lang w:val="en-US"/>
    </w:rPr>
  </w:style>
  <w:style w:type="paragraph" w:customStyle="1" w:styleId="xl49">
    <w:name w:val="xl49"/>
    <w:basedOn w:val="Normal"/>
    <w:rsid w:val="00E6329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lang w:val="en-US"/>
    </w:rPr>
  </w:style>
  <w:style w:type="paragraph" w:customStyle="1" w:styleId="xl50">
    <w:name w:val="xl50"/>
    <w:basedOn w:val="Normal"/>
    <w:rsid w:val="00E6329E"/>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1">
    <w:name w:val="xl51"/>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2">
    <w:name w:val="xl52"/>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3">
    <w:name w:val="xl53"/>
    <w:basedOn w:val="Normal"/>
    <w:rsid w:val="00E6329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4">
    <w:name w:val="xl54"/>
    <w:basedOn w:val="Normal"/>
    <w:rsid w:val="00E6329E"/>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5">
    <w:name w:val="xl55"/>
    <w:basedOn w:val="Normal"/>
    <w:rsid w:val="00E6329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56">
    <w:name w:val="xl56"/>
    <w:basedOn w:val="Normal"/>
    <w:rsid w:val="00E6329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7">
    <w:name w:val="xl57"/>
    <w:basedOn w:val="Normal"/>
    <w:rsid w:val="00E6329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8">
    <w:name w:val="xl58"/>
    <w:basedOn w:val="Normal"/>
    <w:rsid w:val="00E6329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pPr>
    <w:rPr>
      <w:rFonts w:ascii="Arial" w:eastAsia="Arial Unicode MS" w:hAnsi="Arial"/>
      <w:sz w:val="18"/>
      <w:szCs w:val="18"/>
      <w:lang w:val="en-US"/>
    </w:rPr>
  </w:style>
  <w:style w:type="paragraph" w:customStyle="1" w:styleId="xl59">
    <w:name w:val="xl59"/>
    <w:basedOn w:val="Normal"/>
    <w:rsid w:val="00E6329E"/>
    <w:pPr>
      <w:pBdr>
        <w:top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60">
    <w:name w:val="xl60"/>
    <w:basedOn w:val="Normal"/>
    <w:rsid w:val="00E6329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61">
    <w:name w:val="xl61"/>
    <w:basedOn w:val="Normal"/>
    <w:rsid w:val="00E6329E"/>
    <w:pPr>
      <w:pBdr>
        <w:top w:val="single" w:sz="4" w:space="0" w:color="auto"/>
        <w:left w:val="single" w:sz="8" w:space="0" w:color="auto"/>
        <w:bottom w:val="single" w:sz="8" w:space="0" w:color="auto"/>
        <w:right w:val="single" w:sz="4" w:space="0" w:color="auto"/>
      </w:pBdr>
      <w:spacing w:before="100" w:beforeAutospacing="1" w:after="100" w:afterAutospacing="1" w:line="360" w:lineRule="auto"/>
      <w:jc w:val="left"/>
    </w:pPr>
    <w:rPr>
      <w:rFonts w:ascii="Arial" w:eastAsia="Arial Unicode MS" w:hAnsi="Arial" w:cs="Arial"/>
      <w:b/>
      <w:bCs/>
      <w:sz w:val="18"/>
      <w:szCs w:val="18"/>
      <w:lang w:val="en-US"/>
    </w:rPr>
  </w:style>
  <w:style w:type="paragraph" w:customStyle="1" w:styleId="NormalBold">
    <w:name w:val="Normal + Bold"/>
    <w:basedOn w:val="Normal"/>
    <w:link w:val="NormalBoldChar"/>
    <w:rsid w:val="00E6329E"/>
    <w:pPr>
      <w:tabs>
        <w:tab w:val="left" w:pos="720"/>
      </w:tabs>
      <w:spacing w:before="240" w:after="120" w:line="360" w:lineRule="auto"/>
      <w:ind w:right="29"/>
      <w:jc w:val="left"/>
    </w:pPr>
    <w:rPr>
      <w:rFonts w:ascii="Arial" w:hAnsi="Arial"/>
      <w:b/>
      <w:sz w:val="20"/>
      <w:szCs w:val="20"/>
      <w:lang w:val="en-US"/>
    </w:rPr>
  </w:style>
  <w:style w:type="character" w:customStyle="1" w:styleId="NormalBoldChar">
    <w:name w:val="Normal + Bold Char"/>
    <w:link w:val="NormalBold"/>
    <w:rsid w:val="00E6329E"/>
    <w:rPr>
      <w:rFonts w:ascii="Arial" w:eastAsia="Times New Roman" w:hAnsi="Arial" w:cs="Times New Roman"/>
      <w:b/>
      <w:sz w:val="20"/>
      <w:szCs w:val="20"/>
    </w:rPr>
  </w:style>
  <w:style w:type="paragraph" w:styleId="BodyText2">
    <w:name w:val="Body Text 2"/>
    <w:basedOn w:val="Normal"/>
    <w:link w:val="BodyText2Char"/>
    <w:rsid w:val="00E6329E"/>
    <w:pPr>
      <w:spacing w:before="0" w:after="120" w:line="480" w:lineRule="auto"/>
    </w:pPr>
    <w:rPr>
      <w:rFonts w:cs="Mangal"/>
      <w:lang w:bidi="hi-IN"/>
    </w:rPr>
  </w:style>
  <w:style w:type="character" w:customStyle="1" w:styleId="BodyText2Char">
    <w:name w:val="Body Text 2 Char"/>
    <w:basedOn w:val="DefaultParagraphFont"/>
    <w:link w:val="BodyText2"/>
    <w:rsid w:val="00E6329E"/>
    <w:rPr>
      <w:rFonts w:ascii="Calibri" w:eastAsia="Times New Roman" w:hAnsi="Calibri" w:cs="Mangal"/>
      <w:sz w:val="24"/>
      <w:szCs w:val="24"/>
      <w:lang w:val="en-GB" w:bidi="hi-IN"/>
    </w:rPr>
  </w:style>
  <w:style w:type="character" w:customStyle="1" w:styleId="CharChar">
    <w:name w:val="Char Char"/>
    <w:rsid w:val="00E6329E"/>
    <w:rPr>
      <w:rFonts w:ascii="Book Antiqua" w:hAnsi="Book Antiqua" w:cs="Arial"/>
      <w:b/>
      <w:bCs/>
      <w:iCs/>
      <w:sz w:val="22"/>
      <w:szCs w:val="28"/>
      <w:lang w:val="en-GB" w:eastAsia="en-US" w:bidi="ar-SA"/>
    </w:rPr>
  </w:style>
  <w:style w:type="paragraph" w:styleId="List3">
    <w:name w:val="List 3"/>
    <w:basedOn w:val="Normal"/>
    <w:rsid w:val="00E6329E"/>
    <w:pPr>
      <w:spacing w:after="120" w:line="240" w:lineRule="auto"/>
      <w:ind w:left="1080" w:hanging="360"/>
      <w:jc w:val="left"/>
    </w:pPr>
    <w:rPr>
      <w:rFonts w:ascii="Arial" w:hAnsi="Arial"/>
      <w:sz w:val="20"/>
      <w:szCs w:val="20"/>
    </w:rPr>
  </w:style>
  <w:style w:type="table" w:styleId="ColorfulList-Accent4">
    <w:name w:val="Colorful List Accent 4"/>
    <w:basedOn w:val="TableNormal"/>
    <w:uiPriority w:val="72"/>
    <w:rsid w:val="00E6329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3">
    <w:name w:val="Colorful List Accent 3"/>
    <w:basedOn w:val="TableNormal"/>
    <w:uiPriority w:val="72"/>
    <w:rsid w:val="00E6329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MediumShading1-Accent11">
    <w:name w:val="Medium Shading 1 - Accent 11"/>
    <w:basedOn w:val="TableNormal"/>
    <w:uiPriority w:val="63"/>
    <w:rsid w:val="00E6329E"/>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E6329E"/>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CharChar1">
    <w:name w:val="Char Char1"/>
    <w:rsid w:val="00E6329E"/>
    <w:rPr>
      <w:rFonts w:ascii="Book Antiqua" w:hAnsi="Book Antiqua" w:cs="Arial"/>
      <w:b/>
      <w:bCs/>
      <w:iCs/>
      <w:sz w:val="22"/>
      <w:szCs w:val="28"/>
      <w:lang w:val="en-GB" w:eastAsia="en-US" w:bidi="ar-SA"/>
    </w:rPr>
  </w:style>
  <w:style w:type="paragraph" w:styleId="Title">
    <w:name w:val="Title"/>
    <w:basedOn w:val="Normal"/>
    <w:next w:val="Normal"/>
    <w:link w:val="TitleChar"/>
    <w:qFormat/>
    <w:rsid w:val="00E6329E"/>
    <w:pPr>
      <w:spacing w:before="240" w:after="60"/>
      <w:jc w:val="center"/>
      <w:outlineLvl w:val="0"/>
    </w:pPr>
    <w:rPr>
      <w:rFonts w:ascii="Cambria" w:hAnsi="Cambria" w:cs="Mangal"/>
      <w:b/>
      <w:bCs/>
      <w:kern w:val="28"/>
      <w:sz w:val="32"/>
      <w:szCs w:val="32"/>
      <w:lang w:bidi="hi-IN"/>
    </w:rPr>
  </w:style>
  <w:style w:type="character" w:customStyle="1" w:styleId="TitleChar">
    <w:name w:val="Title Char"/>
    <w:basedOn w:val="DefaultParagraphFont"/>
    <w:link w:val="Title"/>
    <w:rsid w:val="00E6329E"/>
    <w:rPr>
      <w:rFonts w:ascii="Cambria" w:eastAsia="Times New Roman" w:hAnsi="Cambria" w:cs="Mangal"/>
      <w:b/>
      <w:bCs/>
      <w:kern w:val="28"/>
      <w:sz w:val="32"/>
      <w:szCs w:val="32"/>
      <w:lang w:val="en-GB" w:bidi="hi-IN"/>
    </w:rPr>
  </w:style>
  <w:style w:type="character" w:styleId="Emphasis">
    <w:name w:val="Emphasis"/>
    <w:qFormat/>
    <w:rsid w:val="00E6329E"/>
    <w:rPr>
      <w:i/>
      <w:iCs/>
    </w:rPr>
  </w:style>
  <w:style w:type="table" w:styleId="Table3Deffects3">
    <w:name w:val="Table 3D effects 3"/>
    <w:basedOn w:val="TableNormal"/>
    <w:rsid w:val="00E6329E"/>
    <w:pPr>
      <w:spacing w:after="0"/>
      <w:jc w:val="both"/>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Revision">
    <w:name w:val="Revision"/>
    <w:hidden/>
    <w:uiPriority w:val="99"/>
    <w:semiHidden/>
    <w:rsid w:val="00E6329E"/>
    <w:pPr>
      <w:spacing w:after="0" w:line="240" w:lineRule="auto"/>
    </w:pPr>
    <w:rPr>
      <w:rFonts w:ascii="Calibri" w:eastAsia="Times New Roman" w:hAnsi="Calibri" w:cs="Times New Roman"/>
      <w:sz w:val="24"/>
      <w:szCs w:val="24"/>
      <w:lang w:val="en-GB"/>
    </w:rPr>
  </w:style>
  <w:style w:type="table" w:styleId="TableGrid8">
    <w:name w:val="Table Grid 8"/>
    <w:basedOn w:val="TableNormal"/>
    <w:rsid w:val="00E6329E"/>
    <w:pPr>
      <w:spacing w:after="0"/>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Spacing">
    <w:name w:val="No Spacing"/>
    <w:link w:val="NoSpacingChar"/>
    <w:uiPriority w:val="1"/>
    <w:qFormat/>
    <w:rsid w:val="00E6329E"/>
    <w:pPr>
      <w:spacing w:after="0" w:line="240" w:lineRule="auto"/>
    </w:pPr>
    <w:rPr>
      <w:rFonts w:ascii="Calibri" w:eastAsia="Calibri" w:hAnsi="Calibri" w:cs="Times New Roman"/>
    </w:rPr>
  </w:style>
  <w:style w:type="character" w:customStyle="1" w:styleId="Caption1">
    <w:name w:val="Caption1"/>
    <w:aliases w:val="Caption Char1 Char"/>
    <w:qFormat/>
    <w:rsid w:val="00E6329E"/>
    <w:rPr>
      <w:rFonts w:ascii="Arial" w:hAnsi="Arial"/>
      <w:b/>
      <w:lang w:val="en-GB" w:eastAsia="en-US" w:bidi="ar-SA"/>
    </w:rPr>
  </w:style>
  <w:style w:type="paragraph" w:styleId="BodyTextIndent2">
    <w:name w:val="Body Text Indent 2"/>
    <w:basedOn w:val="Normal"/>
    <w:link w:val="BodyTextIndent2Char"/>
    <w:uiPriority w:val="99"/>
    <w:unhideWhenUsed/>
    <w:rsid w:val="00E6329E"/>
    <w:pPr>
      <w:spacing w:before="0" w:after="120" w:line="480" w:lineRule="auto"/>
      <w:ind w:left="360"/>
    </w:pPr>
  </w:style>
  <w:style w:type="character" w:customStyle="1" w:styleId="BodyTextIndent2Char">
    <w:name w:val="Body Text Indent 2 Char"/>
    <w:basedOn w:val="DefaultParagraphFont"/>
    <w:link w:val="BodyTextIndent2"/>
    <w:uiPriority w:val="99"/>
    <w:rsid w:val="00E6329E"/>
    <w:rPr>
      <w:rFonts w:ascii="Calibri" w:eastAsia="Times New Roman" w:hAnsi="Calibri" w:cs="Times New Roman"/>
      <w:sz w:val="24"/>
      <w:szCs w:val="24"/>
      <w:lang w:val="en-GB"/>
    </w:rPr>
  </w:style>
  <w:style w:type="paragraph" w:customStyle="1" w:styleId="TariffScheduleList">
    <w:name w:val="Tariff Schedule List"/>
    <w:basedOn w:val="ListParagraph"/>
    <w:link w:val="TariffScheduleListChar"/>
    <w:qFormat/>
    <w:rsid w:val="00E6329E"/>
    <w:pPr>
      <w:ind w:left="360" w:hanging="360"/>
    </w:pPr>
    <w:rPr>
      <w:b/>
    </w:rPr>
  </w:style>
  <w:style w:type="character" w:customStyle="1" w:styleId="TariffScheduleListChar">
    <w:name w:val="Tariff Schedule List Char"/>
    <w:basedOn w:val="ListParagraphChar"/>
    <w:link w:val="TariffScheduleList"/>
    <w:rsid w:val="00E6329E"/>
    <w:rPr>
      <w:b/>
    </w:rPr>
  </w:style>
  <w:style w:type="paragraph" w:customStyle="1" w:styleId="TariffRateSchedulelevel2">
    <w:name w:val="Tariff Rate Schedule level 2"/>
    <w:basedOn w:val="ListParagraph"/>
    <w:link w:val="TariffRateSchedulelevel2Char"/>
    <w:qFormat/>
    <w:rsid w:val="00E6329E"/>
    <w:pPr>
      <w:ind w:left="576" w:hanging="576"/>
    </w:pPr>
  </w:style>
  <w:style w:type="character" w:customStyle="1" w:styleId="TariffRateSchedulelevel2Char">
    <w:name w:val="Tariff Rate Schedule level 2 Char"/>
    <w:basedOn w:val="ListParagraphChar"/>
    <w:link w:val="TariffRateSchedulelevel2"/>
    <w:rsid w:val="00E6329E"/>
  </w:style>
  <w:style w:type="character" w:customStyle="1" w:styleId="Heading1Char1">
    <w:name w:val="Heading 1 Char1"/>
    <w:aliases w:val="Section Char1,HEADING 1 Char1,Section Heading Char1,MainHeader Char1,1 ghost Char1,g Char1,Main heading Char1,App1 Char1,1 Char1,h1 Char1,L1 Char1,Outline1 Char1,Chapter Heading Char1,Text Heading 18pt Char1,Full Page Heading 1 Char1"/>
    <w:basedOn w:val="DefaultParagraphFont"/>
    <w:rsid w:val="00E6329E"/>
    <w:rPr>
      <w:rFonts w:asciiTheme="majorHAnsi" w:eastAsiaTheme="majorEastAsia" w:hAnsiTheme="majorHAnsi" w:cstheme="majorBidi"/>
      <w:b/>
      <w:bCs/>
      <w:color w:val="365F91" w:themeColor="accent1" w:themeShade="BF"/>
      <w:sz w:val="28"/>
      <w:szCs w:val="28"/>
      <w:lang w:val="en-GB"/>
    </w:rPr>
  </w:style>
  <w:style w:type="character" w:customStyle="1" w:styleId="Heading4Char1">
    <w:name w:val="Heading 4 Char1"/>
    <w:aliases w:val="( i ) Char1,o Char1"/>
    <w:basedOn w:val="DefaultParagraphFont"/>
    <w:semiHidden/>
    <w:rsid w:val="00E6329E"/>
    <w:rPr>
      <w:rFonts w:asciiTheme="majorHAnsi" w:eastAsiaTheme="majorEastAsia" w:hAnsiTheme="majorHAnsi" w:cstheme="majorBidi"/>
      <w:b/>
      <w:bCs/>
      <w:i/>
      <w:iCs/>
      <w:color w:val="4F81BD" w:themeColor="accent1"/>
      <w:sz w:val="24"/>
      <w:szCs w:val="24"/>
      <w:lang w:val="en-GB"/>
    </w:rPr>
  </w:style>
  <w:style w:type="character" w:customStyle="1" w:styleId="BodyTextChar1">
    <w:name w:val="Body Text Char1"/>
    <w:aliases w:val="Body Char1"/>
    <w:basedOn w:val="DefaultParagraphFont"/>
    <w:rsid w:val="00E6329E"/>
    <w:rPr>
      <w:rFonts w:ascii="Calibri" w:hAnsi="Calibri"/>
      <w:sz w:val="24"/>
      <w:szCs w:val="24"/>
      <w:lang w:val="en-GB"/>
    </w:rPr>
  </w:style>
  <w:style w:type="paragraph" w:customStyle="1" w:styleId="xl89">
    <w:name w:val="xl89"/>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IN" w:eastAsia="en-IN"/>
    </w:rPr>
  </w:style>
  <w:style w:type="paragraph" w:customStyle="1" w:styleId="xl90">
    <w:name w:val="xl90"/>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IN" w:eastAsia="en-IN"/>
    </w:rPr>
  </w:style>
  <w:style w:type="paragraph" w:customStyle="1" w:styleId="xl91">
    <w:name w:val="xl91"/>
    <w:basedOn w:val="Normal"/>
    <w:rsid w:val="00E6329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left"/>
      <w:textAlignment w:val="center"/>
    </w:pPr>
    <w:rPr>
      <w:rFonts w:ascii="Times New Roman" w:hAnsi="Times New Roman"/>
      <w:b/>
      <w:bCs/>
      <w:lang w:val="en-IN" w:eastAsia="en-IN"/>
    </w:rPr>
  </w:style>
  <w:style w:type="paragraph" w:customStyle="1" w:styleId="xl92">
    <w:name w:val="xl92"/>
    <w:basedOn w:val="Normal"/>
    <w:rsid w:val="00E6329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hAnsi="Times New Roman"/>
      <w:b/>
      <w:bCs/>
      <w:lang w:val="en-IN" w:eastAsia="en-IN"/>
    </w:rPr>
  </w:style>
  <w:style w:type="paragraph" w:customStyle="1" w:styleId="xl93">
    <w:name w:val="xl93"/>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lang w:val="en-IN" w:eastAsia="en-IN"/>
    </w:rPr>
  </w:style>
  <w:style w:type="paragraph" w:customStyle="1" w:styleId="xl94">
    <w:name w:val="xl94"/>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lang w:val="en-IN" w:eastAsia="en-IN"/>
    </w:rPr>
  </w:style>
  <w:style w:type="paragraph" w:customStyle="1" w:styleId="xl95">
    <w:name w:val="xl95"/>
    <w:basedOn w:val="Normal"/>
    <w:rsid w:val="00E6329E"/>
    <w:pPr>
      <w:pBdr>
        <w:top w:val="single" w:sz="4" w:space="0" w:color="auto"/>
        <w:left w:val="single" w:sz="4" w:space="8" w:color="auto"/>
        <w:bottom w:val="single" w:sz="4" w:space="0" w:color="auto"/>
        <w:right w:val="single" w:sz="4" w:space="0" w:color="auto"/>
      </w:pBdr>
      <w:spacing w:before="100" w:beforeAutospacing="1" w:after="100" w:afterAutospacing="1" w:line="240" w:lineRule="auto"/>
      <w:ind w:firstLineChars="100" w:firstLine="100"/>
      <w:jc w:val="left"/>
      <w:textAlignment w:val="top"/>
    </w:pPr>
    <w:rPr>
      <w:rFonts w:ascii="Times New Roman" w:hAnsi="Times New Roman"/>
      <w:i/>
      <w:iCs/>
      <w:lang w:val="en-IN" w:eastAsia="en-IN"/>
    </w:rPr>
  </w:style>
  <w:style w:type="paragraph" w:customStyle="1" w:styleId="xl96">
    <w:name w:val="xl96"/>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lang w:val="en-IN" w:eastAsia="en-IN"/>
    </w:rPr>
  </w:style>
  <w:style w:type="paragraph" w:customStyle="1" w:styleId="xl97">
    <w:name w:val="xl97"/>
    <w:basedOn w:val="Normal"/>
    <w:rsid w:val="00E63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lang w:val="en-IN" w:eastAsia="en-IN"/>
    </w:rPr>
  </w:style>
  <w:style w:type="paragraph" w:customStyle="1" w:styleId="Heading21">
    <w:name w:val="Heading 21"/>
    <w:basedOn w:val="ListParagraph"/>
    <w:next w:val="Heading2"/>
    <w:qFormat/>
    <w:rsid w:val="004C74C2"/>
    <w:pPr>
      <w:autoSpaceDE w:val="0"/>
      <w:autoSpaceDN w:val="0"/>
      <w:adjustRightInd w:val="0"/>
      <w:spacing w:before="240" w:after="240" w:line="240" w:lineRule="auto"/>
      <w:ind w:left="780" w:hanging="780"/>
      <w:contextualSpacing/>
      <w:outlineLvl w:val="1"/>
    </w:pPr>
    <w:rPr>
      <w:rFonts w:eastAsiaTheme="minorEastAsia" w:cs="Calibri"/>
      <w:bCs/>
      <w:color w:val="000000"/>
    </w:rPr>
  </w:style>
  <w:style w:type="numbering" w:customStyle="1" w:styleId="NoList1">
    <w:name w:val="No List1"/>
    <w:next w:val="NoList"/>
    <w:uiPriority w:val="99"/>
    <w:semiHidden/>
    <w:unhideWhenUsed/>
    <w:rsid w:val="002A1F3B"/>
  </w:style>
  <w:style w:type="numbering" w:customStyle="1" w:styleId="NoList11">
    <w:name w:val="No List11"/>
    <w:next w:val="NoList"/>
    <w:uiPriority w:val="99"/>
    <w:semiHidden/>
    <w:unhideWhenUsed/>
    <w:rsid w:val="002A1F3B"/>
  </w:style>
  <w:style w:type="paragraph" w:customStyle="1" w:styleId="TableofFigures1">
    <w:name w:val="Table of Figures1"/>
    <w:basedOn w:val="Normal"/>
    <w:next w:val="Normal"/>
    <w:uiPriority w:val="99"/>
    <w:rsid w:val="002A1F3B"/>
    <w:pPr>
      <w:ind w:left="480" w:hanging="480"/>
      <w:jc w:val="left"/>
    </w:pPr>
    <w:rPr>
      <w:rFonts w:cs="Calibri"/>
      <w:smallCaps/>
      <w:sz w:val="20"/>
      <w:szCs w:val="20"/>
    </w:rPr>
  </w:style>
  <w:style w:type="paragraph" w:customStyle="1" w:styleId="TOC11">
    <w:name w:val="TOC 11"/>
    <w:basedOn w:val="Normal"/>
    <w:next w:val="Normal"/>
    <w:autoRedefine/>
    <w:uiPriority w:val="39"/>
    <w:qFormat/>
    <w:rsid w:val="002A1F3B"/>
    <w:pPr>
      <w:tabs>
        <w:tab w:val="left" w:pos="480"/>
        <w:tab w:val="right" w:leader="dot" w:pos="8659"/>
      </w:tabs>
      <w:spacing w:after="120"/>
      <w:jc w:val="center"/>
    </w:pPr>
    <w:rPr>
      <w:rFonts w:cs="Calibri"/>
      <w:bCs/>
      <w:caps/>
      <w:sz w:val="20"/>
      <w:szCs w:val="20"/>
    </w:rPr>
  </w:style>
  <w:style w:type="paragraph" w:customStyle="1" w:styleId="TOC21">
    <w:name w:val="TOC 21"/>
    <w:basedOn w:val="Normal"/>
    <w:next w:val="Normal"/>
    <w:autoRedefine/>
    <w:uiPriority w:val="39"/>
    <w:qFormat/>
    <w:rsid w:val="002A1F3B"/>
    <w:pPr>
      <w:ind w:left="240"/>
      <w:jc w:val="left"/>
    </w:pPr>
    <w:rPr>
      <w:rFonts w:cs="Calibri"/>
      <w:smallCaps/>
      <w:sz w:val="20"/>
      <w:szCs w:val="20"/>
    </w:rPr>
  </w:style>
  <w:style w:type="paragraph" w:customStyle="1" w:styleId="TOC31">
    <w:name w:val="TOC 31"/>
    <w:basedOn w:val="Normal"/>
    <w:next w:val="Normal"/>
    <w:autoRedefine/>
    <w:uiPriority w:val="39"/>
    <w:qFormat/>
    <w:rsid w:val="002A1F3B"/>
    <w:pPr>
      <w:ind w:left="480"/>
      <w:jc w:val="left"/>
    </w:pPr>
    <w:rPr>
      <w:rFonts w:cs="Calibri"/>
      <w:i/>
      <w:iCs/>
      <w:sz w:val="20"/>
      <w:szCs w:val="20"/>
    </w:rPr>
  </w:style>
  <w:style w:type="paragraph" w:customStyle="1" w:styleId="TOC41">
    <w:name w:val="TOC 41"/>
    <w:basedOn w:val="Normal"/>
    <w:next w:val="Normal"/>
    <w:autoRedefine/>
    <w:uiPriority w:val="39"/>
    <w:rsid w:val="002A1F3B"/>
    <w:pPr>
      <w:ind w:left="720"/>
      <w:jc w:val="left"/>
    </w:pPr>
    <w:rPr>
      <w:rFonts w:cs="Calibri"/>
      <w:sz w:val="18"/>
      <w:szCs w:val="18"/>
    </w:rPr>
  </w:style>
  <w:style w:type="paragraph" w:customStyle="1" w:styleId="TOC51">
    <w:name w:val="TOC 51"/>
    <w:basedOn w:val="Normal"/>
    <w:next w:val="Normal"/>
    <w:autoRedefine/>
    <w:uiPriority w:val="39"/>
    <w:rsid w:val="002A1F3B"/>
    <w:pPr>
      <w:ind w:left="960"/>
      <w:jc w:val="left"/>
    </w:pPr>
    <w:rPr>
      <w:rFonts w:cs="Calibri"/>
      <w:sz w:val="18"/>
      <w:szCs w:val="18"/>
    </w:rPr>
  </w:style>
  <w:style w:type="paragraph" w:customStyle="1" w:styleId="TOC61">
    <w:name w:val="TOC 61"/>
    <w:basedOn w:val="Normal"/>
    <w:next w:val="Normal"/>
    <w:autoRedefine/>
    <w:uiPriority w:val="39"/>
    <w:rsid w:val="002A1F3B"/>
    <w:pPr>
      <w:ind w:left="1200"/>
      <w:jc w:val="left"/>
    </w:pPr>
    <w:rPr>
      <w:rFonts w:cs="Calibri"/>
      <w:sz w:val="18"/>
      <w:szCs w:val="18"/>
    </w:rPr>
  </w:style>
  <w:style w:type="paragraph" w:customStyle="1" w:styleId="TOC71">
    <w:name w:val="TOC 71"/>
    <w:basedOn w:val="Normal"/>
    <w:next w:val="Normal"/>
    <w:autoRedefine/>
    <w:uiPriority w:val="39"/>
    <w:rsid w:val="002A1F3B"/>
    <w:pPr>
      <w:ind w:left="1440"/>
      <w:jc w:val="left"/>
    </w:pPr>
    <w:rPr>
      <w:rFonts w:cs="Calibri"/>
      <w:sz w:val="18"/>
      <w:szCs w:val="18"/>
    </w:rPr>
  </w:style>
  <w:style w:type="paragraph" w:customStyle="1" w:styleId="TOC81">
    <w:name w:val="TOC 81"/>
    <w:basedOn w:val="Normal"/>
    <w:next w:val="Normal"/>
    <w:autoRedefine/>
    <w:uiPriority w:val="39"/>
    <w:rsid w:val="002A1F3B"/>
    <w:pPr>
      <w:ind w:left="1680"/>
      <w:jc w:val="left"/>
    </w:pPr>
    <w:rPr>
      <w:rFonts w:cs="Calibri"/>
      <w:sz w:val="18"/>
      <w:szCs w:val="18"/>
    </w:rPr>
  </w:style>
  <w:style w:type="paragraph" w:customStyle="1" w:styleId="TOC91">
    <w:name w:val="TOC 91"/>
    <w:basedOn w:val="Normal"/>
    <w:next w:val="Normal"/>
    <w:autoRedefine/>
    <w:uiPriority w:val="39"/>
    <w:rsid w:val="002A1F3B"/>
    <w:pPr>
      <w:ind w:left="1920"/>
      <w:jc w:val="left"/>
    </w:pPr>
    <w:rPr>
      <w:rFonts w:cs="Calibri"/>
      <w:sz w:val="18"/>
      <w:szCs w:val="18"/>
    </w:rPr>
  </w:style>
  <w:style w:type="table" w:customStyle="1" w:styleId="MediumShading2-Accent121">
    <w:name w:val="Medium Shading 2 - Accent 121"/>
    <w:basedOn w:val="TableNormal"/>
    <w:uiPriority w:val="64"/>
    <w:rsid w:val="002A1F3B"/>
    <w:pPr>
      <w:spacing w:after="0" w:line="240" w:lineRule="auto"/>
    </w:pPr>
    <w:rPr>
      <w:rFonts w:ascii="Calibri" w:eastAsia="Calibri"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Index11">
    <w:name w:val="Index 11"/>
    <w:basedOn w:val="Normal"/>
    <w:next w:val="Normal"/>
    <w:autoRedefine/>
    <w:rsid w:val="002A1F3B"/>
    <w:pPr>
      <w:ind w:left="240" w:hanging="240"/>
      <w:jc w:val="left"/>
    </w:pPr>
    <w:rPr>
      <w:rFonts w:cs="Calibri"/>
      <w:sz w:val="20"/>
      <w:szCs w:val="20"/>
    </w:rPr>
  </w:style>
  <w:style w:type="paragraph" w:customStyle="1" w:styleId="Index21">
    <w:name w:val="Index 21"/>
    <w:basedOn w:val="Normal"/>
    <w:next w:val="Normal"/>
    <w:autoRedefine/>
    <w:rsid w:val="002A1F3B"/>
    <w:pPr>
      <w:ind w:left="480" w:hanging="240"/>
      <w:jc w:val="left"/>
    </w:pPr>
    <w:rPr>
      <w:rFonts w:cs="Calibri"/>
      <w:sz w:val="20"/>
      <w:szCs w:val="20"/>
    </w:rPr>
  </w:style>
  <w:style w:type="paragraph" w:customStyle="1" w:styleId="Index31">
    <w:name w:val="Index 31"/>
    <w:basedOn w:val="Normal"/>
    <w:next w:val="Normal"/>
    <w:autoRedefine/>
    <w:rsid w:val="002A1F3B"/>
    <w:pPr>
      <w:ind w:left="720" w:hanging="240"/>
      <w:jc w:val="left"/>
    </w:pPr>
    <w:rPr>
      <w:rFonts w:cs="Calibri"/>
      <w:sz w:val="20"/>
      <w:szCs w:val="20"/>
    </w:rPr>
  </w:style>
  <w:style w:type="paragraph" w:customStyle="1" w:styleId="Index41">
    <w:name w:val="Index 41"/>
    <w:basedOn w:val="Normal"/>
    <w:next w:val="Normal"/>
    <w:autoRedefine/>
    <w:rsid w:val="002A1F3B"/>
    <w:pPr>
      <w:ind w:left="960" w:hanging="240"/>
      <w:jc w:val="left"/>
    </w:pPr>
    <w:rPr>
      <w:rFonts w:cs="Calibri"/>
      <w:sz w:val="20"/>
      <w:szCs w:val="20"/>
    </w:rPr>
  </w:style>
  <w:style w:type="paragraph" w:customStyle="1" w:styleId="Index51">
    <w:name w:val="Index 51"/>
    <w:basedOn w:val="Normal"/>
    <w:next w:val="Normal"/>
    <w:autoRedefine/>
    <w:rsid w:val="002A1F3B"/>
    <w:pPr>
      <w:ind w:left="1200" w:hanging="240"/>
      <w:jc w:val="left"/>
    </w:pPr>
    <w:rPr>
      <w:rFonts w:cs="Calibri"/>
      <w:sz w:val="20"/>
      <w:szCs w:val="20"/>
    </w:rPr>
  </w:style>
  <w:style w:type="paragraph" w:customStyle="1" w:styleId="Index61">
    <w:name w:val="Index 61"/>
    <w:basedOn w:val="Normal"/>
    <w:next w:val="Normal"/>
    <w:autoRedefine/>
    <w:rsid w:val="002A1F3B"/>
    <w:pPr>
      <w:ind w:left="1440" w:hanging="240"/>
      <w:jc w:val="left"/>
    </w:pPr>
    <w:rPr>
      <w:rFonts w:cs="Calibri"/>
      <w:sz w:val="20"/>
      <w:szCs w:val="20"/>
    </w:rPr>
  </w:style>
  <w:style w:type="paragraph" w:customStyle="1" w:styleId="Index71">
    <w:name w:val="Index 71"/>
    <w:basedOn w:val="Normal"/>
    <w:next w:val="Normal"/>
    <w:autoRedefine/>
    <w:rsid w:val="002A1F3B"/>
    <w:pPr>
      <w:ind w:left="1680" w:hanging="240"/>
      <w:jc w:val="left"/>
    </w:pPr>
    <w:rPr>
      <w:rFonts w:cs="Calibri"/>
      <w:sz w:val="20"/>
      <w:szCs w:val="20"/>
    </w:rPr>
  </w:style>
  <w:style w:type="paragraph" w:customStyle="1" w:styleId="Index81">
    <w:name w:val="Index 81"/>
    <w:basedOn w:val="Normal"/>
    <w:next w:val="Normal"/>
    <w:autoRedefine/>
    <w:rsid w:val="002A1F3B"/>
    <w:pPr>
      <w:ind w:left="1920" w:hanging="240"/>
      <w:jc w:val="left"/>
    </w:pPr>
    <w:rPr>
      <w:rFonts w:cs="Calibri"/>
      <w:sz w:val="20"/>
      <w:szCs w:val="20"/>
    </w:rPr>
  </w:style>
  <w:style w:type="paragraph" w:customStyle="1" w:styleId="Index91">
    <w:name w:val="Index 91"/>
    <w:basedOn w:val="Normal"/>
    <w:next w:val="Normal"/>
    <w:autoRedefine/>
    <w:rsid w:val="002A1F3B"/>
    <w:pPr>
      <w:ind w:left="2160" w:hanging="240"/>
      <w:jc w:val="left"/>
    </w:pPr>
    <w:rPr>
      <w:rFonts w:cs="Calibri"/>
      <w:sz w:val="20"/>
      <w:szCs w:val="20"/>
    </w:rPr>
  </w:style>
  <w:style w:type="paragraph" w:customStyle="1" w:styleId="IndexHeading1">
    <w:name w:val="Index Heading1"/>
    <w:basedOn w:val="Normal"/>
    <w:next w:val="Index1"/>
    <w:rsid w:val="002A1F3B"/>
    <w:pPr>
      <w:spacing w:after="120"/>
      <w:jc w:val="left"/>
    </w:pPr>
    <w:rPr>
      <w:rFonts w:cs="Calibri"/>
      <w:b/>
      <w:bCs/>
      <w:i/>
      <w:iCs/>
      <w:sz w:val="20"/>
      <w:szCs w:val="20"/>
    </w:rPr>
  </w:style>
  <w:style w:type="paragraph" w:customStyle="1" w:styleId="TOCHeading1">
    <w:name w:val="TOC Heading1"/>
    <w:basedOn w:val="Heading1"/>
    <w:next w:val="Normal"/>
    <w:uiPriority w:val="39"/>
    <w:semiHidden/>
    <w:unhideWhenUsed/>
    <w:qFormat/>
    <w:rsid w:val="002A1F3B"/>
    <w:pPr>
      <w:keepLines/>
      <w:numPr>
        <w:numId w:val="0"/>
      </w:numPr>
      <w:spacing w:before="480" w:after="0" w:line="276" w:lineRule="auto"/>
      <w:ind w:left="-360" w:firstLine="360"/>
      <w:jc w:val="left"/>
      <w:outlineLvl w:val="9"/>
    </w:pPr>
    <w:rPr>
      <w:rFonts w:ascii="Cambria" w:hAnsi="Cambria" w:cs="Times New Roman"/>
      <w:color w:val="365F91"/>
      <w:kern w:val="0"/>
      <w:szCs w:val="28"/>
      <w:lang w:val="en-US" w:eastAsia="ja-JP"/>
    </w:rPr>
  </w:style>
  <w:style w:type="character" w:customStyle="1" w:styleId="FollowedHyperlink1">
    <w:name w:val="FollowedHyperlink1"/>
    <w:basedOn w:val="DefaultParagraphFont"/>
    <w:uiPriority w:val="99"/>
    <w:rsid w:val="002A1F3B"/>
    <w:rPr>
      <w:color w:val="800080"/>
      <w:u w:val="single"/>
    </w:rPr>
  </w:style>
  <w:style w:type="table" w:customStyle="1" w:styleId="MediumShading1-Accent111">
    <w:name w:val="Medium Shading 1 - Accent 111"/>
    <w:basedOn w:val="TableNormal"/>
    <w:uiPriority w:val="63"/>
    <w:rsid w:val="002A1F3B"/>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List-Accent111">
    <w:name w:val="Light List - Accent 111"/>
    <w:basedOn w:val="TableNormal"/>
    <w:uiPriority w:val="61"/>
    <w:rsid w:val="002A1F3B"/>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xl128">
    <w:name w:val="xl128"/>
    <w:basedOn w:val="Normal"/>
    <w:rsid w:val="002A1F3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29">
    <w:name w:val="xl129"/>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30">
    <w:name w:val="xl130"/>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1">
    <w:name w:val="xl131"/>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2">
    <w:name w:val="xl132"/>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33">
    <w:name w:val="xl133"/>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34">
    <w:name w:val="xl134"/>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35">
    <w:name w:val="xl135"/>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6">
    <w:name w:val="xl136"/>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137">
    <w:name w:val="xl137"/>
    <w:basedOn w:val="Normal"/>
    <w:rsid w:val="002A1F3B"/>
    <w:pPr>
      <w:pBdr>
        <w:top w:val="single" w:sz="4" w:space="0" w:color="auto"/>
        <w:left w:val="single" w:sz="4" w:space="0" w:color="auto"/>
        <w:bottom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38">
    <w:name w:val="xl138"/>
    <w:basedOn w:val="Normal"/>
    <w:rsid w:val="002A1F3B"/>
    <w:pPr>
      <w:pBdr>
        <w:top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39">
    <w:name w:val="xl139"/>
    <w:basedOn w:val="Normal"/>
    <w:rsid w:val="002A1F3B"/>
    <w:pPr>
      <w:pBdr>
        <w:top w:val="single" w:sz="4" w:space="0" w:color="auto"/>
        <w:left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40">
    <w:name w:val="xl140"/>
    <w:basedOn w:val="Normal"/>
    <w:rsid w:val="002A1F3B"/>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1">
    <w:name w:val="xl141"/>
    <w:basedOn w:val="Normal"/>
    <w:rsid w:val="002A1F3B"/>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2">
    <w:name w:val="xl142"/>
    <w:basedOn w:val="Normal"/>
    <w:rsid w:val="002A1F3B"/>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3">
    <w:name w:val="xl143"/>
    <w:basedOn w:val="Normal"/>
    <w:rsid w:val="002A1F3B"/>
    <w:pPr>
      <w:pBdr>
        <w:top w:val="single" w:sz="4" w:space="0" w:color="auto"/>
        <w:left w:val="single" w:sz="4" w:space="0" w:color="auto"/>
        <w:bottom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4">
    <w:name w:val="xl144"/>
    <w:basedOn w:val="Normal"/>
    <w:rsid w:val="002A1F3B"/>
    <w:pPr>
      <w:pBdr>
        <w:top w:val="single" w:sz="4" w:space="0" w:color="auto"/>
        <w:bottom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5">
    <w:name w:val="xl145"/>
    <w:basedOn w:val="Normal"/>
    <w:rsid w:val="002A1F3B"/>
    <w:pPr>
      <w:pBdr>
        <w:top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6">
    <w:name w:val="xl146"/>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147">
    <w:name w:val="xl147"/>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48">
    <w:name w:val="xl148"/>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49">
    <w:name w:val="xl149"/>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50">
    <w:name w:val="xl150"/>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0"/>
      <w:szCs w:val="20"/>
      <w:lang w:val="en-US"/>
    </w:rPr>
  </w:style>
  <w:style w:type="paragraph" w:customStyle="1" w:styleId="xl151">
    <w:name w:val="xl151"/>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b/>
      <w:bCs/>
      <w:lang w:val="en-US"/>
    </w:rPr>
  </w:style>
  <w:style w:type="character" w:customStyle="1" w:styleId="NoSpacingChar">
    <w:name w:val="No Spacing Char"/>
    <w:basedOn w:val="DefaultParagraphFont"/>
    <w:link w:val="NoSpacing"/>
    <w:uiPriority w:val="1"/>
    <w:rsid w:val="002A1F3B"/>
    <w:rPr>
      <w:rFonts w:ascii="Calibri" w:eastAsia="Calibri" w:hAnsi="Calibri" w:cs="Times New Roman"/>
    </w:rPr>
  </w:style>
  <w:style w:type="table" w:styleId="LightShading-Accent6">
    <w:name w:val="Light Shading Accent 6"/>
    <w:basedOn w:val="TableNormal"/>
    <w:uiPriority w:val="60"/>
    <w:rsid w:val="002A1F3B"/>
    <w:pPr>
      <w:spacing w:after="0" w:line="240" w:lineRule="auto"/>
    </w:pPr>
    <w:rPr>
      <w:rFonts w:ascii="Calibri" w:eastAsia="Calibri" w:hAnsi="Calibri" w:cs="Times New Roman"/>
      <w:color w:val="E36C0A"/>
      <w:lang w:val="en-IN"/>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DocumentMap">
    <w:name w:val="Document Map"/>
    <w:basedOn w:val="Normal"/>
    <w:link w:val="DocumentMapChar"/>
    <w:unhideWhenUsed/>
    <w:rsid w:val="002A1F3B"/>
    <w:pPr>
      <w:spacing w:before="0" w:line="240" w:lineRule="auto"/>
      <w:jc w:val="right"/>
    </w:pPr>
    <w:rPr>
      <w:rFonts w:ascii="Tahoma" w:eastAsia="Calibri" w:hAnsi="Tahoma" w:cs="Tahoma"/>
      <w:sz w:val="16"/>
      <w:szCs w:val="16"/>
      <w:lang w:val="en-US"/>
    </w:rPr>
  </w:style>
  <w:style w:type="character" w:customStyle="1" w:styleId="DocumentMapChar">
    <w:name w:val="Document Map Char"/>
    <w:basedOn w:val="DefaultParagraphFont"/>
    <w:link w:val="DocumentMap"/>
    <w:rsid w:val="002A1F3B"/>
    <w:rPr>
      <w:rFonts w:ascii="Tahoma" w:eastAsia="Calibri" w:hAnsi="Tahoma" w:cs="Tahoma"/>
      <w:sz w:val="16"/>
      <w:szCs w:val="16"/>
    </w:rPr>
  </w:style>
  <w:style w:type="paragraph" w:customStyle="1" w:styleId="xl83">
    <w:name w:val="xl83"/>
    <w:basedOn w:val="Normal"/>
    <w:rsid w:val="002A1F3B"/>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lang w:val="en-US"/>
    </w:rPr>
  </w:style>
  <w:style w:type="paragraph" w:customStyle="1" w:styleId="xl84">
    <w:name w:val="xl84"/>
    <w:basedOn w:val="Normal"/>
    <w:rsid w:val="002A1F3B"/>
    <w:pPr>
      <w:pBdr>
        <w:top w:val="single" w:sz="4" w:space="0" w:color="auto"/>
        <w:bottom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85">
    <w:name w:val="xl85"/>
    <w:basedOn w:val="Normal"/>
    <w:rsid w:val="002A1F3B"/>
    <w:pPr>
      <w:pBdr>
        <w:top w:val="single" w:sz="4" w:space="0" w:color="auto"/>
        <w:bottom w:val="single" w:sz="4" w:space="0" w:color="auto"/>
      </w:pBdr>
      <w:shd w:val="clear" w:color="000000" w:fill="FCD5B4"/>
      <w:spacing w:before="100" w:beforeAutospacing="1" w:after="100" w:afterAutospacing="1" w:line="240" w:lineRule="auto"/>
      <w:jc w:val="right"/>
      <w:textAlignment w:val="center"/>
    </w:pPr>
    <w:rPr>
      <w:rFonts w:ascii="Times New Roman" w:hAnsi="Times New Roman"/>
      <w:b/>
      <w:bCs/>
      <w:lang w:val="en-US"/>
    </w:rPr>
  </w:style>
  <w:style w:type="paragraph" w:customStyle="1" w:styleId="xl86">
    <w:name w:val="xl86"/>
    <w:basedOn w:val="Normal"/>
    <w:rsid w:val="002A1F3B"/>
    <w:pPr>
      <w:pBdr>
        <w:top w:val="single" w:sz="4" w:space="0" w:color="auto"/>
        <w:bottom w:val="single" w:sz="4" w:space="0" w:color="auto"/>
      </w:pBdr>
      <w:shd w:val="clear" w:color="000000" w:fill="DBE5F1"/>
      <w:spacing w:before="100" w:beforeAutospacing="1" w:after="100" w:afterAutospacing="1" w:line="240" w:lineRule="auto"/>
      <w:jc w:val="right"/>
      <w:textAlignment w:val="center"/>
    </w:pPr>
    <w:rPr>
      <w:rFonts w:ascii="Times New Roman" w:hAnsi="Times New Roman"/>
      <w:b/>
      <w:bCs/>
      <w:lang w:val="en-US"/>
    </w:rPr>
  </w:style>
  <w:style w:type="paragraph" w:customStyle="1" w:styleId="xl87">
    <w:name w:val="xl87"/>
    <w:basedOn w:val="Normal"/>
    <w:rsid w:val="002A1F3B"/>
    <w:pPr>
      <w:pBdr>
        <w:top w:val="single" w:sz="4" w:space="0" w:color="auto"/>
        <w:bottom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88">
    <w:name w:val="xl88"/>
    <w:basedOn w:val="Normal"/>
    <w:rsid w:val="002A1F3B"/>
    <w:pPr>
      <w:pBdr>
        <w:top w:val="single" w:sz="12" w:space="0" w:color="auto"/>
      </w:pBdr>
      <w:shd w:val="clear" w:color="000000" w:fill="FCD5B4"/>
      <w:spacing w:before="100" w:beforeAutospacing="1" w:after="100" w:afterAutospacing="1" w:line="240" w:lineRule="auto"/>
      <w:jc w:val="center"/>
      <w:textAlignment w:val="top"/>
    </w:pPr>
    <w:rPr>
      <w:rFonts w:ascii="Times New Roman" w:hAnsi="Times New Roman"/>
      <w:b/>
      <w:bCs/>
      <w:lang w:val="en-US"/>
    </w:rPr>
  </w:style>
  <w:style w:type="paragraph" w:customStyle="1" w:styleId="xl98">
    <w:name w:val="xl98"/>
    <w:basedOn w:val="Normal"/>
    <w:rsid w:val="002A1F3B"/>
    <w:pPr>
      <w:pBdr>
        <w:top w:val="single" w:sz="4" w:space="0" w:color="auto"/>
        <w:bottom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99">
    <w:name w:val="xl99"/>
    <w:basedOn w:val="Normal"/>
    <w:rsid w:val="002A1F3B"/>
    <w:pPr>
      <w:pBdr>
        <w:top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lang w:val="en-US"/>
    </w:rPr>
  </w:style>
  <w:style w:type="paragraph" w:styleId="EndnoteText">
    <w:name w:val="endnote text"/>
    <w:basedOn w:val="Normal"/>
    <w:link w:val="EndnoteTextChar"/>
    <w:unhideWhenUsed/>
    <w:rsid w:val="002A1F3B"/>
    <w:pPr>
      <w:spacing w:before="0" w:line="240" w:lineRule="auto"/>
      <w:jc w:val="right"/>
    </w:pPr>
    <w:rPr>
      <w:rFonts w:eastAsia="Calibri"/>
      <w:sz w:val="20"/>
      <w:szCs w:val="20"/>
      <w:lang w:val="en-US"/>
    </w:rPr>
  </w:style>
  <w:style w:type="character" w:customStyle="1" w:styleId="EndnoteTextChar">
    <w:name w:val="Endnote Text Char"/>
    <w:basedOn w:val="DefaultParagraphFont"/>
    <w:link w:val="EndnoteText"/>
    <w:rsid w:val="002A1F3B"/>
    <w:rPr>
      <w:rFonts w:ascii="Calibri" w:eastAsia="Calibri" w:hAnsi="Calibri" w:cs="Times New Roman"/>
      <w:sz w:val="20"/>
      <w:szCs w:val="20"/>
    </w:rPr>
  </w:style>
  <w:style w:type="character" w:styleId="EndnoteReference">
    <w:name w:val="endnote reference"/>
    <w:basedOn w:val="DefaultParagraphFont"/>
    <w:unhideWhenUsed/>
    <w:rsid w:val="002A1F3B"/>
    <w:rPr>
      <w:vertAlign w:val="superscript"/>
    </w:rPr>
  </w:style>
  <w:style w:type="table" w:customStyle="1" w:styleId="MediumShading2-Accent11">
    <w:name w:val="Medium Shading 2 - Accent 11"/>
    <w:basedOn w:val="TableNormal"/>
    <w:uiPriority w:val="64"/>
    <w:rsid w:val="002A1F3B"/>
    <w:pPr>
      <w:spacing w:after="0" w:line="240" w:lineRule="auto"/>
    </w:pPr>
    <w:rPr>
      <w:rFonts w:ascii="Times New Roman" w:eastAsia="Times New Roman" w:hAnsi="Times New Roman" w:cs="Times New Roman"/>
      <w:sz w:val="20"/>
      <w:szCs w:val="20"/>
      <w:lang w:val="en-GB" w:eastAsia="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font5">
    <w:name w:val="font5"/>
    <w:basedOn w:val="Normal"/>
    <w:rsid w:val="002A1F3B"/>
    <w:pPr>
      <w:spacing w:before="100" w:beforeAutospacing="1" w:after="100" w:afterAutospacing="1" w:line="240" w:lineRule="auto"/>
      <w:jc w:val="left"/>
    </w:pPr>
    <w:rPr>
      <w:rFonts w:ascii="Tahoma" w:hAnsi="Tahoma" w:cs="Tahoma"/>
      <w:color w:val="000000"/>
      <w:sz w:val="20"/>
      <w:szCs w:val="20"/>
      <w:lang w:val="en-US"/>
    </w:rPr>
  </w:style>
  <w:style w:type="paragraph" w:customStyle="1" w:styleId="font6">
    <w:name w:val="font6"/>
    <w:basedOn w:val="Normal"/>
    <w:rsid w:val="002A1F3B"/>
    <w:pPr>
      <w:spacing w:before="100" w:beforeAutospacing="1" w:after="100" w:afterAutospacing="1" w:line="240" w:lineRule="auto"/>
      <w:jc w:val="left"/>
    </w:pPr>
    <w:rPr>
      <w:rFonts w:ascii="Tahoma" w:hAnsi="Tahoma" w:cs="Tahoma"/>
      <w:b/>
      <w:bCs/>
      <w:color w:val="000000"/>
      <w:sz w:val="20"/>
      <w:szCs w:val="20"/>
      <w:lang w:val="en-US"/>
    </w:rPr>
  </w:style>
  <w:style w:type="paragraph" w:customStyle="1" w:styleId="xl64">
    <w:name w:val="xl64"/>
    <w:basedOn w:val="Normal"/>
    <w:rsid w:val="002A1F3B"/>
    <w:pPr>
      <w:pBdr>
        <w:top w:val="single" w:sz="4" w:space="0" w:color="auto"/>
        <w:left w:val="single" w:sz="8"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b/>
      <w:bCs/>
      <w:sz w:val="18"/>
      <w:szCs w:val="18"/>
      <w:lang w:val="en-US"/>
    </w:rPr>
  </w:style>
  <w:style w:type="paragraph" w:customStyle="1" w:styleId="xl65">
    <w:name w:val="xl65"/>
    <w:basedOn w:val="Normal"/>
    <w:rsid w:val="002A1F3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66">
    <w:name w:val="xl66"/>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67">
    <w:name w:val="xl67"/>
    <w:basedOn w:val="Normal"/>
    <w:rsid w:val="002A1F3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lang w:val="en-US"/>
    </w:rPr>
  </w:style>
  <w:style w:type="paragraph" w:customStyle="1" w:styleId="xl68">
    <w:name w:val="xl68"/>
    <w:basedOn w:val="Normal"/>
    <w:rsid w:val="002A1F3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69">
    <w:name w:val="xl69"/>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70">
    <w:name w:val="xl70"/>
    <w:basedOn w:val="Normal"/>
    <w:rsid w:val="002A1F3B"/>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71">
    <w:name w:val="xl71"/>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72">
    <w:name w:val="xl72"/>
    <w:basedOn w:val="Normal"/>
    <w:rsid w:val="002A1F3B"/>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73">
    <w:name w:val="xl73"/>
    <w:basedOn w:val="Normal"/>
    <w:rsid w:val="002A1F3B"/>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b/>
      <w:bCs/>
      <w:sz w:val="18"/>
      <w:szCs w:val="18"/>
      <w:lang w:val="en-US"/>
    </w:rPr>
  </w:style>
  <w:style w:type="paragraph" w:customStyle="1" w:styleId="xl74">
    <w:name w:val="xl74"/>
    <w:basedOn w:val="Normal"/>
    <w:rsid w:val="002A1F3B"/>
    <w:pPr>
      <w:pBdr>
        <w:top w:val="single" w:sz="4" w:space="0" w:color="auto"/>
        <w:left w:val="single" w:sz="8"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b/>
      <w:bCs/>
      <w:sz w:val="18"/>
      <w:szCs w:val="18"/>
      <w:lang w:val="en-US"/>
    </w:rPr>
  </w:style>
  <w:style w:type="paragraph" w:customStyle="1" w:styleId="xl75">
    <w:name w:val="xl75"/>
    <w:basedOn w:val="Normal"/>
    <w:rsid w:val="002A1F3B"/>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6">
    <w:name w:val="xl76"/>
    <w:basedOn w:val="Normal"/>
    <w:rsid w:val="002A1F3B"/>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7">
    <w:name w:val="xl77"/>
    <w:basedOn w:val="Normal"/>
    <w:rsid w:val="002A1F3B"/>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8">
    <w:name w:val="xl78"/>
    <w:basedOn w:val="Normal"/>
    <w:rsid w:val="002A1F3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79">
    <w:name w:val="xl79"/>
    <w:basedOn w:val="Normal"/>
    <w:rsid w:val="002A1F3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80">
    <w:name w:val="xl80"/>
    <w:basedOn w:val="Normal"/>
    <w:rsid w:val="002A1F3B"/>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81">
    <w:name w:val="xl81"/>
    <w:basedOn w:val="Normal"/>
    <w:rsid w:val="002A1F3B"/>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82">
    <w:name w:val="xl82"/>
    <w:basedOn w:val="Normal"/>
    <w:rsid w:val="002A1F3B"/>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00">
    <w:name w:val="xl100"/>
    <w:basedOn w:val="Normal"/>
    <w:rsid w:val="002A1F3B"/>
    <w:pPr>
      <w:spacing w:before="100" w:beforeAutospacing="1" w:after="100" w:afterAutospacing="1" w:line="240" w:lineRule="auto"/>
      <w:jc w:val="left"/>
    </w:pPr>
    <w:rPr>
      <w:sz w:val="18"/>
      <w:szCs w:val="18"/>
      <w:lang w:val="en-US"/>
    </w:rPr>
  </w:style>
  <w:style w:type="paragraph" w:customStyle="1" w:styleId="xl101">
    <w:name w:val="xl101"/>
    <w:basedOn w:val="Normal"/>
    <w:rsid w:val="002A1F3B"/>
    <w:pPr>
      <w:pBdr>
        <w:top w:val="single" w:sz="8" w:space="0" w:color="auto"/>
        <w:left w:val="single" w:sz="8"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2">
    <w:name w:val="xl102"/>
    <w:basedOn w:val="Normal"/>
    <w:rsid w:val="002A1F3B"/>
    <w:pPr>
      <w:pBdr>
        <w:top w:val="single" w:sz="8" w:space="0" w:color="auto"/>
        <w:left w:val="single" w:sz="4"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3">
    <w:name w:val="xl103"/>
    <w:basedOn w:val="Normal"/>
    <w:rsid w:val="002A1F3B"/>
    <w:pP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4">
    <w:name w:val="xl104"/>
    <w:basedOn w:val="Normal"/>
    <w:rsid w:val="002A1F3B"/>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5">
    <w:name w:val="xl105"/>
    <w:basedOn w:val="Normal"/>
    <w:rsid w:val="002A1F3B"/>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6">
    <w:name w:val="xl106"/>
    <w:basedOn w:val="Normal"/>
    <w:rsid w:val="002A1F3B"/>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7">
    <w:name w:val="xl107"/>
    <w:basedOn w:val="Normal"/>
    <w:rsid w:val="002A1F3B"/>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08">
    <w:name w:val="xl108"/>
    <w:basedOn w:val="Normal"/>
    <w:rsid w:val="002A1F3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color w:val="FF0000"/>
      <w:sz w:val="18"/>
      <w:szCs w:val="18"/>
      <w:lang w:val="en-US"/>
    </w:rPr>
  </w:style>
  <w:style w:type="paragraph" w:customStyle="1" w:styleId="xl109">
    <w:name w:val="xl109"/>
    <w:basedOn w:val="Normal"/>
    <w:rsid w:val="002A1F3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003366"/>
      <w:sz w:val="18"/>
      <w:szCs w:val="18"/>
      <w:lang w:val="en-US"/>
    </w:rPr>
  </w:style>
  <w:style w:type="paragraph" w:customStyle="1" w:styleId="xl110">
    <w:name w:val="xl110"/>
    <w:basedOn w:val="Normal"/>
    <w:rsid w:val="002A1F3B"/>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11">
    <w:name w:val="xl111"/>
    <w:basedOn w:val="Normal"/>
    <w:rsid w:val="002A1F3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12">
    <w:name w:val="xl112"/>
    <w:basedOn w:val="Normal"/>
    <w:rsid w:val="002A1F3B"/>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13">
    <w:name w:val="xl113"/>
    <w:basedOn w:val="Normal"/>
    <w:rsid w:val="002A1F3B"/>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b/>
      <w:bCs/>
      <w:sz w:val="18"/>
      <w:szCs w:val="18"/>
      <w:lang w:val="en-US"/>
    </w:rPr>
  </w:style>
  <w:style w:type="paragraph" w:customStyle="1" w:styleId="xl114">
    <w:name w:val="xl114"/>
    <w:basedOn w:val="Normal"/>
    <w:rsid w:val="002A1F3B"/>
    <w:pPr>
      <w:pBdr>
        <w:top w:val="single" w:sz="4" w:space="0" w:color="auto"/>
        <w:bottom w:val="single" w:sz="4" w:space="0" w:color="auto"/>
        <w:right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15">
    <w:name w:val="xl115"/>
    <w:basedOn w:val="Normal"/>
    <w:rsid w:val="002A1F3B"/>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16">
    <w:name w:val="xl116"/>
    <w:basedOn w:val="Normal"/>
    <w:rsid w:val="002A1F3B"/>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17">
    <w:name w:val="xl117"/>
    <w:basedOn w:val="Normal"/>
    <w:rsid w:val="002A1F3B"/>
    <w:pPr>
      <w:pBdr>
        <w:left w:val="single" w:sz="4" w:space="0" w:color="auto"/>
        <w:right w:val="single" w:sz="4" w:space="0" w:color="auto"/>
      </w:pBdr>
      <w:shd w:val="clear" w:color="000000" w:fill="FFFFFF"/>
      <w:spacing w:before="100" w:beforeAutospacing="1" w:after="100" w:afterAutospacing="1" w:line="240" w:lineRule="auto"/>
      <w:jc w:val="left"/>
    </w:pPr>
    <w:rPr>
      <w:sz w:val="18"/>
      <w:szCs w:val="18"/>
      <w:lang w:val="en-US"/>
    </w:rPr>
  </w:style>
  <w:style w:type="paragraph" w:customStyle="1" w:styleId="xl118">
    <w:name w:val="xl118"/>
    <w:basedOn w:val="Normal"/>
    <w:rsid w:val="002A1F3B"/>
    <w:pPr>
      <w:spacing w:before="100" w:beforeAutospacing="1" w:after="100" w:afterAutospacing="1" w:line="240" w:lineRule="auto"/>
      <w:jc w:val="center"/>
      <w:textAlignment w:val="center"/>
    </w:pPr>
    <w:rPr>
      <w:sz w:val="18"/>
      <w:szCs w:val="18"/>
      <w:lang w:val="en-US"/>
    </w:rPr>
  </w:style>
  <w:style w:type="paragraph" w:customStyle="1" w:styleId="xl119">
    <w:name w:val="xl119"/>
    <w:basedOn w:val="Normal"/>
    <w:rsid w:val="002A1F3B"/>
    <w:pPr>
      <w:pBdr>
        <w:bottom w:val="single" w:sz="8" w:space="0" w:color="auto"/>
      </w:pBdr>
      <w:spacing w:before="100" w:beforeAutospacing="1" w:after="100" w:afterAutospacing="1" w:line="240" w:lineRule="auto"/>
      <w:jc w:val="center"/>
      <w:textAlignment w:val="center"/>
    </w:pPr>
    <w:rPr>
      <w:b/>
      <w:bCs/>
      <w:sz w:val="18"/>
      <w:szCs w:val="18"/>
      <w:lang w:val="en-US"/>
    </w:rPr>
  </w:style>
  <w:style w:type="paragraph" w:customStyle="1" w:styleId="xl120">
    <w:name w:val="xl120"/>
    <w:basedOn w:val="Normal"/>
    <w:rsid w:val="002A1F3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21">
    <w:name w:val="xl121"/>
    <w:basedOn w:val="Normal"/>
    <w:rsid w:val="002A1F3B"/>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22">
    <w:name w:val="xl122"/>
    <w:basedOn w:val="Normal"/>
    <w:rsid w:val="002A1F3B"/>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center"/>
      <w:textAlignment w:val="center"/>
    </w:pPr>
    <w:rPr>
      <w:b/>
      <w:bCs/>
      <w:color w:val="003366"/>
      <w:sz w:val="18"/>
      <w:szCs w:val="18"/>
      <w:lang w:val="en-US"/>
    </w:rPr>
  </w:style>
  <w:style w:type="paragraph" w:customStyle="1" w:styleId="xl123">
    <w:name w:val="xl123"/>
    <w:basedOn w:val="Normal"/>
    <w:rsid w:val="002A1F3B"/>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24">
    <w:name w:val="xl124"/>
    <w:basedOn w:val="Normal"/>
    <w:rsid w:val="002A1F3B"/>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25">
    <w:name w:val="xl125"/>
    <w:basedOn w:val="Normal"/>
    <w:rsid w:val="002A1F3B"/>
    <w:pPr>
      <w:pBdr>
        <w:top w:val="single" w:sz="8" w:space="0" w:color="auto"/>
        <w:left w:val="single" w:sz="4" w:space="0" w:color="auto"/>
        <w:bottom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26">
    <w:name w:val="xl126"/>
    <w:basedOn w:val="Normal"/>
    <w:rsid w:val="002A1F3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27">
    <w:name w:val="xl127"/>
    <w:basedOn w:val="Normal"/>
    <w:rsid w:val="002A1F3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52">
    <w:name w:val="xl152"/>
    <w:basedOn w:val="Normal"/>
    <w:rsid w:val="002A1F3B"/>
    <w:pPr>
      <w:pBdr>
        <w:top w:val="single" w:sz="4" w:space="0" w:color="auto"/>
        <w:bottom w:val="single" w:sz="4" w:space="0" w:color="auto"/>
        <w:right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53">
    <w:name w:val="xl153"/>
    <w:basedOn w:val="Normal"/>
    <w:rsid w:val="002A1F3B"/>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4">
    <w:name w:val="xl154"/>
    <w:basedOn w:val="Normal"/>
    <w:rsid w:val="002A1F3B"/>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5">
    <w:name w:val="xl155"/>
    <w:basedOn w:val="Normal"/>
    <w:rsid w:val="002A1F3B"/>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6">
    <w:name w:val="xl156"/>
    <w:basedOn w:val="Normal"/>
    <w:rsid w:val="002A1F3B"/>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57">
    <w:name w:val="xl157"/>
    <w:basedOn w:val="Normal"/>
    <w:rsid w:val="002A1F3B"/>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sz w:val="18"/>
      <w:szCs w:val="18"/>
      <w:lang w:val="en-US"/>
    </w:rPr>
  </w:style>
  <w:style w:type="paragraph" w:customStyle="1" w:styleId="xl158">
    <w:name w:val="xl158"/>
    <w:basedOn w:val="Normal"/>
    <w:rsid w:val="002A1F3B"/>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59">
    <w:name w:val="xl159"/>
    <w:basedOn w:val="Normal"/>
    <w:rsid w:val="002A1F3B"/>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0">
    <w:name w:val="xl160"/>
    <w:basedOn w:val="Normal"/>
    <w:rsid w:val="002A1F3B"/>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sz w:val="18"/>
      <w:szCs w:val="18"/>
      <w:lang w:val="en-US"/>
    </w:rPr>
  </w:style>
  <w:style w:type="paragraph" w:customStyle="1" w:styleId="xl161">
    <w:name w:val="xl161"/>
    <w:basedOn w:val="Normal"/>
    <w:rsid w:val="002A1F3B"/>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2">
    <w:name w:val="xl162"/>
    <w:basedOn w:val="Normal"/>
    <w:rsid w:val="002A1F3B"/>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3">
    <w:name w:val="xl163"/>
    <w:basedOn w:val="Normal"/>
    <w:rsid w:val="002A1F3B"/>
    <w:pPr>
      <w:pBdr>
        <w:top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sz w:val="18"/>
      <w:szCs w:val="18"/>
      <w:lang w:val="en-US"/>
    </w:rPr>
  </w:style>
  <w:style w:type="paragraph" w:customStyle="1" w:styleId="xl164">
    <w:name w:val="xl164"/>
    <w:basedOn w:val="Normal"/>
    <w:rsid w:val="002A1F3B"/>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165">
    <w:name w:val="xl165"/>
    <w:basedOn w:val="Normal"/>
    <w:rsid w:val="002A1F3B"/>
    <w:pPr>
      <w:pBdr>
        <w:top w:val="single" w:sz="4" w:space="0" w:color="auto"/>
        <w:bottom w:val="single" w:sz="8"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166">
    <w:name w:val="xl166"/>
    <w:basedOn w:val="Normal"/>
    <w:rsid w:val="002A1F3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FFFF"/>
      <w:sz w:val="18"/>
      <w:szCs w:val="18"/>
      <w:lang w:val="en-US"/>
    </w:rPr>
  </w:style>
  <w:style w:type="paragraph" w:customStyle="1" w:styleId="xl167">
    <w:name w:val="xl167"/>
    <w:basedOn w:val="Normal"/>
    <w:rsid w:val="002A1F3B"/>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b/>
      <w:bCs/>
      <w:color w:val="FFFFFF"/>
      <w:sz w:val="18"/>
      <w:szCs w:val="18"/>
      <w:lang w:val="en-US"/>
    </w:rPr>
  </w:style>
  <w:style w:type="paragraph" w:customStyle="1" w:styleId="xl168">
    <w:name w:val="xl168"/>
    <w:basedOn w:val="Normal"/>
    <w:rsid w:val="002A1F3B"/>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69">
    <w:name w:val="xl169"/>
    <w:basedOn w:val="Normal"/>
    <w:rsid w:val="002A1F3B"/>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70">
    <w:name w:val="xl170"/>
    <w:basedOn w:val="Normal"/>
    <w:rsid w:val="002A1F3B"/>
    <w:pPr>
      <w:pBdr>
        <w:top w:val="single" w:sz="4" w:space="0" w:color="auto"/>
        <w:bottom w:val="single" w:sz="8" w:space="0" w:color="auto"/>
        <w:right w:val="single" w:sz="4" w:space="0" w:color="auto"/>
      </w:pBdr>
      <w:shd w:val="clear" w:color="000000" w:fill="CCC0DA"/>
      <w:spacing w:before="100" w:beforeAutospacing="1" w:after="100" w:afterAutospacing="1" w:line="240" w:lineRule="auto"/>
      <w:jc w:val="right"/>
      <w:textAlignment w:val="center"/>
    </w:pPr>
    <w:rPr>
      <w:b/>
      <w:bCs/>
      <w:color w:val="FFFFFF"/>
      <w:sz w:val="18"/>
      <w:szCs w:val="18"/>
      <w:lang w:val="en-US"/>
    </w:rPr>
  </w:style>
  <w:style w:type="paragraph" w:customStyle="1" w:styleId="xl171">
    <w:name w:val="xl171"/>
    <w:basedOn w:val="Normal"/>
    <w:rsid w:val="002A1F3B"/>
    <w:pPr>
      <w:shd w:val="clear" w:color="000000" w:fill="CCC0DA"/>
      <w:spacing w:before="100" w:beforeAutospacing="1" w:after="100" w:afterAutospacing="1" w:line="240" w:lineRule="auto"/>
      <w:jc w:val="left"/>
    </w:pPr>
    <w:rPr>
      <w:sz w:val="18"/>
      <w:szCs w:val="18"/>
      <w:lang w:val="en-US"/>
    </w:rPr>
  </w:style>
  <w:style w:type="paragraph" w:customStyle="1" w:styleId="xl172">
    <w:name w:val="xl172"/>
    <w:basedOn w:val="Normal"/>
    <w:rsid w:val="002A1F3B"/>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sz w:val="18"/>
      <w:szCs w:val="18"/>
      <w:lang w:val="en-US"/>
    </w:rPr>
  </w:style>
  <w:style w:type="paragraph" w:customStyle="1" w:styleId="xl173">
    <w:name w:val="xl173"/>
    <w:basedOn w:val="Normal"/>
    <w:rsid w:val="002A1F3B"/>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74">
    <w:name w:val="xl174"/>
    <w:basedOn w:val="Normal"/>
    <w:rsid w:val="002A1F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75">
    <w:name w:val="xl175"/>
    <w:basedOn w:val="Normal"/>
    <w:rsid w:val="002A1F3B"/>
    <w:pPr>
      <w:spacing w:before="100" w:beforeAutospacing="1" w:after="100" w:afterAutospacing="1" w:line="240" w:lineRule="auto"/>
      <w:jc w:val="center"/>
      <w:textAlignment w:val="center"/>
    </w:pPr>
    <w:rPr>
      <w:sz w:val="18"/>
      <w:szCs w:val="18"/>
      <w:lang w:val="en-US"/>
    </w:rPr>
  </w:style>
  <w:style w:type="paragraph" w:customStyle="1" w:styleId="xl176">
    <w:name w:val="xl176"/>
    <w:basedOn w:val="Normal"/>
    <w:rsid w:val="002A1F3B"/>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77">
    <w:name w:val="xl177"/>
    <w:basedOn w:val="Normal"/>
    <w:rsid w:val="002A1F3B"/>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78">
    <w:name w:val="xl178"/>
    <w:basedOn w:val="Normal"/>
    <w:rsid w:val="002A1F3B"/>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79">
    <w:name w:val="xl179"/>
    <w:basedOn w:val="Normal"/>
    <w:rsid w:val="002A1F3B"/>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80">
    <w:name w:val="xl180"/>
    <w:basedOn w:val="Normal"/>
    <w:rsid w:val="002A1F3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sz w:val="18"/>
      <w:szCs w:val="18"/>
      <w:lang w:val="en-US"/>
    </w:rPr>
  </w:style>
  <w:style w:type="paragraph" w:customStyle="1" w:styleId="xl181">
    <w:name w:val="xl181"/>
    <w:basedOn w:val="Normal"/>
    <w:rsid w:val="002A1F3B"/>
    <w:pPr>
      <w:pBdr>
        <w:top w:val="single" w:sz="4" w:space="0" w:color="auto"/>
        <w:left w:val="single" w:sz="8" w:space="0" w:color="auto"/>
        <w:bottom w:val="single" w:sz="4" w:space="0" w:color="auto"/>
        <w:right w:val="single" w:sz="8"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82">
    <w:name w:val="xl182"/>
    <w:basedOn w:val="Normal"/>
    <w:rsid w:val="002A1F3B"/>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83">
    <w:name w:val="xl183"/>
    <w:basedOn w:val="Normal"/>
    <w:rsid w:val="002A1F3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sz w:val="18"/>
      <w:szCs w:val="18"/>
      <w:lang w:val="en-US"/>
    </w:rPr>
  </w:style>
  <w:style w:type="paragraph" w:customStyle="1" w:styleId="xl184">
    <w:name w:val="xl184"/>
    <w:basedOn w:val="Normal"/>
    <w:rsid w:val="002A1F3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sz w:val="18"/>
      <w:szCs w:val="18"/>
      <w:lang w:val="en-US"/>
    </w:rPr>
  </w:style>
  <w:style w:type="paragraph" w:customStyle="1" w:styleId="xl185">
    <w:name w:val="xl185"/>
    <w:basedOn w:val="Normal"/>
    <w:rsid w:val="002A1F3B"/>
    <w:pPr>
      <w:pBdr>
        <w:top w:val="single" w:sz="4" w:space="0" w:color="auto"/>
        <w:left w:val="single" w:sz="8" w:space="0" w:color="auto"/>
        <w:bottom w:val="single" w:sz="8" w:space="0" w:color="auto"/>
        <w:right w:val="single" w:sz="8"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86">
    <w:name w:val="xl186"/>
    <w:basedOn w:val="Normal"/>
    <w:rsid w:val="002A1F3B"/>
    <w:pPr>
      <w:pBdr>
        <w:bottom w:val="single" w:sz="8" w:space="0" w:color="auto"/>
      </w:pBdr>
      <w:spacing w:before="100" w:beforeAutospacing="1" w:after="100" w:afterAutospacing="1" w:line="240" w:lineRule="auto"/>
      <w:jc w:val="center"/>
      <w:textAlignment w:val="center"/>
    </w:pPr>
    <w:rPr>
      <w:b/>
      <w:bCs/>
      <w:sz w:val="18"/>
      <w:szCs w:val="18"/>
      <w:lang w:val="en-US"/>
    </w:rPr>
  </w:style>
  <w:style w:type="paragraph" w:customStyle="1" w:styleId="xl187">
    <w:name w:val="xl187"/>
    <w:basedOn w:val="Normal"/>
    <w:rsid w:val="002A1F3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88">
    <w:name w:val="xl188"/>
    <w:basedOn w:val="Normal"/>
    <w:rsid w:val="002A1F3B"/>
    <w:pPr>
      <w:pBdr>
        <w:lef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189">
    <w:name w:val="xl189"/>
    <w:basedOn w:val="Normal"/>
    <w:rsid w:val="002A1F3B"/>
    <w:pPr>
      <w:shd w:val="clear" w:color="000000" w:fill="CCC0DA"/>
      <w:spacing w:before="100" w:beforeAutospacing="1" w:after="100" w:afterAutospacing="1" w:line="240" w:lineRule="auto"/>
      <w:jc w:val="center"/>
      <w:textAlignment w:val="center"/>
    </w:pPr>
    <w:rPr>
      <w:b/>
      <w:bCs/>
      <w:color w:val="FFFFFF"/>
      <w:sz w:val="18"/>
      <w:szCs w:val="18"/>
      <w:lang w:val="en-US"/>
    </w:rPr>
  </w:style>
  <w:style w:type="paragraph" w:customStyle="1" w:styleId="xl190">
    <w:name w:val="xl190"/>
    <w:basedOn w:val="Normal"/>
    <w:rsid w:val="002A1F3B"/>
    <w:pPr>
      <w:shd w:val="clear" w:color="000000" w:fill="538ED5"/>
      <w:spacing w:before="100" w:beforeAutospacing="1" w:after="100" w:afterAutospacing="1" w:line="240" w:lineRule="auto"/>
      <w:jc w:val="center"/>
      <w:textAlignment w:val="center"/>
    </w:pPr>
    <w:rPr>
      <w:b/>
      <w:bCs/>
      <w:color w:val="FFFFFF"/>
      <w:sz w:val="18"/>
      <w:szCs w:val="18"/>
      <w:lang w:val="en-US"/>
    </w:rPr>
  </w:style>
  <w:style w:type="paragraph" w:customStyle="1" w:styleId="xl191">
    <w:name w:val="xl191"/>
    <w:basedOn w:val="Normal"/>
    <w:rsid w:val="002A1F3B"/>
    <w:pPr>
      <w:shd w:val="clear" w:color="000000" w:fill="CCC0DA"/>
      <w:spacing w:before="100" w:beforeAutospacing="1" w:after="100" w:afterAutospacing="1" w:line="240" w:lineRule="auto"/>
      <w:jc w:val="center"/>
      <w:textAlignment w:val="center"/>
    </w:pPr>
    <w:rPr>
      <w:sz w:val="18"/>
      <w:szCs w:val="18"/>
      <w:lang w:val="en-US"/>
    </w:rPr>
  </w:style>
  <w:style w:type="paragraph" w:customStyle="1" w:styleId="xl192">
    <w:name w:val="xl192"/>
    <w:basedOn w:val="Normal"/>
    <w:rsid w:val="002A1F3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color w:val="FF0000"/>
      <w:sz w:val="18"/>
      <w:szCs w:val="18"/>
      <w:lang w:val="en-US"/>
    </w:rPr>
  </w:style>
  <w:style w:type="paragraph" w:customStyle="1" w:styleId="xl193">
    <w:name w:val="xl193"/>
    <w:basedOn w:val="Normal"/>
    <w:rsid w:val="002A1F3B"/>
    <w:pPr>
      <w:pBdr>
        <w:top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b/>
      <w:bCs/>
      <w:sz w:val="16"/>
      <w:szCs w:val="16"/>
      <w:lang w:val="en-US"/>
    </w:rPr>
  </w:style>
  <w:style w:type="paragraph" w:customStyle="1" w:styleId="xl194">
    <w:name w:val="xl194"/>
    <w:basedOn w:val="Normal"/>
    <w:rsid w:val="002A1F3B"/>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5">
    <w:name w:val="xl195"/>
    <w:basedOn w:val="Normal"/>
    <w:rsid w:val="002A1F3B"/>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6">
    <w:name w:val="xl196"/>
    <w:basedOn w:val="Normal"/>
    <w:rsid w:val="002A1F3B"/>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7">
    <w:name w:val="xl197"/>
    <w:basedOn w:val="Normal"/>
    <w:rsid w:val="002A1F3B"/>
    <w:pPr>
      <w:shd w:val="clear" w:color="000000" w:fill="FF0000"/>
      <w:spacing w:before="100" w:beforeAutospacing="1" w:after="100" w:afterAutospacing="1" w:line="240" w:lineRule="auto"/>
      <w:jc w:val="left"/>
    </w:pPr>
    <w:rPr>
      <w:sz w:val="18"/>
      <w:szCs w:val="18"/>
      <w:lang w:val="en-US"/>
    </w:rPr>
  </w:style>
  <w:style w:type="paragraph" w:customStyle="1" w:styleId="xl198">
    <w:name w:val="xl198"/>
    <w:basedOn w:val="Normal"/>
    <w:rsid w:val="002A1F3B"/>
    <w:pPr>
      <w:shd w:val="clear" w:color="000000" w:fill="FF0000"/>
      <w:spacing w:before="100" w:beforeAutospacing="1" w:after="100" w:afterAutospacing="1" w:line="240" w:lineRule="auto"/>
      <w:jc w:val="left"/>
    </w:pPr>
    <w:rPr>
      <w:color w:val="FF0000"/>
      <w:sz w:val="18"/>
      <w:szCs w:val="18"/>
      <w:lang w:val="en-US"/>
    </w:rPr>
  </w:style>
  <w:style w:type="paragraph" w:customStyle="1" w:styleId="xl199">
    <w:name w:val="xl199"/>
    <w:basedOn w:val="Normal"/>
    <w:rsid w:val="002A1F3B"/>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b/>
      <w:bCs/>
      <w:color w:val="FF0000"/>
      <w:sz w:val="18"/>
      <w:szCs w:val="18"/>
      <w:lang w:val="en-US"/>
    </w:rPr>
  </w:style>
  <w:style w:type="paragraph" w:customStyle="1" w:styleId="xl200">
    <w:name w:val="xl200"/>
    <w:basedOn w:val="Normal"/>
    <w:rsid w:val="002A1F3B"/>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1">
    <w:name w:val="xl201"/>
    <w:basedOn w:val="Normal"/>
    <w:rsid w:val="002A1F3B"/>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2">
    <w:name w:val="xl202"/>
    <w:basedOn w:val="Normal"/>
    <w:rsid w:val="002A1F3B"/>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3">
    <w:name w:val="xl203"/>
    <w:basedOn w:val="Normal"/>
    <w:rsid w:val="002A1F3B"/>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204">
    <w:name w:val="xl204"/>
    <w:basedOn w:val="Normal"/>
    <w:rsid w:val="002A1F3B"/>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center"/>
      <w:textAlignment w:val="center"/>
    </w:pPr>
    <w:rPr>
      <w:b/>
      <w:bCs/>
      <w:color w:val="003366"/>
      <w:sz w:val="18"/>
      <w:szCs w:val="18"/>
      <w:lang w:val="en-US"/>
    </w:rPr>
  </w:style>
  <w:style w:type="paragraph" w:customStyle="1" w:styleId="xl205">
    <w:name w:val="xl205"/>
    <w:basedOn w:val="Normal"/>
    <w:rsid w:val="002A1F3B"/>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206">
    <w:name w:val="xl206"/>
    <w:basedOn w:val="Normal"/>
    <w:rsid w:val="002A1F3B"/>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207">
    <w:name w:val="xl207"/>
    <w:basedOn w:val="Normal"/>
    <w:rsid w:val="002A1F3B"/>
    <w:pPr>
      <w:pBdr>
        <w:top w:val="single" w:sz="4" w:space="0" w:color="auto"/>
        <w:left w:val="single" w:sz="4" w:space="0" w:color="auto"/>
        <w:bottom w:val="single" w:sz="8"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208">
    <w:name w:val="xl208"/>
    <w:basedOn w:val="Normal"/>
    <w:rsid w:val="002A1F3B"/>
    <w:pPr>
      <w:pBdr>
        <w:top w:val="single" w:sz="8" w:space="0" w:color="auto"/>
        <w:left w:val="single" w:sz="4" w:space="0" w:color="auto"/>
        <w:bottom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209">
    <w:name w:val="xl209"/>
    <w:basedOn w:val="Normal"/>
    <w:rsid w:val="002A1F3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210">
    <w:name w:val="xl210"/>
    <w:basedOn w:val="Normal"/>
    <w:rsid w:val="002A1F3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211">
    <w:name w:val="xl211"/>
    <w:basedOn w:val="Normal"/>
    <w:rsid w:val="002A1F3B"/>
    <w:pPr>
      <w:pBdr>
        <w:top w:val="single" w:sz="8"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212">
    <w:name w:val="xl212"/>
    <w:basedOn w:val="Normal"/>
    <w:rsid w:val="002A1F3B"/>
    <w:pPr>
      <w:pBdr>
        <w:lef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styleId="List2">
    <w:name w:val="List 2"/>
    <w:basedOn w:val="Normal"/>
    <w:rsid w:val="002A1F3B"/>
    <w:pPr>
      <w:spacing w:after="120" w:line="240" w:lineRule="auto"/>
      <w:ind w:left="720" w:hanging="360"/>
      <w:jc w:val="left"/>
    </w:pPr>
    <w:rPr>
      <w:rFonts w:ascii="Arial" w:hAnsi="Arial"/>
      <w:sz w:val="20"/>
      <w:szCs w:val="20"/>
    </w:rPr>
  </w:style>
  <w:style w:type="paragraph" w:customStyle="1" w:styleId="bullet1">
    <w:name w:val="bullet1"/>
    <w:basedOn w:val="Normal"/>
    <w:rsid w:val="002A1F3B"/>
    <w:pPr>
      <w:spacing w:before="80" w:after="80" w:line="240" w:lineRule="auto"/>
      <w:ind w:left="1267" w:hanging="360"/>
      <w:jc w:val="left"/>
    </w:pPr>
    <w:rPr>
      <w:rFonts w:ascii="Arial" w:hAnsi="Arial"/>
      <w:sz w:val="20"/>
      <w:szCs w:val="20"/>
      <w:lang w:val="en-US"/>
    </w:rPr>
  </w:style>
  <w:style w:type="paragraph" w:customStyle="1" w:styleId="Tablefont">
    <w:name w:val="Table font"/>
    <w:basedOn w:val="ListNumber5"/>
    <w:rsid w:val="002A1F3B"/>
  </w:style>
  <w:style w:type="paragraph" w:styleId="ListNumber5">
    <w:name w:val="List Number 5"/>
    <w:basedOn w:val="Normal"/>
    <w:rsid w:val="002A1F3B"/>
    <w:pPr>
      <w:tabs>
        <w:tab w:val="num" w:pos="360"/>
      </w:tabs>
      <w:spacing w:after="120" w:line="240" w:lineRule="auto"/>
      <w:ind w:left="360" w:hanging="360"/>
      <w:jc w:val="left"/>
    </w:pPr>
    <w:rPr>
      <w:rFonts w:ascii="Arial" w:hAnsi="Arial"/>
      <w:sz w:val="20"/>
      <w:szCs w:val="20"/>
    </w:rPr>
  </w:style>
  <w:style w:type="paragraph" w:customStyle="1" w:styleId="EYparach8">
    <w:name w:val="EY para ch 8"/>
    <w:rsid w:val="002A1F3B"/>
    <w:pPr>
      <w:tabs>
        <w:tab w:val="num" w:pos="720"/>
      </w:tabs>
      <w:spacing w:after="360" w:line="280" w:lineRule="atLeast"/>
      <w:ind w:left="720" w:hanging="720"/>
      <w:jc w:val="both"/>
    </w:pPr>
    <w:rPr>
      <w:rFonts w:ascii="Arial" w:eastAsia="Times New Roman" w:hAnsi="Arial" w:cs="Times New Roman"/>
      <w:szCs w:val="20"/>
    </w:rPr>
  </w:style>
  <w:style w:type="paragraph" w:styleId="BodyText3">
    <w:name w:val="Body Text 3"/>
    <w:basedOn w:val="Normal"/>
    <w:link w:val="BodyText3Char"/>
    <w:rsid w:val="002A1F3B"/>
    <w:pPr>
      <w:spacing w:after="120" w:line="240" w:lineRule="auto"/>
      <w:jc w:val="left"/>
    </w:pPr>
    <w:rPr>
      <w:rFonts w:ascii="Arial" w:hAnsi="Arial"/>
      <w:sz w:val="16"/>
      <w:szCs w:val="16"/>
    </w:rPr>
  </w:style>
  <w:style w:type="character" w:customStyle="1" w:styleId="BodyText3Char">
    <w:name w:val="Body Text 3 Char"/>
    <w:basedOn w:val="DefaultParagraphFont"/>
    <w:link w:val="BodyText3"/>
    <w:rsid w:val="002A1F3B"/>
    <w:rPr>
      <w:rFonts w:ascii="Arial" w:eastAsia="Times New Roman" w:hAnsi="Arial" w:cs="Times New Roman"/>
      <w:sz w:val="16"/>
      <w:szCs w:val="16"/>
      <w:lang w:val="en-GB"/>
    </w:rPr>
  </w:style>
  <w:style w:type="character" w:customStyle="1" w:styleId="Quick">
    <w:name w:val="Quick"/>
    <w:rsid w:val="002A1F3B"/>
  </w:style>
  <w:style w:type="paragraph" w:customStyle="1" w:styleId="Heading40">
    <w:name w:val="Heading4"/>
    <w:basedOn w:val="Normal"/>
    <w:rsid w:val="002A1F3B"/>
    <w:pPr>
      <w:spacing w:before="0" w:line="240" w:lineRule="auto"/>
      <w:ind w:left="1267" w:hanging="360"/>
      <w:outlineLvl w:val="0"/>
    </w:pPr>
    <w:rPr>
      <w:rFonts w:ascii="Arial" w:hAnsi="Arial"/>
      <w:b/>
      <w:sz w:val="28"/>
      <w:szCs w:val="28"/>
      <w:lang w:val="en-US"/>
    </w:rPr>
  </w:style>
  <w:style w:type="paragraph" w:styleId="ListBullet">
    <w:name w:val="List Bullet"/>
    <w:basedOn w:val="Normal"/>
    <w:autoRedefine/>
    <w:rsid w:val="002A1F3B"/>
    <w:pPr>
      <w:tabs>
        <w:tab w:val="num" w:pos="360"/>
        <w:tab w:val="left" w:pos="1260"/>
        <w:tab w:val="left" w:pos="2970"/>
        <w:tab w:val="left" w:pos="3060"/>
      </w:tabs>
      <w:spacing w:after="180" w:line="240" w:lineRule="auto"/>
      <w:ind w:left="360" w:hanging="360"/>
      <w:jc w:val="left"/>
    </w:pPr>
    <w:rPr>
      <w:rFonts w:ascii="Arial" w:hAnsi="Arial"/>
      <w:sz w:val="20"/>
      <w:szCs w:val="20"/>
      <w:lang w:val="en-US"/>
    </w:rPr>
  </w:style>
  <w:style w:type="paragraph" w:customStyle="1" w:styleId="Bullet2">
    <w:name w:val="Bullet 2"/>
    <w:rsid w:val="002A1F3B"/>
    <w:pPr>
      <w:tabs>
        <w:tab w:val="left" w:pos="360"/>
        <w:tab w:val="num" w:pos="2160"/>
        <w:tab w:val="left" w:pos="2880"/>
        <w:tab w:val="left" w:pos="4320"/>
        <w:tab w:val="left" w:pos="5775"/>
        <w:tab w:val="left" w:pos="7200"/>
        <w:tab w:val="left" w:pos="8640"/>
        <w:tab w:val="right" w:pos="10425"/>
      </w:tabs>
      <w:spacing w:before="120" w:after="0" w:line="240" w:lineRule="auto"/>
      <w:ind w:left="2160" w:hanging="720"/>
      <w:jc w:val="both"/>
    </w:pPr>
    <w:rPr>
      <w:rFonts w:ascii="Times New Roman" w:eastAsia="Times New Roman" w:hAnsi="Times New Roman" w:cs="Times New Roman"/>
      <w:snapToGrid w:val="0"/>
      <w:color w:val="000000"/>
      <w:szCs w:val="20"/>
    </w:rPr>
  </w:style>
  <w:style w:type="paragraph" w:customStyle="1" w:styleId="ReportMainTitle">
    <w:name w:val="Report Main Title"/>
    <w:basedOn w:val="Normal"/>
    <w:rsid w:val="002A1F3B"/>
    <w:pPr>
      <w:tabs>
        <w:tab w:val="num" w:pos="2880"/>
      </w:tabs>
      <w:spacing w:after="120" w:line="240" w:lineRule="auto"/>
      <w:ind w:left="2880" w:hanging="720"/>
      <w:jc w:val="left"/>
    </w:pPr>
    <w:rPr>
      <w:rFonts w:ascii="Arial" w:hAnsi="Arial"/>
      <w:sz w:val="20"/>
      <w:szCs w:val="20"/>
    </w:rPr>
  </w:style>
  <w:style w:type="paragraph" w:styleId="ListBullet2">
    <w:name w:val="List Bullet 2"/>
    <w:basedOn w:val="Normal"/>
    <w:autoRedefine/>
    <w:rsid w:val="002A1F3B"/>
    <w:pPr>
      <w:tabs>
        <w:tab w:val="num" w:pos="720"/>
      </w:tabs>
      <w:spacing w:after="120" w:line="240" w:lineRule="auto"/>
      <w:ind w:left="720" w:hanging="360"/>
      <w:jc w:val="left"/>
    </w:pPr>
    <w:rPr>
      <w:rFonts w:ascii="Arial" w:hAnsi="Arial"/>
      <w:sz w:val="20"/>
      <w:szCs w:val="20"/>
    </w:rPr>
  </w:style>
  <w:style w:type="paragraph" w:styleId="ListBullet3">
    <w:name w:val="List Bullet 3"/>
    <w:basedOn w:val="Normal"/>
    <w:autoRedefine/>
    <w:rsid w:val="002A1F3B"/>
    <w:pPr>
      <w:tabs>
        <w:tab w:val="num" w:pos="1080"/>
      </w:tabs>
      <w:spacing w:after="120" w:line="240" w:lineRule="auto"/>
      <w:ind w:left="1080" w:hanging="360"/>
      <w:jc w:val="left"/>
    </w:pPr>
    <w:rPr>
      <w:rFonts w:ascii="Arial" w:hAnsi="Arial"/>
      <w:sz w:val="20"/>
      <w:szCs w:val="20"/>
    </w:rPr>
  </w:style>
  <w:style w:type="paragraph" w:styleId="ListBullet4">
    <w:name w:val="List Bullet 4"/>
    <w:basedOn w:val="Normal"/>
    <w:autoRedefine/>
    <w:rsid w:val="002A1F3B"/>
    <w:pPr>
      <w:tabs>
        <w:tab w:val="num" w:pos="1440"/>
      </w:tabs>
      <w:spacing w:after="120" w:line="240" w:lineRule="auto"/>
      <w:ind w:left="1440" w:hanging="360"/>
      <w:jc w:val="left"/>
    </w:pPr>
    <w:rPr>
      <w:rFonts w:ascii="Arial" w:hAnsi="Arial"/>
      <w:sz w:val="20"/>
      <w:szCs w:val="20"/>
    </w:rPr>
  </w:style>
  <w:style w:type="paragraph" w:styleId="ListBullet5">
    <w:name w:val="List Bullet 5"/>
    <w:basedOn w:val="Normal"/>
    <w:autoRedefine/>
    <w:rsid w:val="002A1F3B"/>
    <w:pPr>
      <w:tabs>
        <w:tab w:val="num" w:pos="1800"/>
      </w:tabs>
      <w:spacing w:after="120" w:line="240" w:lineRule="auto"/>
      <w:ind w:left="1800" w:hanging="360"/>
      <w:jc w:val="left"/>
    </w:pPr>
    <w:rPr>
      <w:rFonts w:ascii="Arial" w:hAnsi="Arial"/>
      <w:sz w:val="20"/>
      <w:szCs w:val="20"/>
    </w:rPr>
  </w:style>
  <w:style w:type="paragraph" w:styleId="ListNumber2">
    <w:name w:val="List Number 2"/>
    <w:basedOn w:val="Normal"/>
    <w:rsid w:val="002A1F3B"/>
    <w:pPr>
      <w:tabs>
        <w:tab w:val="num" w:pos="720"/>
      </w:tabs>
      <w:spacing w:after="120" w:line="240" w:lineRule="auto"/>
      <w:ind w:left="720" w:hanging="360"/>
      <w:jc w:val="left"/>
    </w:pPr>
    <w:rPr>
      <w:rFonts w:ascii="Arial" w:hAnsi="Arial"/>
      <w:sz w:val="20"/>
      <w:szCs w:val="20"/>
    </w:rPr>
  </w:style>
  <w:style w:type="paragraph" w:styleId="ListNumber3">
    <w:name w:val="List Number 3"/>
    <w:basedOn w:val="Normal"/>
    <w:rsid w:val="002A1F3B"/>
    <w:pPr>
      <w:tabs>
        <w:tab w:val="num" w:pos="1080"/>
      </w:tabs>
      <w:spacing w:after="120" w:line="240" w:lineRule="auto"/>
      <w:ind w:left="1080" w:hanging="360"/>
      <w:jc w:val="left"/>
    </w:pPr>
    <w:rPr>
      <w:rFonts w:ascii="Arial" w:hAnsi="Arial"/>
      <w:sz w:val="20"/>
      <w:szCs w:val="20"/>
    </w:rPr>
  </w:style>
  <w:style w:type="paragraph" w:styleId="ListNumber4">
    <w:name w:val="List Number 4"/>
    <w:basedOn w:val="Normal"/>
    <w:rsid w:val="002A1F3B"/>
    <w:pPr>
      <w:tabs>
        <w:tab w:val="num" w:pos="1440"/>
      </w:tabs>
      <w:spacing w:after="120" w:line="240" w:lineRule="auto"/>
      <w:ind w:left="1440" w:hanging="360"/>
      <w:jc w:val="left"/>
    </w:pPr>
    <w:rPr>
      <w:rFonts w:ascii="Arial" w:hAnsi="Arial"/>
      <w:sz w:val="20"/>
      <w:szCs w:val="20"/>
    </w:rPr>
  </w:style>
  <w:style w:type="paragraph" w:customStyle="1" w:styleId="List1">
    <w:name w:val="List  1"/>
    <w:basedOn w:val="BodyText"/>
    <w:next w:val="BodyText"/>
    <w:rsid w:val="002A1F3B"/>
  </w:style>
  <w:style w:type="paragraph" w:customStyle="1" w:styleId="Nityach">
    <w:name w:val="Nitya ch"/>
    <w:basedOn w:val="Header"/>
    <w:rsid w:val="002A1F3B"/>
    <w:pPr>
      <w:tabs>
        <w:tab w:val="clear" w:pos="4320"/>
        <w:tab w:val="clear" w:pos="8640"/>
      </w:tabs>
      <w:spacing w:before="0" w:line="240" w:lineRule="auto"/>
      <w:ind w:firstLine="720"/>
      <w:jc w:val="center"/>
    </w:pPr>
    <w:rPr>
      <w:rFonts w:ascii="Arial" w:hAnsi="Arial" w:cs="Arial"/>
      <w:b/>
      <w:lang w:val="en-US"/>
    </w:rPr>
  </w:style>
  <w:style w:type="paragraph" w:customStyle="1" w:styleId="NCH9">
    <w:name w:val="N_CH_9"/>
    <w:rsid w:val="002A1F3B"/>
    <w:pPr>
      <w:spacing w:after="0" w:line="360" w:lineRule="auto"/>
      <w:jc w:val="both"/>
    </w:pPr>
    <w:rPr>
      <w:rFonts w:ascii="Arial" w:eastAsia="Times New Roman" w:hAnsi="Arial" w:cs="Times New Roman"/>
      <w:sz w:val="20"/>
      <w:szCs w:val="20"/>
    </w:rPr>
  </w:style>
  <w:style w:type="paragraph" w:customStyle="1" w:styleId="xl24">
    <w:name w:val="xl24"/>
    <w:basedOn w:val="Normal"/>
    <w:rsid w:val="002A1F3B"/>
    <w:pPr>
      <w:pBdr>
        <w:top w:val="single" w:sz="8" w:space="0" w:color="auto"/>
      </w:pBdr>
      <w:shd w:val="clear" w:color="auto" w:fill="FFFF99"/>
      <w:spacing w:before="100" w:beforeAutospacing="1" w:after="100" w:afterAutospacing="1" w:line="240" w:lineRule="auto"/>
      <w:jc w:val="center"/>
    </w:pPr>
    <w:rPr>
      <w:rFonts w:ascii="Arial" w:hAnsi="Arial" w:cs="Arial"/>
      <w:lang w:val="en-US"/>
    </w:rPr>
  </w:style>
  <w:style w:type="paragraph" w:customStyle="1" w:styleId="NityaText">
    <w:name w:val="Nitya Text"/>
    <w:basedOn w:val="Header"/>
    <w:rsid w:val="002A1F3B"/>
    <w:pPr>
      <w:tabs>
        <w:tab w:val="clear" w:pos="4320"/>
        <w:tab w:val="clear" w:pos="8640"/>
      </w:tabs>
      <w:spacing w:before="0" w:line="360" w:lineRule="auto"/>
      <w:ind w:left="1987" w:hanging="360"/>
    </w:pPr>
    <w:rPr>
      <w:rFonts w:ascii="Arial" w:hAnsi="Arial" w:cs="Arial"/>
      <w:sz w:val="20"/>
      <w:lang w:val="en-US"/>
    </w:rPr>
  </w:style>
  <w:style w:type="paragraph" w:customStyle="1" w:styleId="NityaSub">
    <w:name w:val="Nitya Sub"/>
    <w:basedOn w:val="Header"/>
    <w:rsid w:val="002A1F3B"/>
    <w:pPr>
      <w:tabs>
        <w:tab w:val="clear" w:pos="4320"/>
        <w:tab w:val="clear" w:pos="8640"/>
        <w:tab w:val="center" w:pos="720"/>
      </w:tabs>
      <w:spacing w:before="0" w:line="360" w:lineRule="auto"/>
      <w:ind w:firstLine="720"/>
      <w:jc w:val="left"/>
    </w:pPr>
    <w:rPr>
      <w:rFonts w:ascii="Arial" w:hAnsi="Arial" w:cs="Arial"/>
      <w:b/>
      <w:bCs/>
      <w:sz w:val="20"/>
      <w:lang w:val="en-US"/>
    </w:rPr>
  </w:style>
  <w:style w:type="table" w:customStyle="1" w:styleId="TableGrid1">
    <w:name w:val="Table Grid1"/>
    <w:basedOn w:val="TableNormal"/>
    <w:next w:val="TableGrid"/>
    <w:rsid w:val="002A1F3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SectionChapterTitleSectionHeadingArticleHeadi">
    <w:name w:val="Style Heading 1SectionChapter TitleSection HeadingArticle Headi..."/>
    <w:basedOn w:val="Heading1"/>
    <w:autoRedefine/>
    <w:rsid w:val="002A1F3B"/>
    <w:pPr>
      <w:numPr>
        <w:numId w:val="20"/>
      </w:numPr>
      <w:tabs>
        <w:tab w:val="clear" w:pos="284"/>
        <w:tab w:val="left" w:pos="720"/>
      </w:tabs>
      <w:spacing w:before="180" w:after="120" w:line="240" w:lineRule="auto"/>
      <w:ind w:left="432" w:hanging="432"/>
      <w:jc w:val="left"/>
    </w:pPr>
    <w:rPr>
      <w:rFonts w:ascii="Georgia" w:hAnsi="Georgia" w:cs="Times New Roman"/>
      <w:color w:val="auto"/>
      <w:kern w:val="28"/>
      <w:sz w:val="36"/>
      <w:szCs w:val="20"/>
    </w:rPr>
  </w:style>
  <w:style w:type="paragraph" w:customStyle="1" w:styleId="Textocaratula">
    <w:name w:val="Texto caratula"/>
    <w:basedOn w:val="Normal"/>
    <w:rsid w:val="002A1F3B"/>
    <w:pPr>
      <w:spacing w:before="360" w:after="360" w:line="240" w:lineRule="auto"/>
      <w:jc w:val="center"/>
    </w:pPr>
    <w:rPr>
      <w:rFonts w:ascii="Verdana" w:hAnsi="Verdana"/>
      <w:b/>
      <w:caps/>
      <w:sz w:val="32"/>
      <w:szCs w:val="32"/>
      <w:lang w:eastAsia="es-ES"/>
    </w:rPr>
  </w:style>
  <w:style w:type="paragraph" w:customStyle="1" w:styleId="TtuloCentrado">
    <w:name w:val="Título Centrado"/>
    <w:basedOn w:val="Normal"/>
    <w:next w:val="Heading1"/>
    <w:rsid w:val="002A1F3B"/>
    <w:pPr>
      <w:spacing w:before="360" w:after="360" w:line="440" w:lineRule="exact"/>
      <w:jc w:val="center"/>
    </w:pPr>
    <w:rPr>
      <w:rFonts w:ascii="Verdana" w:hAnsi="Verdana"/>
      <w:b/>
      <w:caps/>
      <w:sz w:val="32"/>
      <w:szCs w:val="32"/>
      <w:u w:val="double"/>
      <w:lang w:eastAsia="es-ES"/>
    </w:rPr>
  </w:style>
  <w:style w:type="paragraph" w:customStyle="1" w:styleId="Listanumerada1">
    <w:name w:val="Lista numerada 1"/>
    <w:basedOn w:val="Normal"/>
    <w:rsid w:val="002A1F3B"/>
    <w:pPr>
      <w:spacing w:after="120" w:line="240" w:lineRule="auto"/>
      <w:ind w:left="1260" w:hanging="360"/>
    </w:pPr>
    <w:rPr>
      <w:rFonts w:ascii="Verdana" w:hAnsi="Verdana"/>
      <w:sz w:val="18"/>
      <w:szCs w:val="18"/>
      <w:lang w:eastAsia="es-ES"/>
    </w:rPr>
  </w:style>
  <w:style w:type="paragraph" w:customStyle="1" w:styleId="Listavietas1">
    <w:name w:val="Lista viñetas 1"/>
    <w:basedOn w:val="Normal"/>
    <w:rsid w:val="002A1F3B"/>
    <w:pPr>
      <w:spacing w:after="120" w:line="240" w:lineRule="auto"/>
      <w:ind w:left="720" w:hanging="360"/>
    </w:pPr>
    <w:rPr>
      <w:rFonts w:ascii="Verdana" w:hAnsi="Verdana"/>
      <w:sz w:val="18"/>
      <w:szCs w:val="18"/>
      <w:lang w:eastAsia="es-ES"/>
    </w:rPr>
  </w:style>
  <w:style w:type="paragraph" w:customStyle="1" w:styleId="Listanumerada2">
    <w:name w:val="Lista numerada 2"/>
    <w:basedOn w:val="Listanumerada1"/>
    <w:rsid w:val="002A1F3B"/>
  </w:style>
  <w:style w:type="paragraph" w:customStyle="1" w:styleId="Listaletras2">
    <w:name w:val="Lista letras 2"/>
    <w:basedOn w:val="Listaletra1"/>
    <w:rsid w:val="002A1F3B"/>
  </w:style>
  <w:style w:type="paragraph" w:customStyle="1" w:styleId="Listaletra1">
    <w:name w:val="Lista letra 1"/>
    <w:basedOn w:val="Normal"/>
    <w:rsid w:val="002A1F3B"/>
    <w:pPr>
      <w:tabs>
        <w:tab w:val="num" w:pos="284"/>
      </w:tabs>
      <w:spacing w:after="120" w:line="240" w:lineRule="auto"/>
      <w:ind w:left="284" w:hanging="284"/>
    </w:pPr>
    <w:rPr>
      <w:rFonts w:ascii="Verdana" w:hAnsi="Verdana"/>
      <w:sz w:val="18"/>
      <w:szCs w:val="18"/>
      <w:lang w:eastAsia="es-ES"/>
    </w:rPr>
  </w:style>
  <w:style w:type="paragraph" w:customStyle="1" w:styleId="Listavietas2">
    <w:name w:val="Lista viñetas 2"/>
    <w:basedOn w:val="Listavietas1"/>
    <w:rsid w:val="002A1F3B"/>
  </w:style>
  <w:style w:type="paragraph" w:customStyle="1" w:styleId="TtuloPortada">
    <w:name w:val="Título Portada"/>
    <w:basedOn w:val="Heading1"/>
    <w:rsid w:val="002A1F3B"/>
    <w:pPr>
      <w:keepLines/>
      <w:numPr>
        <w:numId w:val="0"/>
      </w:numPr>
      <w:spacing w:before="480" w:after="480" w:line="240" w:lineRule="auto"/>
      <w:ind w:left="432" w:hanging="432"/>
    </w:pPr>
    <w:rPr>
      <w:rFonts w:ascii="Verdana" w:hAnsi="Verdana" w:cs="Times New Roman"/>
      <w:caps/>
      <w:color w:val="23348F"/>
      <w:kern w:val="0"/>
      <w:sz w:val="32"/>
      <w:lang w:eastAsia="es-ES"/>
    </w:rPr>
  </w:style>
  <w:style w:type="paragraph" w:customStyle="1" w:styleId="EstiloTtuloPortadaSinNegritaSinMaysculasAntes6pto">
    <w:name w:val="Estilo Título Portada + Sin Negrita Sin Mayúsculas Antes:  6 pto ..."/>
    <w:basedOn w:val="TtuloPortada"/>
    <w:rsid w:val="002A1F3B"/>
  </w:style>
  <w:style w:type="paragraph" w:customStyle="1" w:styleId="EstiloTtuloPortadaDespus6pto">
    <w:name w:val="Estilo Título Portada + Después:  6 pto"/>
    <w:basedOn w:val="TtuloPortada"/>
    <w:rsid w:val="002A1F3B"/>
  </w:style>
  <w:style w:type="character" w:styleId="LineNumber">
    <w:name w:val="line number"/>
    <w:basedOn w:val="DefaultParagraphFont"/>
    <w:rsid w:val="002A1F3B"/>
  </w:style>
  <w:style w:type="paragraph" w:styleId="IntenseQuote">
    <w:name w:val="Intense Quote"/>
    <w:basedOn w:val="Normal"/>
    <w:next w:val="Normal"/>
    <w:link w:val="IntenseQuoteChar"/>
    <w:uiPriority w:val="30"/>
    <w:qFormat/>
    <w:rsid w:val="002A1F3B"/>
    <w:pPr>
      <w:pBdr>
        <w:bottom w:val="single" w:sz="4" w:space="4" w:color="4F81BD"/>
      </w:pBdr>
      <w:spacing w:before="200" w:after="280" w:line="240" w:lineRule="auto"/>
      <w:ind w:left="936" w:right="936"/>
      <w:jc w:val="right"/>
    </w:pPr>
    <w:rPr>
      <w:rFonts w:eastAsia="Calibri"/>
      <w:b/>
      <w:bCs/>
      <w:i/>
      <w:iCs/>
      <w:color w:val="4F81BD"/>
      <w:sz w:val="22"/>
      <w:szCs w:val="22"/>
      <w:lang w:val="en-US"/>
    </w:rPr>
  </w:style>
  <w:style w:type="character" w:customStyle="1" w:styleId="IntenseQuoteChar">
    <w:name w:val="Intense Quote Char"/>
    <w:basedOn w:val="DefaultParagraphFont"/>
    <w:link w:val="IntenseQuote"/>
    <w:uiPriority w:val="30"/>
    <w:rsid w:val="002A1F3B"/>
    <w:rPr>
      <w:rFonts w:ascii="Calibri" w:eastAsia="Calibri" w:hAnsi="Calibri" w:cs="Times New Roman"/>
      <w:b/>
      <w:bCs/>
      <w:i/>
      <w:iCs/>
      <w:color w:val="4F81BD"/>
    </w:rPr>
  </w:style>
  <w:style w:type="paragraph" w:styleId="Subtitle">
    <w:name w:val="Subtitle"/>
    <w:basedOn w:val="Normal"/>
    <w:next w:val="Normal"/>
    <w:link w:val="SubtitleChar"/>
    <w:qFormat/>
    <w:rsid w:val="002A1F3B"/>
    <w:pPr>
      <w:spacing w:after="60" w:line="240" w:lineRule="auto"/>
      <w:jc w:val="center"/>
      <w:outlineLvl w:val="1"/>
    </w:pPr>
    <w:rPr>
      <w:rFonts w:ascii="Cambria" w:hAnsi="Cambria"/>
      <w:lang w:eastAsia="es-ES"/>
    </w:rPr>
  </w:style>
  <w:style w:type="character" w:customStyle="1" w:styleId="SubtitleChar">
    <w:name w:val="Subtitle Char"/>
    <w:basedOn w:val="DefaultParagraphFont"/>
    <w:link w:val="Subtitle"/>
    <w:rsid w:val="002A1F3B"/>
    <w:rPr>
      <w:rFonts w:ascii="Cambria" w:eastAsia="Times New Roman" w:hAnsi="Cambria" w:cs="Times New Roman"/>
      <w:sz w:val="24"/>
      <w:szCs w:val="24"/>
      <w:lang w:val="en-GB" w:eastAsia="es-ES"/>
    </w:rPr>
  </w:style>
  <w:style w:type="character" w:styleId="IntenseReference">
    <w:name w:val="Intense Reference"/>
    <w:basedOn w:val="DefaultParagraphFont"/>
    <w:uiPriority w:val="32"/>
    <w:qFormat/>
    <w:rsid w:val="002A1F3B"/>
    <w:rPr>
      <w:b/>
      <w:bCs/>
      <w:smallCaps/>
      <w:color w:val="C0504D"/>
      <w:spacing w:val="5"/>
      <w:u w:val="single"/>
    </w:rPr>
  </w:style>
  <w:style w:type="paragraph" w:customStyle="1" w:styleId="u1">
    <w:name w:val="u1"/>
    <w:basedOn w:val="Normal"/>
    <w:link w:val="u1Char"/>
    <w:qFormat/>
    <w:rsid w:val="002A1F3B"/>
    <w:pPr>
      <w:spacing w:after="240" w:line="240" w:lineRule="auto"/>
    </w:pPr>
    <w:rPr>
      <w:rFonts w:ascii="Arial" w:hAnsi="Arial"/>
      <w:lang w:val="en-US"/>
    </w:rPr>
  </w:style>
  <w:style w:type="character" w:customStyle="1" w:styleId="u1Char">
    <w:name w:val="u1 Char"/>
    <w:basedOn w:val="BodyTextChar"/>
    <w:link w:val="u1"/>
    <w:rsid w:val="002A1F3B"/>
    <w:rPr>
      <w:rFonts w:ascii="Arial" w:hAnsi="Arial"/>
    </w:rPr>
  </w:style>
  <w:style w:type="table" w:customStyle="1" w:styleId="TableGrid2">
    <w:name w:val="Table Grid2"/>
    <w:basedOn w:val="TableNormal"/>
    <w:next w:val="TableGrid"/>
    <w:uiPriority w:val="59"/>
    <w:rsid w:val="002A1F3B"/>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2A1F3B"/>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2A1F3B"/>
  </w:style>
  <w:style w:type="table" w:customStyle="1" w:styleId="TableGrid4">
    <w:name w:val="Table Grid4"/>
    <w:basedOn w:val="TableNormal"/>
    <w:next w:val="TableGrid"/>
    <w:uiPriority w:val="59"/>
    <w:rsid w:val="002A1F3B"/>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4230296">
      <w:bodyDiv w:val="1"/>
      <w:marLeft w:val="0"/>
      <w:marRight w:val="0"/>
      <w:marTop w:val="0"/>
      <w:marBottom w:val="0"/>
      <w:divBdr>
        <w:top w:val="none" w:sz="0" w:space="0" w:color="auto"/>
        <w:left w:val="none" w:sz="0" w:space="0" w:color="auto"/>
        <w:bottom w:val="none" w:sz="0" w:space="0" w:color="auto"/>
        <w:right w:val="none" w:sz="0" w:space="0" w:color="auto"/>
      </w:divBdr>
    </w:div>
    <w:div w:id="61173658">
      <w:bodyDiv w:val="1"/>
      <w:marLeft w:val="0"/>
      <w:marRight w:val="0"/>
      <w:marTop w:val="0"/>
      <w:marBottom w:val="0"/>
      <w:divBdr>
        <w:top w:val="none" w:sz="0" w:space="0" w:color="auto"/>
        <w:left w:val="none" w:sz="0" w:space="0" w:color="auto"/>
        <w:bottom w:val="none" w:sz="0" w:space="0" w:color="auto"/>
        <w:right w:val="none" w:sz="0" w:space="0" w:color="auto"/>
      </w:divBdr>
    </w:div>
    <w:div w:id="91509303">
      <w:bodyDiv w:val="1"/>
      <w:marLeft w:val="0"/>
      <w:marRight w:val="0"/>
      <w:marTop w:val="0"/>
      <w:marBottom w:val="0"/>
      <w:divBdr>
        <w:top w:val="none" w:sz="0" w:space="0" w:color="auto"/>
        <w:left w:val="none" w:sz="0" w:space="0" w:color="auto"/>
        <w:bottom w:val="none" w:sz="0" w:space="0" w:color="auto"/>
        <w:right w:val="none" w:sz="0" w:space="0" w:color="auto"/>
      </w:divBdr>
    </w:div>
    <w:div w:id="92674386">
      <w:bodyDiv w:val="1"/>
      <w:marLeft w:val="0"/>
      <w:marRight w:val="0"/>
      <w:marTop w:val="0"/>
      <w:marBottom w:val="0"/>
      <w:divBdr>
        <w:top w:val="none" w:sz="0" w:space="0" w:color="auto"/>
        <w:left w:val="none" w:sz="0" w:space="0" w:color="auto"/>
        <w:bottom w:val="none" w:sz="0" w:space="0" w:color="auto"/>
        <w:right w:val="none" w:sz="0" w:space="0" w:color="auto"/>
      </w:divBdr>
    </w:div>
    <w:div w:id="97723091">
      <w:bodyDiv w:val="1"/>
      <w:marLeft w:val="0"/>
      <w:marRight w:val="0"/>
      <w:marTop w:val="0"/>
      <w:marBottom w:val="0"/>
      <w:divBdr>
        <w:top w:val="none" w:sz="0" w:space="0" w:color="auto"/>
        <w:left w:val="none" w:sz="0" w:space="0" w:color="auto"/>
        <w:bottom w:val="none" w:sz="0" w:space="0" w:color="auto"/>
        <w:right w:val="none" w:sz="0" w:space="0" w:color="auto"/>
      </w:divBdr>
    </w:div>
    <w:div w:id="101726147">
      <w:bodyDiv w:val="1"/>
      <w:marLeft w:val="0"/>
      <w:marRight w:val="0"/>
      <w:marTop w:val="0"/>
      <w:marBottom w:val="0"/>
      <w:divBdr>
        <w:top w:val="none" w:sz="0" w:space="0" w:color="auto"/>
        <w:left w:val="none" w:sz="0" w:space="0" w:color="auto"/>
        <w:bottom w:val="none" w:sz="0" w:space="0" w:color="auto"/>
        <w:right w:val="none" w:sz="0" w:space="0" w:color="auto"/>
      </w:divBdr>
    </w:div>
    <w:div w:id="104541177">
      <w:bodyDiv w:val="1"/>
      <w:marLeft w:val="0"/>
      <w:marRight w:val="0"/>
      <w:marTop w:val="0"/>
      <w:marBottom w:val="0"/>
      <w:divBdr>
        <w:top w:val="none" w:sz="0" w:space="0" w:color="auto"/>
        <w:left w:val="none" w:sz="0" w:space="0" w:color="auto"/>
        <w:bottom w:val="none" w:sz="0" w:space="0" w:color="auto"/>
        <w:right w:val="none" w:sz="0" w:space="0" w:color="auto"/>
      </w:divBdr>
    </w:div>
    <w:div w:id="110784941">
      <w:bodyDiv w:val="1"/>
      <w:marLeft w:val="0"/>
      <w:marRight w:val="0"/>
      <w:marTop w:val="0"/>
      <w:marBottom w:val="0"/>
      <w:divBdr>
        <w:top w:val="none" w:sz="0" w:space="0" w:color="auto"/>
        <w:left w:val="none" w:sz="0" w:space="0" w:color="auto"/>
        <w:bottom w:val="none" w:sz="0" w:space="0" w:color="auto"/>
        <w:right w:val="none" w:sz="0" w:space="0" w:color="auto"/>
      </w:divBdr>
    </w:div>
    <w:div w:id="121005272">
      <w:bodyDiv w:val="1"/>
      <w:marLeft w:val="0"/>
      <w:marRight w:val="0"/>
      <w:marTop w:val="0"/>
      <w:marBottom w:val="0"/>
      <w:divBdr>
        <w:top w:val="none" w:sz="0" w:space="0" w:color="auto"/>
        <w:left w:val="none" w:sz="0" w:space="0" w:color="auto"/>
        <w:bottom w:val="none" w:sz="0" w:space="0" w:color="auto"/>
        <w:right w:val="none" w:sz="0" w:space="0" w:color="auto"/>
      </w:divBdr>
    </w:div>
    <w:div w:id="123234290">
      <w:bodyDiv w:val="1"/>
      <w:marLeft w:val="0"/>
      <w:marRight w:val="0"/>
      <w:marTop w:val="0"/>
      <w:marBottom w:val="0"/>
      <w:divBdr>
        <w:top w:val="none" w:sz="0" w:space="0" w:color="auto"/>
        <w:left w:val="none" w:sz="0" w:space="0" w:color="auto"/>
        <w:bottom w:val="none" w:sz="0" w:space="0" w:color="auto"/>
        <w:right w:val="none" w:sz="0" w:space="0" w:color="auto"/>
      </w:divBdr>
    </w:div>
    <w:div w:id="145056141">
      <w:bodyDiv w:val="1"/>
      <w:marLeft w:val="0"/>
      <w:marRight w:val="0"/>
      <w:marTop w:val="0"/>
      <w:marBottom w:val="0"/>
      <w:divBdr>
        <w:top w:val="none" w:sz="0" w:space="0" w:color="auto"/>
        <w:left w:val="none" w:sz="0" w:space="0" w:color="auto"/>
        <w:bottom w:val="none" w:sz="0" w:space="0" w:color="auto"/>
        <w:right w:val="none" w:sz="0" w:space="0" w:color="auto"/>
      </w:divBdr>
    </w:div>
    <w:div w:id="151215280">
      <w:bodyDiv w:val="1"/>
      <w:marLeft w:val="0"/>
      <w:marRight w:val="0"/>
      <w:marTop w:val="0"/>
      <w:marBottom w:val="0"/>
      <w:divBdr>
        <w:top w:val="none" w:sz="0" w:space="0" w:color="auto"/>
        <w:left w:val="none" w:sz="0" w:space="0" w:color="auto"/>
        <w:bottom w:val="none" w:sz="0" w:space="0" w:color="auto"/>
        <w:right w:val="none" w:sz="0" w:space="0" w:color="auto"/>
      </w:divBdr>
    </w:div>
    <w:div w:id="152140903">
      <w:bodyDiv w:val="1"/>
      <w:marLeft w:val="0"/>
      <w:marRight w:val="0"/>
      <w:marTop w:val="0"/>
      <w:marBottom w:val="0"/>
      <w:divBdr>
        <w:top w:val="none" w:sz="0" w:space="0" w:color="auto"/>
        <w:left w:val="none" w:sz="0" w:space="0" w:color="auto"/>
        <w:bottom w:val="none" w:sz="0" w:space="0" w:color="auto"/>
        <w:right w:val="none" w:sz="0" w:space="0" w:color="auto"/>
      </w:divBdr>
    </w:div>
    <w:div w:id="166598729">
      <w:bodyDiv w:val="1"/>
      <w:marLeft w:val="0"/>
      <w:marRight w:val="0"/>
      <w:marTop w:val="0"/>
      <w:marBottom w:val="0"/>
      <w:divBdr>
        <w:top w:val="none" w:sz="0" w:space="0" w:color="auto"/>
        <w:left w:val="none" w:sz="0" w:space="0" w:color="auto"/>
        <w:bottom w:val="none" w:sz="0" w:space="0" w:color="auto"/>
        <w:right w:val="none" w:sz="0" w:space="0" w:color="auto"/>
      </w:divBdr>
    </w:div>
    <w:div w:id="183831002">
      <w:bodyDiv w:val="1"/>
      <w:marLeft w:val="0"/>
      <w:marRight w:val="0"/>
      <w:marTop w:val="0"/>
      <w:marBottom w:val="0"/>
      <w:divBdr>
        <w:top w:val="none" w:sz="0" w:space="0" w:color="auto"/>
        <w:left w:val="none" w:sz="0" w:space="0" w:color="auto"/>
        <w:bottom w:val="none" w:sz="0" w:space="0" w:color="auto"/>
        <w:right w:val="none" w:sz="0" w:space="0" w:color="auto"/>
      </w:divBdr>
    </w:div>
    <w:div w:id="189685680">
      <w:bodyDiv w:val="1"/>
      <w:marLeft w:val="0"/>
      <w:marRight w:val="0"/>
      <w:marTop w:val="0"/>
      <w:marBottom w:val="0"/>
      <w:divBdr>
        <w:top w:val="none" w:sz="0" w:space="0" w:color="auto"/>
        <w:left w:val="none" w:sz="0" w:space="0" w:color="auto"/>
        <w:bottom w:val="none" w:sz="0" w:space="0" w:color="auto"/>
        <w:right w:val="none" w:sz="0" w:space="0" w:color="auto"/>
      </w:divBdr>
    </w:div>
    <w:div w:id="205534620">
      <w:bodyDiv w:val="1"/>
      <w:marLeft w:val="0"/>
      <w:marRight w:val="0"/>
      <w:marTop w:val="0"/>
      <w:marBottom w:val="0"/>
      <w:divBdr>
        <w:top w:val="none" w:sz="0" w:space="0" w:color="auto"/>
        <w:left w:val="none" w:sz="0" w:space="0" w:color="auto"/>
        <w:bottom w:val="none" w:sz="0" w:space="0" w:color="auto"/>
        <w:right w:val="none" w:sz="0" w:space="0" w:color="auto"/>
      </w:divBdr>
    </w:div>
    <w:div w:id="231743449">
      <w:bodyDiv w:val="1"/>
      <w:marLeft w:val="0"/>
      <w:marRight w:val="0"/>
      <w:marTop w:val="0"/>
      <w:marBottom w:val="0"/>
      <w:divBdr>
        <w:top w:val="none" w:sz="0" w:space="0" w:color="auto"/>
        <w:left w:val="none" w:sz="0" w:space="0" w:color="auto"/>
        <w:bottom w:val="none" w:sz="0" w:space="0" w:color="auto"/>
        <w:right w:val="none" w:sz="0" w:space="0" w:color="auto"/>
      </w:divBdr>
    </w:div>
    <w:div w:id="234242375">
      <w:bodyDiv w:val="1"/>
      <w:marLeft w:val="0"/>
      <w:marRight w:val="0"/>
      <w:marTop w:val="0"/>
      <w:marBottom w:val="0"/>
      <w:divBdr>
        <w:top w:val="none" w:sz="0" w:space="0" w:color="auto"/>
        <w:left w:val="none" w:sz="0" w:space="0" w:color="auto"/>
        <w:bottom w:val="none" w:sz="0" w:space="0" w:color="auto"/>
        <w:right w:val="none" w:sz="0" w:space="0" w:color="auto"/>
      </w:divBdr>
    </w:div>
    <w:div w:id="236061925">
      <w:bodyDiv w:val="1"/>
      <w:marLeft w:val="0"/>
      <w:marRight w:val="0"/>
      <w:marTop w:val="0"/>
      <w:marBottom w:val="0"/>
      <w:divBdr>
        <w:top w:val="none" w:sz="0" w:space="0" w:color="auto"/>
        <w:left w:val="none" w:sz="0" w:space="0" w:color="auto"/>
        <w:bottom w:val="none" w:sz="0" w:space="0" w:color="auto"/>
        <w:right w:val="none" w:sz="0" w:space="0" w:color="auto"/>
      </w:divBdr>
    </w:div>
    <w:div w:id="241453702">
      <w:bodyDiv w:val="1"/>
      <w:marLeft w:val="0"/>
      <w:marRight w:val="0"/>
      <w:marTop w:val="0"/>
      <w:marBottom w:val="0"/>
      <w:divBdr>
        <w:top w:val="none" w:sz="0" w:space="0" w:color="auto"/>
        <w:left w:val="none" w:sz="0" w:space="0" w:color="auto"/>
        <w:bottom w:val="none" w:sz="0" w:space="0" w:color="auto"/>
        <w:right w:val="none" w:sz="0" w:space="0" w:color="auto"/>
      </w:divBdr>
    </w:div>
    <w:div w:id="250819766">
      <w:bodyDiv w:val="1"/>
      <w:marLeft w:val="0"/>
      <w:marRight w:val="0"/>
      <w:marTop w:val="0"/>
      <w:marBottom w:val="0"/>
      <w:divBdr>
        <w:top w:val="none" w:sz="0" w:space="0" w:color="auto"/>
        <w:left w:val="none" w:sz="0" w:space="0" w:color="auto"/>
        <w:bottom w:val="none" w:sz="0" w:space="0" w:color="auto"/>
        <w:right w:val="none" w:sz="0" w:space="0" w:color="auto"/>
      </w:divBdr>
    </w:div>
    <w:div w:id="330957361">
      <w:bodyDiv w:val="1"/>
      <w:marLeft w:val="0"/>
      <w:marRight w:val="0"/>
      <w:marTop w:val="0"/>
      <w:marBottom w:val="0"/>
      <w:divBdr>
        <w:top w:val="none" w:sz="0" w:space="0" w:color="auto"/>
        <w:left w:val="none" w:sz="0" w:space="0" w:color="auto"/>
        <w:bottom w:val="none" w:sz="0" w:space="0" w:color="auto"/>
        <w:right w:val="none" w:sz="0" w:space="0" w:color="auto"/>
      </w:divBdr>
    </w:div>
    <w:div w:id="331688006">
      <w:bodyDiv w:val="1"/>
      <w:marLeft w:val="0"/>
      <w:marRight w:val="0"/>
      <w:marTop w:val="0"/>
      <w:marBottom w:val="0"/>
      <w:divBdr>
        <w:top w:val="none" w:sz="0" w:space="0" w:color="auto"/>
        <w:left w:val="none" w:sz="0" w:space="0" w:color="auto"/>
        <w:bottom w:val="none" w:sz="0" w:space="0" w:color="auto"/>
        <w:right w:val="none" w:sz="0" w:space="0" w:color="auto"/>
      </w:divBdr>
    </w:div>
    <w:div w:id="334693480">
      <w:bodyDiv w:val="1"/>
      <w:marLeft w:val="0"/>
      <w:marRight w:val="0"/>
      <w:marTop w:val="0"/>
      <w:marBottom w:val="0"/>
      <w:divBdr>
        <w:top w:val="none" w:sz="0" w:space="0" w:color="auto"/>
        <w:left w:val="none" w:sz="0" w:space="0" w:color="auto"/>
        <w:bottom w:val="none" w:sz="0" w:space="0" w:color="auto"/>
        <w:right w:val="none" w:sz="0" w:space="0" w:color="auto"/>
      </w:divBdr>
    </w:div>
    <w:div w:id="347873732">
      <w:bodyDiv w:val="1"/>
      <w:marLeft w:val="0"/>
      <w:marRight w:val="0"/>
      <w:marTop w:val="0"/>
      <w:marBottom w:val="0"/>
      <w:divBdr>
        <w:top w:val="none" w:sz="0" w:space="0" w:color="auto"/>
        <w:left w:val="none" w:sz="0" w:space="0" w:color="auto"/>
        <w:bottom w:val="none" w:sz="0" w:space="0" w:color="auto"/>
        <w:right w:val="none" w:sz="0" w:space="0" w:color="auto"/>
      </w:divBdr>
    </w:div>
    <w:div w:id="352268767">
      <w:bodyDiv w:val="1"/>
      <w:marLeft w:val="0"/>
      <w:marRight w:val="0"/>
      <w:marTop w:val="0"/>
      <w:marBottom w:val="0"/>
      <w:divBdr>
        <w:top w:val="none" w:sz="0" w:space="0" w:color="auto"/>
        <w:left w:val="none" w:sz="0" w:space="0" w:color="auto"/>
        <w:bottom w:val="none" w:sz="0" w:space="0" w:color="auto"/>
        <w:right w:val="none" w:sz="0" w:space="0" w:color="auto"/>
      </w:divBdr>
    </w:div>
    <w:div w:id="361593981">
      <w:bodyDiv w:val="1"/>
      <w:marLeft w:val="0"/>
      <w:marRight w:val="0"/>
      <w:marTop w:val="0"/>
      <w:marBottom w:val="0"/>
      <w:divBdr>
        <w:top w:val="none" w:sz="0" w:space="0" w:color="auto"/>
        <w:left w:val="none" w:sz="0" w:space="0" w:color="auto"/>
        <w:bottom w:val="none" w:sz="0" w:space="0" w:color="auto"/>
        <w:right w:val="none" w:sz="0" w:space="0" w:color="auto"/>
      </w:divBdr>
    </w:div>
    <w:div w:id="380251121">
      <w:bodyDiv w:val="1"/>
      <w:marLeft w:val="0"/>
      <w:marRight w:val="0"/>
      <w:marTop w:val="0"/>
      <w:marBottom w:val="0"/>
      <w:divBdr>
        <w:top w:val="none" w:sz="0" w:space="0" w:color="auto"/>
        <w:left w:val="none" w:sz="0" w:space="0" w:color="auto"/>
        <w:bottom w:val="none" w:sz="0" w:space="0" w:color="auto"/>
        <w:right w:val="none" w:sz="0" w:space="0" w:color="auto"/>
      </w:divBdr>
    </w:div>
    <w:div w:id="382869750">
      <w:bodyDiv w:val="1"/>
      <w:marLeft w:val="0"/>
      <w:marRight w:val="0"/>
      <w:marTop w:val="0"/>
      <w:marBottom w:val="0"/>
      <w:divBdr>
        <w:top w:val="none" w:sz="0" w:space="0" w:color="auto"/>
        <w:left w:val="none" w:sz="0" w:space="0" w:color="auto"/>
        <w:bottom w:val="none" w:sz="0" w:space="0" w:color="auto"/>
        <w:right w:val="none" w:sz="0" w:space="0" w:color="auto"/>
      </w:divBdr>
    </w:div>
    <w:div w:id="386537650">
      <w:bodyDiv w:val="1"/>
      <w:marLeft w:val="0"/>
      <w:marRight w:val="0"/>
      <w:marTop w:val="0"/>
      <w:marBottom w:val="0"/>
      <w:divBdr>
        <w:top w:val="none" w:sz="0" w:space="0" w:color="auto"/>
        <w:left w:val="none" w:sz="0" w:space="0" w:color="auto"/>
        <w:bottom w:val="none" w:sz="0" w:space="0" w:color="auto"/>
        <w:right w:val="none" w:sz="0" w:space="0" w:color="auto"/>
      </w:divBdr>
    </w:div>
    <w:div w:id="396365429">
      <w:bodyDiv w:val="1"/>
      <w:marLeft w:val="0"/>
      <w:marRight w:val="0"/>
      <w:marTop w:val="0"/>
      <w:marBottom w:val="0"/>
      <w:divBdr>
        <w:top w:val="none" w:sz="0" w:space="0" w:color="auto"/>
        <w:left w:val="none" w:sz="0" w:space="0" w:color="auto"/>
        <w:bottom w:val="none" w:sz="0" w:space="0" w:color="auto"/>
        <w:right w:val="none" w:sz="0" w:space="0" w:color="auto"/>
      </w:divBdr>
    </w:div>
    <w:div w:id="407116061">
      <w:bodyDiv w:val="1"/>
      <w:marLeft w:val="0"/>
      <w:marRight w:val="0"/>
      <w:marTop w:val="0"/>
      <w:marBottom w:val="0"/>
      <w:divBdr>
        <w:top w:val="none" w:sz="0" w:space="0" w:color="auto"/>
        <w:left w:val="none" w:sz="0" w:space="0" w:color="auto"/>
        <w:bottom w:val="none" w:sz="0" w:space="0" w:color="auto"/>
        <w:right w:val="none" w:sz="0" w:space="0" w:color="auto"/>
      </w:divBdr>
    </w:div>
    <w:div w:id="449319963">
      <w:bodyDiv w:val="1"/>
      <w:marLeft w:val="0"/>
      <w:marRight w:val="0"/>
      <w:marTop w:val="0"/>
      <w:marBottom w:val="0"/>
      <w:divBdr>
        <w:top w:val="none" w:sz="0" w:space="0" w:color="auto"/>
        <w:left w:val="none" w:sz="0" w:space="0" w:color="auto"/>
        <w:bottom w:val="none" w:sz="0" w:space="0" w:color="auto"/>
        <w:right w:val="none" w:sz="0" w:space="0" w:color="auto"/>
      </w:divBdr>
    </w:div>
    <w:div w:id="457459396">
      <w:bodyDiv w:val="1"/>
      <w:marLeft w:val="0"/>
      <w:marRight w:val="0"/>
      <w:marTop w:val="0"/>
      <w:marBottom w:val="0"/>
      <w:divBdr>
        <w:top w:val="none" w:sz="0" w:space="0" w:color="auto"/>
        <w:left w:val="none" w:sz="0" w:space="0" w:color="auto"/>
        <w:bottom w:val="none" w:sz="0" w:space="0" w:color="auto"/>
        <w:right w:val="none" w:sz="0" w:space="0" w:color="auto"/>
      </w:divBdr>
    </w:div>
    <w:div w:id="475029425">
      <w:bodyDiv w:val="1"/>
      <w:marLeft w:val="0"/>
      <w:marRight w:val="0"/>
      <w:marTop w:val="0"/>
      <w:marBottom w:val="0"/>
      <w:divBdr>
        <w:top w:val="none" w:sz="0" w:space="0" w:color="auto"/>
        <w:left w:val="none" w:sz="0" w:space="0" w:color="auto"/>
        <w:bottom w:val="none" w:sz="0" w:space="0" w:color="auto"/>
        <w:right w:val="none" w:sz="0" w:space="0" w:color="auto"/>
      </w:divBdr>
    </w:div>
    <w:div w:id="477696729">
      <w:bodyDiv w:val="1"/>
      <w:marLeft w:val="0"/>
      <w:marRight w:val="0"/>
      <w:marTop w:val="0"/>
      <w:marBottom w:val="0"/>
      <w:divBdr>
        <w:top w:val="none" w:sz="0" w:space="0" w:color="auto"/>
        <w:left w:val="none" w:sz="0" w:space="0" w:color="auto"/>
        <w:bottom w:val="none" w:sz="0" w:space="0" w:color="auto"/>
        <w:right w:val="none" w:sz="0" w:space="0" w:color="auto"/>
      </w:divBdr>
    </w:div>
    <w:div w:id="494077070">
      <w:bodyDiv w:val="1"/>
      <w:marLeft w:val="0"/>
      <w:marRight w:val="0"/>
      <w:marTop w:val="0"/>
      <w:marBottom w:val="0"/>
      <w:divBdr>
        <w:top w:val="none" w:sz="0" w:space="0" w:color="auto"/>
        <w:left w:val="none" w:sz="0" w:space="0" w:color="auto"/>
        <w:bottom w:val="none" w:sz="0" w:space="0" w:color="auto"/>
        <w:right w:val="none" w:sz="0" w:space="0" w:color="auto"/>
      </w:divBdr>
    </w:div>
    <w:div w:id="520821021">
      <w:bodyDiv w:val="1"/>
      <w:marLeft w:val="0"/>
      <w:marRight w:val="0"/>
      <w:marTop w:val="0"/>
      <w:marBottom w:val="0"/>
      <w:divBdr>
        <w:top w:val="none" w:sz="0" w:space="0" w:color="auto"/>
        <w:left w:val="none" w:sz="0" w:space="0" w:color="auto"/>
        <w:bottom w:val="none" w:sz="0" w:space="0" w:color="auto"/>
        <w:right w:val="none" w:sz="0" w:space="0" w:color="auto"/>
      </w:divBdr>
    </w:div>
    <w:div w:id="553780936">
      <w:bodyDiv w:val="1"/>
      <w:marLeft w:val="0"/>
      <w:marRight w:val="0"/>
      <w:marTop w:val="0"/>
      <w:marBottom w:val="0"/>
      <w:divBdr>
        <w:top w:val="none" w:sz="0" w:space="0" w:color="auto"/>
        <w:left w:val="none" w:sz="0" w:space="0" w:color="auto"/>
        <w:bottom w:val="none" w:sz="0" w:space="0" w:color="auto"/>
        <w:right w:val="none" w:sz="0" w:space="0" w:color="auto"/>
      </w:divBdr>
    </w:div>
    <w:div w:id="555287550">
      <w:bodyDiv w:val="1"/>
      <w:marLeft w:val="0"/>
      <w:marRight w:val="0"/>
      <w:marTop w:val="0"/>
      <w:marBottom w:val="0"/>
      <w:divBdr>
        <w:top w:val="none" w:sz="0" w:space="0" w:color="auto"/>
        <w:left w:val="none" w:sz="0" w:space="0" w:color="auto"/>
        <w:bottom w:val="none" w:sz="0" w:space="0" w:color="auto"/>
        <w:right w:val="none" w:sz="0" w:space="0" w:color="auto"/>
      </w:divBdr>
    </w:div>
    <w:div w:id="583228342">
      <w:bodyDiv w:val="1"/>
      <w:marLeft w:val="0"/>
      <w:marRight w:val="0"/>
      <w:marTop w:val="0"/>
      <w:marBottom w:val="0"/>
      <w:divBdr>
        <w:top w:val="none" w:sz="0" w:space="0" w:color="auto"/>
        <w:left w:val="none" w:sz="0" w:space="0" w:color="auto"/>
        <w:bottom w:val="none" w:sz="0" w:space="0" w:color="auto"/>
        <w:right w:val="none" w:sz="0" w:space="0" w:color="auto"/>
      </w:divBdr>
    </w:div>
    <w:div w:id="596330587">
      <w:bodyDiv w:val="1"/>
      <w:marLeft w:val="0"/>
      <w:marRight w:val="0"/>
      <w:marTop w:val="0"/>
      <w:marBottom w:val="0"/>
      <w:divBdr>
        <w:top w:val="none" w:sz="0" w:space="0" w:color="auto"/>
        <w:left w:val="none" w:sz="0" w:space="0" w:color="auto"/>
        <w:bottom w:val="none" w:sz="0" w:space="0" w:color="auto"/>
        <w:right w:val="none" w:sz="0" w:space="0" w:color="auto"/>
      </w:divBdr>
    </w:div>
    <w:div w:id="598026704">
      <w:bodyDiv w:val="1"/>
      <w:marLeft w:val="0"/>
      <w:marRight w:val="0"/>
      <w:marTop w:val="0"/>
      <w:marBottom w:val="0"/>
      <w:divBdr>
        <w:top w:val="none" w:sz="0" w:space="0" w:color="auto"/>
        <w:left w:val="none" w:sz="0" w:space="0" w:color="auto"/>
        <w:bottom w:val="none" w:sz="0" w:space="0" w:color="auto"/>
        <w:right w:val="none" w:sz="0" w:space="0" w:color="auto"/>
      </w:divBdr>
    </w:div>
    <w:div w:id="606693904">
      <w:bodyDiv w:val="1"/>
      <w:marLeft w:val="0"/>
      <w:marRight w:val="0"/>
      <w:marTop w:val="0"/>
      <w:marBottom w:val="0"/>
      <w:divBdr>
        <w:top w:val="none" w:sz="0" w:space="0" w:color="auto"/>
        <w:left w:val="none" w:sz="0" w:space="0" w:color="auto"/>
        <w:bottom w:val="none" w:sz="0" w:space="0" w:color="auto"/>
        <w:right w:val="none" w:sz="0" w:space="0" w:color="auto"/>
      </w:divBdr>
    </w:div>
    <w:div w:id="619185389">
      <w:bodyDiv w:val="1"/>
      <w:marLeft w:val="0"/>
      <w:marRight w:val="0"/>
      <w:marTop w:val="0"/>
      <w:marBottom w:val="0"/>
      <w:divBdr>
        <w:top w:val="none" w:sz="0" w:space="0" w:color="auto"/>
        <w:left w:val="none" w:sz="0" w:space="0" w:color="auto"/>
        <w:bottom w:val="none" w:sz="0" w:space="0" w:color="auto"/>
        <w:right w:val="none" w:sz="0" w:space="0" w:color="auto"/>
      </w:divBdr>
    </w:div>
    <w:div w:id="638845104">
      <w:bodyDiv w:val="1"/>
      <w:marLeft w:val="0"/>
      <w:marRight w:val="0"/>
      <w:marTop w:val="0"/>
      <w:marBottom w:val="0"/>
      <w:divBdr>
        <w:top w:val="none" w:sz="0" w:space="0" w:color="auto"/>
        <w:left w:val="none" w:sz="0" w:space="0" w:color="auto"/>
        <w:bottom w:val="none" w:sz="0" w:space="0" w:color="auto"/>
        <w:right w:val="none" w:sz="0" w:space="0" w:color="auto"/>
      </w:divBdr>
    </w:div>
    <w:div w:id="648675401">
      <w:bodyDiv w:val="1"/>
      <w:marLeft w:val="0"/>
      <w:marRight w:val="0"/>
      <w:marTop w:val="0"/>
      <w:marBottom w:val="0"/>
      <w:divBdr>
        <w:top w:val="none" w:sz="0" w:space="0" w:color="auto"/>
        <w:left w:val="none" w:sz="0" w:space="0" w:color="auto"/>
        <w:bottom w:val="none" w:sz="0" w:space="0" w:color="auto"/>
        <w:right w:val="none" w:sz="0" w:space="0" w:color="auto"/>
      </w:divBdr>
    </w:div>
    <w:div w:id="648676176">
      <w:bodyDiv w:val="1"/>
      <w:marLeft w:val="0"/>
      <w:marRight w:val="0"/>
      <w:marTop w:val="0"/>
      <w:marBottom w:val="0"/>
      <w:divBdr>
        <w:top w:val="none" w:sz="0" w:space="0" w:color="auto"/>
        <w:left w:val="none" w:sz="0" w:space="0" w:color="auto"/>
        <w:bottom w:val="none" w:sz="0" w:space="0" w:color="auto"/>
        <w:right w:val="none" w:sz="0" w:space="0" w:color="auto"/>
      </w:divBdr>
    </w:div>
    <w:div w:id="662850945">
      <w:bodyDiv w:val="1"/>
      <w:marLeft w:val="0"/>
      <w:marRight w:val="0"/>
      <w:marTop w:val="0"/>
      <w:marBottom w:val="0"/>
      <w:divBdr>
        <w:top w:val="none" w:sz="0" w:space="0" w:color="auto"/>
        <w:left w:val="none" w:sz="0" w:space="0" w:color="auto"/>
        <w:bottom w:val="none" w:sz="0" w:space="0" w:color="auto"/>
        <w:right w:val="none" w:sz="0" w:space="0" w:color="auto"/>
      </w:divBdr>
    </w:div>
    <w:div w:id="683943783">
      <w:bodyDiv w:val="1"/>
      <w:marLeft w:val="0"/>
      <w:marRight w:val="0"/>
      <w:marTop w:val="0"/>
      <w:marBottom w:val="0"/>
      <w:divBdr>
        <w:top w:val="none" w:sz="0" w:space="0" w:color="auto"/>
        <w:left w:val="none" w:sz="0" w:space="0" w:color="auto"/>
        <w:bottom w:val="none" w:sz="0" w:space="0" w:color="auto"/>
        <w:right w:val="none" w:sz="0" w:space="0" w:color="auto"/>
      </w:divBdr>
    </w:div>
    <w:div w:id="694621955">
      <w:bodyDiv w:val="1"/>
      <w:marLeft w:val="0"/>
      <w:marRight w:val="0"/>
      <w:marTop w:val="0"/>
      <w:marBottom w:val="0"/>
      <w:divBdr>
        <w:top w:val="none" w:sz="0" w:space="0" w:color="auto"/>
        <w:left w:val="none" w:sz="0" w:space="0" w:color="auto"/>
        <w:bottom w:val="none" w:sz="0" w:space="0" w:color="auto"/>
        <w:right w:val="none" w:sz="0" w:space="0" w:color="auto"/>
      </w:divBdr>
    </w:div>
    <w:div w:id="727455352">
      <w:bodyDiv w:val="1"/>
      <w:marLeft w:val="0"/>
      <w:marRight w:val="0"/>
      <w:marTop w:val="0"/>
      <w:marBottom w:val="0"/>
      <w:divBdr>
        <w:top w:val="none" w:sz="0" w:space="0" w:color="auto"/>
        <w:left w:val="none" w:sz="0" w:space="0" w:color="auto"/>
        <w:bottom w:val="none" w:sz="0" w:space="0" w:color="auto"/>
        <w:right w:val="none" w:sz="0" w:space="0" w:color="auto"/>
      </w:divBdr>
    </w:div>
    <w:div w:id="727612874">
      <w:bodyDiv w:val="1"/>
      <w:marLeft w:val="0"/>
      <w:marRight w:val="0"/>
      <w:marTop w:val="0"/>
      <w:marBottom w:val="0"/>
      <w:divBdr>
        <w:top w:val="none" w:sz="0" w:space="0" w:color="auto"/>
        <w:left w:val="none" w:sz="0" w:space="0" w:color="auto"/>
        <w:bottom w:val="none" w:sz="0" w:space="0" w:color="auto"/>
        <w:right w:val="none" w:sz="0" w:space="0" w:color="auto"/>
      </w:divBdr>
    </w:div>
    <w:div w:id="738094671">
      <w:bodyDiv w:val="1"/>
      <w:marLeft w:val="0"/>
      <w:marRight w:val="0"/>
      <w:marTop w:val="0"/>
      <w:marBottom w:val="0"/>
      <w:divBdr>
        <w:top w:val="none" w:sz="0" w:space="0" w:color="auto"/>
        <w:left w:val="none" w:sz="0" w:space="0" w:color="auto"/>
        <w:bottom w:val="none" w:sz="0" w:space="0" w:color="auto"/>
        <w:right w:val="none" w:sz="0" w:space="0" w:color="auto"/>
      </w:divBdr>
    </w:div>
    <w:div w:id="739641255">
      <w:bodyDiv w:val="1"/>
      <w:marLeft w:val="0"/>
      <w:marRight w:val="0"/>
      <w:marTop w:val="0"/>
      <w:marBottom w:val="0"/>
      <w:divBdr>
        <w:top w:val="none" w:sz="0" w:space="0" w:color="auto"/>
        <w:left w:val="none" w:sz="0" w:space="0" w:color="auto"/>
        <w:bottom w:val="none" w:sz="0" w:space="0" w:color="auto"/>
        <w:right w:val="none" w:sz="0" w:space="0" w:color="auto"/>
      </w:divBdr>
    </w:div>
    <w:div w:id="770588234">
      <w:bodyDiv w:val="1"/>
      <w:marLeft w:val="0"/>
      <w:marRight w:val="0"/>
      <w:marTop w:val="0"/>
      <w:marBottom w:val="0"/>
      <w:divBdr>
        <w:top w:val="none" w:sz="0" w:space="0" w:color="auto"/>
        <w:left w:val="none" w:sz="0" w:space="0" w:color="auto"/>
        <w:bottom w:val="none" w:sz="0" w:space="0" w:color="auto"/>
        <w:right w:val="none" w:sz="0" w:space="0" w:color="auto"/>
      </w:divBdr>
    </w:div>
    <w:div w:id="787090169">
      <w:bodyDiv w:val="1"/>
      <w:marLeft w:val="0"/>
      <w:marRight w:val="0"/>
      <w:marTop w:val="0"/>
      <w:marBottom w:val="0"/>
      <w:divBdr>
        <w:top w:val="none" w:sz="0" w:space="0" w:color="auto"/>
        <w:left w:val="none" w:sz="0" w:space="0" w:color="auto"/>
        <w:bottom w:val="none" w:sz="0" w:space="0" w:color="auto"/>
        <w:right w:val="none" w:sz="0" w:space="0" w:color="auto"/>
      </w:divBdr>
    </w:div>
    <w:div w:id="819275009">
      <w:bodyDiv w:val="1"/>
      <w:marLeft w:val="0"/>
      <w:marRight w:val="0"/>
      <w:marTop w:val="0"/>
      <w:marBottom w:val="0"/>
      <w:divBdr>
        <w:top w:val="none" w:sz="0" w:space="0" w:color="auto"/>
        <w:left w:val="none" w:sz="0" w:space="0" w:color="auto"/>
        <w:bottom w:val="none" w:sz="0" w:space="0" w:color="auto"/>
        <w:right w:val="none" w:sz="0" w:space="0" w:color="auto"/>
      </w:divBdr>
    </w:div>
    <w:div w:id="862666302">
      <w:bodyDiv w:val="1"/>
      <w:marLeft w:val="0"/>
      <w:marRight w:val="0"/>
      <w:marTop w:val="0"/>
      <w:marBottom w:val="0"/>
      <w:divBdr>
        <w:top w:val="none" w:sz="0" w:space="0" w:color="auto"/>
        <w:left w:val="none" w:sz="0" w:space="0" w:color="auto"/>
        <w:bottom w:val="none" w:sz="0" w:space="0" w:color="auto"/>
        <w:right w:val="none" w:sz="0" w:space="0" w:color="auto"/>
      </w:divBdr>
    </w:div>
    <w:div w:id="862983811">
      <w:bodyDiv w:val="1"/>
      <w:marLeft w:val="0"/>
      <w:marRight w:val="0"/>
      <w:marTop w:val="0"/>
      <w:marBottom w:val="0"/>
      <w:divBdr>
        <w:top w:val="none" w:sz="0" w:space="0" w:color="auto"/>
        <w:left w:val="none" w:sz="0" w:space="0" w:color="auto"/>
        <w:bottom w:val="none" w:sz="0" w:space="0" w:color="auto"/>
        <w:right w:val="none" w:sz="0" w:space="0" w:color="auto"/>
      </w:divBdr>
    </w:div>
    <w:div w:id="894387959">
      <w:bodyDiv w:val="1"/>
      <w:marLeft w:val="0"/>
      <w:marRight w:val="0"/>
      <w:marTop w:val="0"/>
      <w:marBottom w:val="0"/>
      <w:divBdr>
        <w:top w:val="none" w:sz="0" w:space="0" w:color="auto"/>
        <w:left w:val="none" w:sz="0" w:space="0" w:color="auto"/>
        <w:bottom w:val="none" w:sz="0" w:space="0" w:color="auto"/>
        <w:right w:val="none" w:sz="0" w:space="0" w:color="auto"/>
      </w:divBdr>
    </w:div>
    <w:div w:id="900334683">
      <w:bodyDiv w:val="1"/>
      <w:marLeft w:val="0"/>
      <w:marRight w:val="0"/>
      <w:marTop w:val="0"/>
      <w:marBottom w:val="0"/>
      <w:divBdr>
        <w:top w:val="none" w:sz="0" w:space="0" w:color="auto"/>
        <w:left w:val="none" w:sz="0" w:space="0" w:color="auto"/>
        <w:bottom w:val="none" w:sz="0" w:space="0" w:color="auto"/>
        <w:right w:val="none" w:sz="0" w:space="0" w:color="auto"/>
      </w:divBdr>
    </w:div>
    <w:div w:id="902526206">
      <w:bodyDiv w:val="1"/>
      <w:marLeft w:val="0"/>
      <w:marRight w:val="0"/>
      <w:marTop w:val="0"/>
      <w:marBottom w:val="0"/>
      <w:divBdr>
        <w:top w:val="none" w:sz="0" w:space="0" w:color="auto"/>
        <w:left w:val="none" w:sz="0" w:space="0" w:color="auto"/>
        <w:bottom w:val="none" w:sz="0" w:space="0" w:color="auto"/>
        <w:right w:val="none" w:sz="0" w:space="0" w:color="auto"/>
      </w:divBdr>
    </w:div>
    <w:div w:id="915675225">
      <w:bodyDiv w:val="1"/>
      <w:marLeft w:val="0"/>
      <w:marRight w:val="0"/>
      <w:marTop w:val="0"/>
      <w:marBottom w:val="0"/>
      <w:divBdr>
        <w:top w:val="none" w:sz="0" w:space="0" w:color="auto"/>
        <w:left w:val="none" w:sz="0" w:space="0" w:color="auto"/>
        <w:bottom w:val="none" w:sz="0" w:space="0" w:color="auto"/>
        <w:right w:val="none" w:sz="0" w:space="0" w:color="auto"/>
      </w:divBdr>
    </w:div>
    <w:div w:id="922569626">
      <w:bodyDiv w:val="1"/>
      <w:marLeft w:val="0"/>
      <w:marRight w:val="0"/>
      <w:marTop w:val="0"/>
      <w:marBottom w:val="0"/>
      <w:divBdr>
        <w:top w:val="none" w:sz="0" w:space="0" w:color="auto"/>
        <w:left w:val="none" w:sz="0" w:space="0" w:color="auto"/>
        <w:bottom w:val="none" w:sz="0" w:space="0" w:color="auto"/>
        <w:right w:val="none" w:sz="0" w:space="0" w:color="auto"/>
      </w:divBdr>
    </w:div>
    <w:div w:id="935675071">
      <w:bodyDiv w:val="1"/>
      <w:marLeft w:val="0"/>
      <w:marRight w:val="0"/>
      <w:marTop w:val="0"/>
      <w:marBottom w:val="0"/>
      <w:divBdr>
        <w:top w:val="none" w:sz="0" w:space="0" w:color="auto"/>
        <w:left w:val="none" w:sz="0" w:space="0" w:color="auto"/>
        <w:bottom w:val="none" w:sz="0" w:space="0" w:color="auto"/>
        <w:right w:val="none" w:sz="0" w:space="0" w:color="auto"/>
      </w:divBdr>
    </w:div>
    <w:div w:id="950165007">
      <w:bodyDiv w:val="1"/>
      <w:marLeft w:val="0"/>
      <w:marRight w:val="0"/>
      <w:marTop w:val="0"/>
      <w:marBottom w:val="0"/>
      <w:divBdr>
        <w:top w:val="none" w:sz="0" w:space="0" w:color="auto"/>
        <w:left w:val="none" w:sz="0" w:space="0" w:color="auto"/>
        <w:bottom w:val="none" w:sz="0" w:space="0" w:color="auto"/>
        <w:right w:val="none" w:sz="0" w:space="0" w:color="auto"/>
      </w:divBdr>
    </w:div>
    <w:div w:id="957444634">
      <w:bodyDiv w:val="1"/>
      <w:marLeft w:val="0"/>
      <w:marRight w:val="0"/>
      <w:marTop w:val="0"/>
      <w:marBottom w:val="0"/>
      <w:divBdr>
        <w:top w:val="none" w:sz="0" w:space="0" w:color="auto"/>
        <w:left w:val="none" w:sz="0" w:space="0" w:color="auto"/>
        <w:bottom w:val="none" w:sz="0" w:space="0" w:color="auto"/>
        <w:right w:val="none" w:sz="0" w:space="0" w:color="auto"/>
      </w:divBdr>
    </w:div>
    <w:div w:id="959342666">
      <w:bodyDiv w:val="1"/>
      <w:marLeft w:val="0"/>
      <w:marRight w:val="0"/>
      <w:marTop w:val="0"/>
      <w:marBottom w:val="0"/>
      <w:divBdr>
        <w:top w:val="none" w:sz="0" w:space="0" w:color="auto"/>
        <w:left w:val="none" w:sz="0" w:space="0" w:color="auto"/>
        <w:bottom w:val="none" w:sz="0" w:space="0" w:color="auto"/>
        <w:right w:val="none" w:sz="0" w:space="0" w:color="auto"/>
      </w:divBdr>
    </w:div>
    <w:div w:id="996571133">
      <w:bodyDiv w:val="1"/>
      <w:marLeft w:val="0"/>
      <w:marRight w:val="0"/>
      <w:marTop w:val="0"/>
      <w:marBottom w:val="0"/>
      <w:divBdr>
        <w:top w:val="none" w:sz="0" w:space="0" w:color="auto"/>
        <w:left w:val="none" w:sz="0" w:space="0" w:color="auto"/>
        <w:bottom w:val="none" w:sz="0" w:space="0" w:color="auto"/>
        <w:right w:val="none" w:sz="0" w:space="0" w:color="auto"/>
      </w:divBdr>
    </w:div>
    <w:div w:id="1004208669">
      <w:bodyDiv w:val="1"/>
      <w:marLeft w:val="0"/>
      <w:marRight w:val="0"/>
      <w:marTop w:val="0"/>
      <w:marBottom w:val="0"/>
      <w:divBdr>
        <w:top w:val="none" w:sz="0" w:space="0" w:color="auto"/>
        <w:left w:val="none" w:sz="0" w:space="0" w:color="auto"/>
        <w:bottom w:val="none" w:sz="0" w:space="0" w:color="auto"/>
        <w:right w:val="none" w:sz="0" w:space="0" w:color="auto"/>
      </w:divBdr>
    </w:div>
    <w:div w:id="1014189752">
      <w:bodyDiv w:val="1"/>
      <w:marLeft w:val="0"/>
      <w:marRight w:val="0"/>
      <w:marTop w:val="0"/>
      <w:marBottom w:val="0"/>
      <w:divBdr>
        <w:top w:val="none" w:sz="0" w:space="0" w:color="auto"/>
        <w:left w:val="none" w:sz="0" w:space="0" w:color="auto"/>
        <w:bottom w:val="none" w:sz="0" w:space="0" w:color="auto"/>
        <w:right w:val="none" w:sz="0" w:space="0" w:color="auto"/>
      </w:divBdr>
    </w:div>
    <w:div w:id="1035424042">
      <w:bodyDiv w:val="1"/>
      <w:marLeft w:val="0"/>
      <w:marRight w:val="0"/>
      <w:marTop w:val="0"/>
      <w:marBottom w:val="0"/>
      <w:divBdr>
        <w:top w:val="none" w:sz="0" w:space="0" w:color="auto"/>
        <w:left w:val="none" w:sz="0" w:space="0" w:color="auto"/>
        <w:bottom w:val="none" w:sz="0" w:space="0" w:color="auto"/>
        <w:right w:val="none" w:sz="0" w:space="0" w:color="auto"/>
      </w:divBdr>
    </w:div>
    <w:div w:id="1056970301">
      <w:bodyDiv w:val="1"/>
      <w:marLeft w:val="0"/>
      <w:marRight w:val="0"/>
      <w:marTop w:val="0"/>
      <w:marBottom w:val="0"/>
      <w:divBdr>
        <w:top w:val="none" w:sz="0" w:space="0" w:color="auto"/>
        <w:left w:val="none" w:sz="0" w:space="0" w:color="auto"/>
        <w:bottom w:val="none" w:sz="0" w:space="0" w:color="auto"/>
        <w:right w:val="none" w:sz="0" w:space="0" w:color="auto"/>
      </w:divBdr>
    </w:div>
    <w:div w:id="1119296691">
      <w:bodyDiv w:val="1"/>
      <w:marLeft w:val="0"/>
      <w:marRight w:val="0"/>
      <w:marTop w:val="0"/>
      <w:marBottom w:val="0"/>
      <w:divBdr>
        <w:top w:val="none" w:sz="0" w:space="0" w:color="auto"/>
        <w:left w:val="none" w:sz="0" w:space="0" w:color="auto"/>
        <w:bottom w:val="none" w:sz="0" w:space="0" w:color="auto"/>
        <w:right w:val="none" w:sz="0" w:space="0" w:color="auto"/>
      </w:divBdr>
    </w:div>
    <w:div w:id="1150902297">
      <w:bodyDiv w:val="1"/>
      <w:marLeft w:val="0"/>
      <w:marRight w:val="0"/>
      <w:marTop w:val="0"/>
      <w:marBottom w:val="0"/>
      <w:divBdr>
        <w:top w:val="none" w:sz="0" w:space="0" w:color="auto"/>
        <w:left w:val="none" w:sz="0" w:space="0" w:color="auto"/>
        <w:bottom w:val="none" w:sz="0" w:space="0" w:color="auto"/>
        <w:right w:val="none" w:sz="0" w:space="0" w:color="auto"/>
      </w:divBdr>
    </w:div>
    <w:div w:id="1151479526">
      <w:bodyDiv w:val="1"/>
      <w:marLeft w:val="0"/>
      <w:marRight w:val="0"/>
      <w:marTop w:val="0"/>
      <w:marBottom w:val="0"/>
      <w:divBdr>
        <w:top w:val="none" w:sz="0" w:space="0" w:color="auto"/>
        <w:left w:val="none" w:sz="0" w:space="0" w:color="auto"/>
        <w:bottom w:val="none" w:sz="0" w:space="0" w:color="auto"/>
        <w:right w:val="none" w:sz="0" w:space="0" w:color="auto"/>
      </w:divBdr>
    </w:div>
    <w:div w:id="1166095751">
      <w:bodyDiv w:val="1"/>
      <w:marLeft w:val="0"/>
      <w:marRight w:val="0"/>
      <w:marTop w:val="0"/>
      <w:marBottom w:val="0"/>
      <w:divBdr>
        <w:top w:val="none" w:sz="0" w:space="0" w:color="auto"/>
        <w:left w:val="none" w:sz="0" w:space="0" w:color="auto"/>
        <w:bottom w:val="none" w:sz="0" w:space="0" w:color="auto"/>
        <w:right w:val="none" w:sz="0" w:space="0" w:color="auto"/>
      </w:divBdr>
    </w:div>
    <w:div w:id="1190490096">
      <w:bodyDiv w:val="1"/>
      <w:marLeft w:val="0"/>
      <w:marRight w:val="0"/>
      <w:marTop w:val="0"/>
      <w:marBottom w:val="0"/>
      <w:divBdr>
        <w:top w:val="none" w:sz="0" w:space="0" w:color="auto"/>
        <w:left w:val="none" w:sz="0" w:space="0" w:color="auto"/>
        <w:bottom w:val="none" w:sz="0" w:space="0" w:color="auto"/>
        <w:right w:val="none" w:sz="0" w:space="0" w:color="auto"/>
      </w:divBdr>
    </w:div>
    <w:div w:id="1199661398">
      <w:bodyDiv w:val="1"/>
      <w:marLeft w:val="0"/>
      <w:marRight w:val="0"/>
      <w:marTop w:val="0"/>
      <w:marBottom w:val="0"/>
      <w:divBdr>
        <w:top w:val="none" w:sz="0" w:space="0" w:color="auto"/>
        <w:left w:val="none" w:sz="0" w:space="0" w:color="auto"/>
        <w:bottom w:val="none" w:sz="0" w:space="0" w:color="auto"/>
        <w:right w:val="none" w:sz="0" w:space="0" w:color="auto"/>
      </w:divBdr>
    </w:div>
    <w:div w:id="1201279447">
      <w:bodyDiv w:val="1"/>
      <w:marLeft w:val="0"/>
      <w:marRight w:val="0"/>
      <w:marTop w:val="0"/>
      <w:marBottom w:val="0"/>
      <w:divBdr>
        <w:top w:val="none" w:sz="0" w:space="0" w:color="auto"/>
        <w:left w:val="none" w:sz="0" w:space="0" w:color="auto"/>
        <w:bottom w:val="none" w:sz="0" w:space="0" w:color="auto"/>
        <w:right w:val="none" w:sz="0" w:space="0" w:color="auto"/>
      </w:divBdr>
    </w:div>
    <w:div w:id="1222403054">
      <w:bodyDiv w:val="1"/>
      <w:marLeft w:val="0"/>
      <w:marRight w:val="0"/>
      <w:marTop w:val="0"/>
      <w:marBottom w:val="0"/>
      <w:divBdr>
        <w:top w:val="none" w:sz="0" w:space="0" w:color="auto"/>
        <w:left w:val="none" w:sz="0" w:space="0" w:color="auto"/>
        <w:bottom w:val="none" w:sz="0" w:space="0" w:color="auto"/>
        <w:right w:val="none" w:sz="0" w:space="0" w:color="auto"/>
      </w:divBdr>
    </w:div>
    <w:div w:id="1265580348">
      <w:bodyDiv w:val="1"/>
      <w:marLeft w:val="0"/>
      <w:marRight w:val="0"/>
      <w:marTop w:val="0"/>
      <w:marBottom w:val="0"/>
      <w:divBdr>
        <w:top w:val="none" w:sz="0" w:space="0" w:color="auto"/>
        <w:left w:val="none" w:sz="0" w:space="0" w:color="auto"/>
        <w:bottom w:val="none" w:sz="0" w:space="0" w:color="auto"/>
        <w:right w:val="none" w:sz="0" w:space="0" w:color="auto"/>
      </w:divBdr>
    </w:div>
    <w:div w:id="1265768952">
      <w:bodyDiv w:val="1"/>
      <w:marLeft w:val="0"/>
      <w:marRight w:val="0"/>
      <w:marTop w:val="0"/>
      <w:marBottom w:val="0"/>
      <w:divBdr>
        <w:top w:val="none" w:sz="0" w:space="0" w:color="auto"/>
        <w:left w:val="none" w:sz="0" w:space="0" w:color="auto"/>
        <w:bottom w:val="none" w:sz="0" w:space="0" w:color="auto"/>
        <w:right w:val="none" w:sz="0" w:space="0" w:color="auto"/>
      </w:divBdr>
    </w:div>
    <w:div w:id="1276710549">
      <w:bodyDiv w:val="1"/>
      <w:marLeft w:val="0"/>
      <w:marRight w:val="0"/>
      <w:marTop w:val="0"/>
      <w:marBottom w:val="0"/>
      <w:divBdr>
        <w:top w:val="none" w:sz="0" w:space="0" w:color="auto"/>
        <w:left w:val="none" w:sz="0" w:space="0" w:color="auto"/>
        <w:bottom w:val="none" w:sz="0" w:space="0" w:color="auto"/>
        <w:right w:val="none" w:sz="0" w:space="0" w:color="auto"/>
      </w:divBdr>
    </w:div>
    <w:div w:id="1282614158">
      <w:bodyDiv w:val="1"/>
      <w:marLeft w:val="0"/>
      <w:marRight w:val="0"/>
      <w:marTop w:val="0"/>
      <w:marBottom w:val="0"/>
      <w:divBdr>
        <w:top w:val="none" w:sz="0" w:space="0" w:color="auto"/>
        <w:left w:val="none" w:sz="0" w:space="0" w:color="auto"/>
        <w:bottom w:val="none" w:sz="0" w:space="0" w:color="auto"/>
        <w:right w:val="none" w:sz="0" w:space="0" w:color="auto"/>
      </w:divBdr>
    </w:div>
    <w:div w:id="1285043926">
      <w:bodyDiv w:val="1"/>
      <w:marLeft w:val="0"/>
      <w:marRight w:val="0"/>
      <w:marTop w:val="0"/>
      <w:marBottom w:val="0"/>
      <w:divBdr>
        <w:top w:val="none" w:sz="0" w:space="0" w:color="auto"/>
        <w:left w:val="none" w:sz="0" w:space="0" w:color="auto"/>
        <w:bottom w:val="none" w:sz="0" w:space="0" w:color="auto"/>
        <w:right w:val="none" w:sz="0" w:space="0" w:color="auto"/>
      </w:divBdr>
    </w:div>
    <w:div w:id="1308515825">
      <w:bodyDiv w:val="1"/>
      <w:marLeft w:val="0"/>
      <w:marRight w:val="0"/>
      <w:marTop w:val="0"/>
      <w:marBottom w:val="0"/>
      <w:divBdr>
        <w:top w:val="none" w:sz="0" w:space="0" w:color="auto"/>
        <w:left w:val="none" w:sz="0" w:space="0" w:color="auto"/>
        <w:bottom w:val="none" w:sz="0" w:space="0" w:color="auto"/>
        <w:right w:val="none" w:sz="0" w:space="0" w:color="auto"/>
      </w:divBdr>
    </w:div>
    <w:div w:id="1328485444">
      <w:bodyDiv w:val="1"/>
      <w:marLeft w:val="0"/>
      <w:marRight w:val="0"/>
      <w:marTop w:val="0"/>
      <w:marBottom w:val="0"/>
      <w:divBdr>
        <w:top w:val="none" w:sz="0" w:space="0" w:color="auto"/>
        <w:left w:val="none" w:sz="0" w:space="0" w:color="auto"/>
        <w:bottom w:val="none" w:sz="0" w:space="0" w:color="auto"/>
        <w:right w:val="none" w:sz="0" w:space="0" w:color="auto"/>
      </w:divBdr>
    </w:div>
    <w:div w:id="1369989863">
      <w:bodyDiv w:val="1"/>
      <w:marLeft w:val="0"/>
      <w:marRight w:val="0"/>
      <w:marTop w:val="0"/>
      <w:marBottom w:val="0"/>
      <w:divBdr>
        <w:top w:val="none" w:sz="0" w:space="0" w:color="auto"/>
        <w:left w:val="none" w:sz="0" w:space="0" w:color="auto"/>
        <w:bottom w:val="none" w:sz="0" w:space="0" w:color="auto"/>
        <w:right w:val="none" w:sz="0" w:space="0" w:color="auto"/>
      </w:divBdr>
    </w:div>
    <w:div w:id="1381435311">
      <w:bodyDiv w:val="1"/>
      <w:marLeft w:val="0"/>
      <w:marRight w:val="0"/>
      <w:marTop w:val="0"/>
      <w:marBottom w:val="0"/>
      <w:divBdr>
        <w:top w:val="none" w:sz="0" w:space="0" w:color="auto"/>
        <w:left w:val="none" w:sz="0" w:space="0" w:color="auto"/>
        <w:bottom w:val="none" w:sz="0" w:space="0" w:color="auto"/>
        <w:right w:val="none" w:sz="0" w:space="0" w:color="auto"/>
      </w:divBdr>
    </w:div>
    <w:div w:id="1392458040">
      <w:bodyDiv w:val="1"/>
      <w:marLeft w:val="0"/>
      <w:marRight w:val="0"/>
      <w:marTop w:val="0"/>
      <w:marBottom w:val="0"/>
      <w:divBdr>
        <w:top w:val="none" w:sz="0" w:space="0" w:color="auto"/>
        <w:left w:val="none" w:sz="0" w:space="0" w:color="auto"/>
        <w:bottom w:val="none" w:sz="0" w:space="0" w:color="auto"/>
        <w:right w:val="none" w:sz="0" w:space="0" w:color="auto"/>
      </w:divBdr>
    </w:div>
    <w:div w:id="1401444586">
      <w:bodyDiv w:val="1"/>
      <w:marLeft w:val="0"/>
      <w:marRight w:val="0"/>
      <w:marTop w:val="0"/>
      <w:marBottom w:val="0"/>
      <w:divBdr>
        <w:top w:val="none" w:sz="0" w:space="0" w:color="auto"/>
        <w:left w:val="none" w:sz="0" w:space="0" w:color="auto"/>
        <w:bottom w:val="none" w:sz="0" w:space="0" w:color="auto"/>
        <w:right w:val="none" w:sz="0" w:space="0" w:color="auto"/>
      </w:divBdr>
    </w:div>
    <w:div w:id="1417900324">
      <w:bodyDiv w:val="1"/>
      <w:marLeft w:val="0"/>
      <w:marRight w:val="0"/>
      <w:marTop w:val="0"/>
      <w:marBottom w:val="0"/>
      <w:divBdr>
        <w:top w:val="none" w:sz="0" w:space="0" w:color="auto"/>
        <w:left w:val="none" w:sz="0" w:space="0" w:color="auto"/>
        <w:bottom w:val="none" w:sz="0" w:space="0" w:color="auto"/>
        <w:right w:val="none" w:sz="0" w:space="0" w:color="auto"/>
      </w:divBdr>
    </w:div>
    <w:div w:id="1432780026">
      <w:bodyDiv w:val="1"/>
      <w:marLeft w:val="0"/>
      <w:marRight w:val="0"/>
      <w:marTop w:val="0"/>
      <w:marBottom w:val="0"/>
      <w:divBdr>
        <w:top w:val="none" w:sz="0" w:space="0" w:color="auto"/>
        <w:left w:val="none" w:sz="0" w:space="0" w:color="auto"/>
        <w:bottom w:val="none" w:sz="0" w:space="0" w:color="auto"/>
        <w:right w:val="none" w:sz="0" w:space="0" w:color="auto"/>
      </w:divBdr>
    </w:div>
    <w:div w:id="1438402616">
      <w:bodyDiv w:val="1"/>
      <w:marLeft w:val="0"/>
      <w:marRight w:val="0"/>
      <w:marTop w:val="0"/>
      <w:marBottom w:val="0"/>
      <w:divBdr>
        <w:top w:val="none" w:sz="0" w:space="0" w:color="auto"/>
        <w:left w:val="none" w:sz="0" w:space="0" w:color="auto"/>
        <w:bottom w:val="none" w:sz="0" w:space="0" w:color="auto"/>
        <w:right w:val="none" w:sz="0" w:space="0" w:color="auto"/>
      </w:divBdr>
    </w:div>
    <w:div w:id="1443184287">
      <w:bodyDiv w:val="1"/>
      <w:marLeft w:val="0"/>
      <w:marRight w:val="0"/>
      <w:marTop w:val="0"/>
      <w:marBottom w:val="0"/>
      <w:divBdr>
        <w:top w:val="none" w:sz="0" w:space="0" w:color="auto"/>
        <w:left w:val="none" w:sz="0" w:space="0" w:color="auto"/>
        <w:bottom w:val="none" w:sz="0" w:space="0" w:color="auto"/>
        <w:right w:val="none" w:sz="0" w:space="0" w:color="auto"/>
      </w:divBdr>
    </w:div>
    <w:div w:id="1448230490">
      <w:bodyDiv w:val="1"/>
      <w:marLeft w:val="0"/>
      <w:marRight w:val="0"/>
      <w:marTop w:val="0"/>
      <w:marBottom w:val="0"/>
      <w:divBdr>
        <w:top w:val="none" w:sz="0" w:space="0" w:color="auto"/>
        <w:left w:val="none" w:sz="0" w:space="0" w:color="auto"/>
        <w:bottom w:val="none" w:sz="0" w:space="0" w:color="auto"/>
        <w:right w:val="none" w:sz="0" w:space="0" w:color="auto"/>
      </w:divBdr>
    </w:div>
    <w:div w:id="1454405547">
      <w:bodyDiv w:val="1"/>
      <w:marLeft w:val="0"/>
      <w:marRight w:val="0"/>
      <w:marTop w:val="0"/>
      <w:marBottom w:val="0"/>
      <w:divBdr>
        <w:top w:val="none" w:sz="0" w:space="0" w:color="auto"/>
        <w:left w:val="none" w:sz="0" w:space="0" w:color="auto"/>
        <w:bottom w:val="none" w:sz="0" w:space="0" w:color="auto"/>
        <w:right w:val="none" w:sz="0" w:space="0" w:color="auto"/>
      </w:divBdr>
    </w:div>
    <w:div w:id="1493059066">
      <w:bodyDiv w:val="1"/>
      <w:marLeft w:val="0"/>
      <w:marRight w:val="0"/>
      <w:marTop w:val="0"/>
      <w:marBottom w:val="0"/>
      <w:divBdr>
        <w:top w:val="none" w:sz="0" w:space="0" w:color="auto"/>
        <w:left w:val="none" w:sz="0" w:space="0" w:color="auto"/>
        <w:bottom w:val="none" w:sz="0" w:space="0" w:color="auto"/>
        <w:right w:val="none" w:sz="0" w:space="0" w:color="auto"/>
      </w:divBdr>
    </w:div>
    <w:div w:id="1496258782">
      <w:bodyDiv w:val="1"/>
      <w:marLeft w:val="0"/>
      <w:marRight w:val="0"/>
      <w:marTop w:val="0"/>
      <w:marBottom w:val="0"/>
      <w:divBdr>
        <w:top w:val="none" w:sz="0" w:space="0" w:color="auto"/>
        <w:left w:val="none" w:sz="0" w:space="0" w:color="auto"/>
        <w:bottom w:val="none" w:sz="0" w:space="0" w:color="auto"/>
        <w:right w:val="none" w:sz="0" w:space="0" w:color="auto"/>
      </w:divBdr>
    </w:div>
    <w:div w:id="1498687979">
      <w:bodyDiv w:val="1"/>
      <w:marLeft w:val="0"/>
      <w:marRight w:val="0"/>
      <w:marTop w:val="0"/>
      <w:marBottom w:val="0"/>
      <w:divBdr>
        <w:top w:val="none" w:sz="0" w:space="0" w:color="auto"/>
        <w:left w:val="none" w:sz="0" w:space="0" w:color="auto"/>
        <w:bottom w:val="none" w:sz="0" w:space="0" w:color="auto"/>
        <w:right w:val="none" w:sz="0" w:space="0" w:color="auto"/>
      </w:divBdr>
    </w:div>
    <w:div w:id="1500656868">
      <w:bodyDiv w:val="1"/>
      <w:marLeft w:val="0"/>
      <w:marRight w:val="0"/>
      <w:marTop w:val="0"/>
      <w:marBottom w:val="0"/>
      <w:divBdr>
        <w:top w:val="none" w:sz="0" w:space="0" w:color="auto"/>
        <w:left w:val="none" w:sz="0" w:space="0" w:color="auto"/>
        <w:bottom w:val="none" w:sz="0" w:space="0" w:color="auto"/>
        <w:right w:val="none" w:sz="0" w:space="0" w:color="auto"/>
      </w:divBdr>
    </w:div>
    <w:div w:id="1507863657">
      <w:bodyDiv w:val="1"/>
      <w:marLeft w:val="0"/>
      <w:marRight w:val="0"/>
      <w:marTop w:val="0"/>
      <w:marBottom w:val="0"/>
      <w:divBdr>
        <w:top w:val="none" w:sz="0" w:space="0" w:color="auto"/>
        <w:left w:val="none" w:sz="0" w:space="0" w:color="auto"/>
        <w:bottom w:val="none" w:sz="0" w:space="0" w:color="auto"/>
        <w:right w:val="none" w:sz="0" w:space="0" w:color="auto"/>
      </w:divBdr>
    </w:div>
    <w:div w:id="1518233556">
      <w:bodyDiv w:val="1"/>
      <w:marLeft w:val="0"/>
      <w:marRight w:val="0"/>
      <w:marTop w:val="0"/>
      <w:marBottom w:val="0"/>
      <w:divBdr>
        <w:top w:val="none" w:sz="0" w:space="0" w:color="auto"/>
        <w:left w:val="none" w:sz="0" w:space="0" w:color="auto"/>
        <w:bottom w:val="none" w:sz="0" w:space="0" w:color="auto"/>
        <w:right w:val="none" w:sz="0" w:space="0" w:color="auto"/>
      </w:divBdr>
    </w:div>
    <w:div w:id="1550066391">
      <w:bodyDiv w:val="1"/>
      <w:marLeft w:val="0"/>
      <w:marRight w:val="0"/>
      <w:marTop w:val="0"/>
      <w:marBottom w:val="0"/>
      <w:divBdr>
        <w:top w:val="none" w:sz="0" w:space="0" w:color="auto"/>
        <w:left w:val="none" w:sz="0" w:space="0" w:color="auto"/>
        <w:bottom w:val="none" w:sz="0" w:space="0" w:color="auto"/>
        <w:right w:val="none" w:sz="0" w:space="0" w:color="auto"/>
      </w:divBdr>
    </w:div>
    <w:div w:id="1571424372">
      <w:bodyDiv w:val="1"/>
      <w:marLeft w:val="0"/>
      <w:marRight w:val="0"/>
      <w:marTop w:val="0"/>
      <w:marBottom w:val="0"/>
      <w:divBdr>
        <w:top w:val="none" w:sz="0" w:space="0" w:color="auto"/>
        <w:left w:val="none" w:sz="0" w:space="0" w:color="auto"/>
        <w:bottom w:val="none" w:sz="0" w:space="0" w:color="auto"/>
        <w:right w:val="none" w:sz="0" w:space="0" w:color="auto"/>
      </w:divBdr>
    </w:div>
    <w:div w:id="1571884452">
      <w:bodyDiv w:val="1"/>
      <w:marLeft w:val="0"/>
      <w:marRight w:val="0"/>
      <w:marTop w:val="0"/>
      <w:marBottom w:val="0"/>
      <w:divBdr>
        <w:top w:val="none" w:sz="0" w:space="0" w:color="auto"/>
        <w:left w:val="none" w:sz="0" w:space="0" w:color="auto"/>
        <w:bottom w:val="none" w:sz="0" w:space="0" w:color="auto"/>
        <w:right w:val="none" w:sz="0" w:space="0" w:color="auto"/>
      </w:divBdr>
    </w:div>
    <w:div w:id="1576865430">
      <w:bodyDiv w:val="1"/>
      <w:marLeft w:val="0"/>
      <w:marRight w:val="0"/>
      <w:marTop w:val="0"/>
      <w:marBottom w:val="0"/>
      <w:divBdr>
        <w:top w:val="none" w:sz="0" w:space="0" w:color="auto"/>
        <w:left w:val="none" w:sz="0" w:space="0" w:color="auto"/>
        <w:bottom w:val="none" w:sz="0" w:space="0" w:color="auto"/>
        <w:right w:val="none" w:sz="0" w:space="0" w:color="auto"/>
      </w:divBdr>
    </w:div>
    <w:div w:id="1639069418">
      <w:bodyDiv w:val="1"/>
      <w:marLeft w:val="0"/>
      <w:marRight w:val="0"/>
      <w:marTop w:val="0"/>
      <w:marBottom w:val="0"/>
      <w:divBdr>
        <w:top w:val="none" w:sz="0" w:space="0" w:color="auto"/>
        <w:left w:val="none" w:sz="0" w:space="0" w:color="auto"/>
        <w:bottom w:val="none" w:sz="0" w:space="0" w:color="auto"/>
        <w:right w:val="none" w:sz="0" w:space="0" w:color="auto"/>
      </w:divBdr>
    </w:div>
    <w:div w:id="1673487833">
      <w:bodyDiv w:val="1"/>
      <w:marLeft w:val="0"/>
      <w:marRight w:val="0"/>
      <w:marTop w:val="0"/>
      <w:marBottom w:val="0"/>
      <w:divBdr>
        <w:top w:val="none" w:sz="0" w:space="0" w:color="auto"/>
        <w:left w:val="none" w:sz="0" w:space="0" w:color="auto"/>
        <w:bottom w:val="none" w:sz="0" w:space="0" w:color="auto"/>
        <w:right w:val="none" w:sz="0" w:space="0" w:color="auto"/>
      </w:divBdr>
    </w:div>
    <w:div w:id="1676766324">
      <w:bodyDiv w:val="1"/>
      <w:marLeft w:val="0"/>
      <w:marRight w:val="0"/>
      <w:marTop w:val="0"/>
      <w:marBottom w:val="0"/>
      <w:divBdr>
        <w:top w:val="none" w:sz="0" w:space="0" w:color="auto"/>
        <w:left w:val="none" w:sz="0" w:space="0" w:color="auto"/>
        <w:bottom w:val="none" w:sz="0" w:space="0" w:color="auto"/>
        <w:right w:val="none" w:sz="0" w:space="0" w:color="auto"/>
      </w:divBdr>
    </w:div>
    <w:div w:id="1696811900">
      <w:bodyDiv w:val="1"/>
      <w:marLeft w:val="0"/>
      <w:marRight w:val="0"/>
      <w:marTop w:val="0"/>
      <w:marBottom w:val="0"/>
      <w:divBdr>
        <w:top w:val="none" w:sz="0" w:space="0" w:color="auto"/>
        <w:left w:val="none" w:sz="0" w:space="0" w:color="auto"/>
        <w:bottom w:val="none" w:sz="0" w:space="0" w:color="auto"/>
        <w:right w:val="none" w:sz="0" w:space="0" w:color="auto"/>
      </w:divBdr>
    </w:div>
    <w:div w:id="1715038442">
      <w:bodyDiv w:val="1"/>
      <w:marLeft w:val="0"/>
      <w:marRight w:val="0"/>
      <w:marTop w:val="0"/>
      <w:marBottom w:val="0"/>
      <w:divBdr>
        <w:top w:val="none" w:sz="0" w:space="0" w:color="auto"/>
        <w:left w:val="none" w:sz="0" w:space="0" w:color="auto"/>
        <w:bottom w:val="none" w:sz="0" w:space="0" w:color="auto"/>
        <w:right w:val="none" w:sz="0" w:space="0" w:color="auto"/>
      </w:divBdr>
    </w:div>
    <w:div w:id="1734884356">
      <w:bodyDiv w:val="1"/>
      <w:marLeft w:val="0"/>
      <w:marRight w:val="0"/>
      <w:marTop w:val="0"/>
      <w:marBottom w:val="0"/>
      <w:divBdr>
        <w:top w:val="none" w:sz="0" w:space="0" w:color="auto"/>
        <w:left w:val="none" w:sz="0" w:space="0" w:color="auto"/>
        <w:bottom w:val="none" w:sz="0" w:space="0" w:color="auto"/>
        <w:right w:val="none" w:sz="0" w:space="0" w:color="auto"/>
      </w:divBdr>
    </w:div>
    <w:div w:id="1736584867">
      <w:bodyDiv w:val="1"/>
      <w:marLeft w:val="0"/>
      <w:marRight w:val="0"/>
      <w:marTop w:val="0"/>
      <w:marBottom w:val="0"/>
      <w:divBdr>
        <w:top w:val="none" w:sz="0" w:space="0" w:color="auto"/>
        <w:left w:val="none" w:sz="0" w:space="0" w:color="auto"/>
        <w:bottom w:val="none" w:sz="0" w:space="0" w:color="auto"/>
        <w:right w:val="none" w:sz="0" w:space="0" w:color="auto"/>
      </w:divBdr>
    </w:div>
    <w:div w:id="1817068571">
      <w:bodyDiv w:val="1"/>
      <w:marLeft w:val="0"/>
      <w:marRight w:val="0"/>
      <w:marTop w:val="0"/>
      <w:marBottom w:val="0"/>
      <w:divBdr>
        <w:top w:val="none" w:sz="0" w:space="0" w:color="auto"/>
        <w:left w:val="none" w:sz="0" w:space="0" w:color="auto"/>
        <w:bottom w:val="none" w:sz="0" w:space="0" w:color="auto"/>
        <w:right w:val="none" w:sz="0" w:space="0" w:color="auto"/>
      </w:divBdr>
    </w:div>
    <w:div w:id="1818909484">
      <w:bodyDiv w:val="1"/>
      <w:marLeft w:val="0"/>
      <w:marRight w:val="0"/>
      <w:marTop w:val="0"/>
      <w:marBottom w:val="0"/>
      <w:divBdr>
        <w:top w:val="none" w:sz="0" w:space="0" w:color="auto"/>
        <w:left w:val="none" w:sz="0" w:space="0" w:color="auto"/>
        <w:bottom w:val="none" w:sz="0" w:space="0" w:color="auto"/>
        <w:right w:val="none" w:sz="0" w:space="0" w:color="auto"/>
      </w:divBdr>
    </w:div>
    <w:div w:id="1839996429">
      <w:bodyDiv w:val="1"/>
      <w:marLeft w:val="0"/>
      <w:marRight w:val="0"/>
      <w:marTop w:val="0"/>
      <w:marBottom w:val="0"/>
      <w:divBdr>
        <w:top w:val="none" w:sz="0" w:space="0" w:color="auto"/>
        <w:left w:val="none" w:sz="0" w:space="0" w:color="auto"/>
        <w:bottom w:val="none" w:sz="0" w:space="0" w:color="auto"/>
        <w:right w:val="none" w:sz="0" w:space="0" w:color="auto"/>
      </w:divBdr>
    </w:div>
    <w:div w:id="1851413153">
      <w:bodyDiv w:val="1"/>
      <w:marLeft w:val="0"/>
      <w:marRight w:val="0"/>
      <w:marTop w:val="0"/>
      <w:marBottom w:val="0"/>
      <w:divBdr>
        <w:top w:val="none" w:sz="0" w:space="0" w:color="auto"/>
        <w:left w:val="none" w:sz="0" w:space="0" w:color="auto"/>
        <w:bottom w:val="none" w:sz="0" w:space="0" w:color="auto"/>
        <w:right w:val="none" w:sz="0" w:space="0" w:color="auto"/>
      </w:divBdr>
    </w:div>
    <w:div w:id="1858542223">
      <w:bodyDiv w:val="1"/>
      <w:marLeft w:val="0"/>
      <w:marRight w:val="0"/>
      <w:marTop w:val="0"/>
      <w:marBottom w:val="0"/>
      <w:divBdr>
        <w:top w:val="none" w:sz="0" w:space="0" w:color="auto"/>
        <w:left w:val="none" w:sz="0" w:space="0" w:color="auto"/>
        <w:bottom w:val="none" w:sz="0" w:space="0" w:color="auto"/>
        <w:right w:val="none" w:sz="0" w:space="0" w:color="auto"/>
      </w:divBdr>
    </w:div>
    <w:div w:id="1864434851">
      <w:bodyDiv w:val="1"/>
      <w:marLeft w:val="0"/>
      <w:marRight w:val="0"/>
      <w:marTop w:val="0"/>
      <w:marBottom w:val="0"/>
      <w:divBdr>
        <w:top w:val="none" w:sz="0" w:space="0" w:color="auto"/>
        <w:left w:val="none" w:sz="0" w:space="0" w:color="auto"/>
        <w:bottom w:val="none" w:sz="0" w:space="0" w:color="auto"/>
        <w:right w:val="none" w:sz="0" w:space="0" w:color="auto"/>
      </w:divBdr>
    </w:div>
    <w:div w:id="1866552729">
      <w:bodyDiv w:val="1"/>
      <w:marLeft w:val="0"/>
      <w:marRight w:val="0"/>
      <w:marTop w:val="0"/>
      <w:marBottom w:val="0"/>
      <w:divBdr>
        <w:top w:val="none" w:sz="0" w:space="0" w:color="auto"/>
        <w:left w:val="none" w:sz="0" w:space="0" w:color="auto"/>
        <w:bottom w:val="none" w:sz="0" w:space="0" w:color="auto"/>
        <w:right w:val="none" w:sz="0" w:space="0" w:color="auto"/>
      </w:divBdr>
    </w:div>
    <w:div w:id="1908690390">
      <w:bodyDiv w:val="1"/>
      <w:marLeft w:val="0"/>
      <w:marRight w:val="0"/>
      <w:marTop w:val="0"/>
      <w:marBottom w:val="0"/>
      <w:divBdr>
        <w:top w:val="none" w:sz="0" w:space="0" w:color="auto"/>
        <w:left w:val="none" w:sz="0" w:space="0" w:color="auto"/>
        <w:bottom w:val="none" w:sz="0" w:space="0" w:color="auto"/>
        <w:right w:val="none" w:sz="0" w:space="0" w:color="auto"/>
      </w:divBdr>
    </w:div>
    <w:div w:id="1932931937">
      <w:bodyDiv w:val="1"/>
      <w:marLeft w:val="0"/>
      <w:marRight w:val="0"/>
      <w:marTop w:val="0"/>
      <w:marBottom w:val="0"/>
      <w:divBdr>
        <w:top w:val="none" w:sz="0" w:space="0" w:color="auto"/>
        <w:left w:val="none" w:sz="0" w:space="0" w:color="auto"/>
        <w:bottom w:val="none" w:sz="0" w:space="0" w:color="auto"/>
        <w:right w:val="none" w:sz="0" w:space="0" w:color="auto"/>
      </w:divBdr>
    </w:div>
    <w:div w:id="1947274781">
      <w:bodyDiv w:val="1"/>
      <w:marLeft w:val="0"/>
      <w:marRight w:val="0"/>
      <w:marTop w:val="0"/>
      <w:marBottom w:val="0"/>
      <w:divBdr>
        <w:top w:val="none" w:sz="0" w:space="0" w:color="auto"/>
        <w:left w:val="none" w:sz="0" w:space="0" w:color="auto"/>
        <w:bottom w:val="none" w:sz="0" w:space="0" w:color="auto"/>
        <w:right w:val="none" w:sz="0" w:space="0" w:color="auto"/>
      </w:divBdr>
    </w:div>
    <w:div w:id="1958176367">
      <w:bodyDiv w:val="1"/>
      <w:marLeft w:val="0"/>
      <w:marRight w:val="0"/>
      <w:marTop w:val="0"/>
      <w:marBottom w:val="0"/>
      <w:divBdr>
        <w:top w:val="none" w:sz="0" w:space="0" w:color="auto"/>
        <w:left w:val="none" w:sz="0" w:space="0" w:color="auto"/>
        <w:bottom w:val="none" w:sz="0" w:space="0" w:color="auto"/>
        <w:right w:val="none" w:sz="0" w:space="0" w:color="auto"/>
      </w:divBdr>
    </w:div>
    <w:div w:id="1976443866">
      <w:bodyDiv w:val="1"/>
      <w:marLeft w:val="0"/>
      <w:marRight w:val="0"/>
      <w:marTop w:val="0"/>
      <w:marBottom w:val="0"/>
      <w:divBdr>
        <w:top w:val="none" w:sz="0" w:space="0" w:color="auto"/>
        <w:left w:val="none" w:sz="0" w:space="0" w:color="auto"/>
        <w:bottom w:val="none" w:sz="0" w:space="0" w:color="auto"/>
        <w:right w:val="none" w:sz="0" w:space="0" w:color="auto"/>
      </w:divBdr>
    </w:div>
    <w:div w:id="1978677956">
      <w:bodyDiv w:val="1"/>
      <w:marLeft w:val="0"/>
      <w:marRight w:val="0"/>
      <w:marTop w:val="0"/>
      <w:marBottom w:val="0"/>
      <w:divBdr>
        <w:top w:val="none" w:sz="0" w:space="0" w:color="auto"/>
        <w:left w:val="none" w:sz="0" w:space="0" w:color="auto"/>
        <w:bottom w:val="none" w:sz="0" w:space="0" w:color="auto"/>
        <w:right w:val="none" w:sz="0" w:space="0" w:color="auto"/>
      </w:divBdr>
    </w:div>
    <w:div w:id="1994751740">
      <w:bodyDiv w:val="1"/>
      <w:marLeft w:val="0"/>
      <w:marRight w:val="0"/>
      <w:marTop w:val="0"/>
      <w:marBottom w:val="0"/>
      <w:divBdr>
        <w:top w:val="none" w:sz="0" w:space="0" w:color="auto"/>
        <w:left w:val="none" w:sz="0" w:space="0" w:color="auto"/>
        <w:bottom w:val="none" w:sz="0" w:space="0" w:color="auto"/>
        <w:right w:val="none" w:sz="0" w:space="0" w:color="auto"/>
      </w:divBdr>
    </w:div>
    <w:div w:id="2016764662">
      <w:bodyDiv w:val="1"/>
      <w:marLeft w:val="0"/>
      <w:marRight w:val="0"/>
      <w:marTop w:val="0"/>
      <w:marBottom w:val="0"/>
      <w:divBdr>
        <w:top w:val="none" w:sz="0" w:space="0" w:color="auto"/>
        <w:left w:val="none" w:sz="0" w:space="0" w:color="auto"/>
        <w:bottom w:val="none" w:sz="0" w:space="0" w:color="auto"/>
        <w:right w:val="none" w:sz="0" w:space="0" w:color="auto"/>
      </w:divBdr>
    </w:div>
    <w:div w:id="2021539660">
      <w:bodyDiv w:val="1"/>
      <w:marLeft w:val="0"/>
      <w:marRight w:val="0"/>
      <w:marTop w:val="0"/>
      <w:marBottom w:val="0"/>
      <w:divBdr>
        <w:top w:val="none" w:sz="0" w:space="0" w:color="auto"/>
        <w:left w:val="none" w:sz="0" w:space="0" w:color="auto"/>
        <w:bottom w:val="none" w:sz="0" w:space="0" w:color="auto"/>
        <w:right w:val="none" w:sz="0" w:space="0" w:color="auto"/>
      </w:divBdr>
    </w:div>
    <w:div w:id="2046059457">
      <w:bodyDiv w:val="1"/>
      <w:marLeft w:val="0"/>
      <w:marRight w:val="0"/>
      <w:marTop w:val="0"/>
      <w:marBottom w:val="0"/>
      <w:divBdr>
        <w:top w:val="none" w:sz="0" w:space="0" w:color="auto"/>
        <w:left w:val="none" w:sz="0" w:space="0" w:color="auto"/>
        <w:bottom w:val="none" w:sz="0" w:space="0" w:color="auto"/>
        <w:right w:val="none" w:sz="0" w:space="0" w:color="auto"/>
      </w:divBdr>
    </w:div>
    <w:div w:id="2077622868">
      <w:bodyDiv w:val="1"/>
      <w:marLeft w:val="0"/>
      <w:marRight w:val="0"/>
      <w:marTop w:val="0"/>
      <w:marBottom w:val="0"/>
      <w:divBdr>
        <w:top w:val="none" w:sz="0" w:space="0" w:color="auto"/>
        <w:left w:val="none" w:sz="0" w:space="0" w:color="auto"/>
        <w:bottom w:val="none" w:sz="0" w:space="0" w:color="auto"/>
        <w:right w:val="none" w:sz="0" w:space="0" w:color="auto"/>
      </w:divBdr>
    </w:div>
    <w:div w:id="2083479640">
      <w:bodyDiv w:val="1"/>
      <w:marLeft w:val="0"/>
      <w:marRight w:val="0"/>
      <w:marTop w:val="0"/>
      <w:marBottom w:val="0"/>
      <w:divBdr>
        <w:top w:val="none" w:sz="0" w:space="0" w:color="auto"/>
        <w:left w:val="none" w:sz="0" w:space="0" w:color="auto"/>
        <w:bottom w:val="none" w:sz="0" w:space="0" w:color="auto"/>
        <w:right w:val="none" w:sz="0" w:space="0" w:color="auto"/>
      </w:divBdr>
    </w:div>
    <w:div w:id="2085031295">
      <w:bodyDiv w:val="1"/>
      <w:marLeft w:val="0"/>
      <w:marRight w:val="0"/>
      <w:marTop w:val="0"/>
      <w:marBottom w:val="0"/>
      <w:divBdr>
        <w:top w:val="none" w:sz="0" w:space="0" w:color="auto"/>
        <w:left w:val="none" w:sz="0" w:space="0" w:color="auto"/>
        <w:bottom w:val="none" w:sz="0" w:space="0" w:color="auto"/>
        <w:right w:val="none" w:sz="0" w:space="0" w:color="auto"/>
      </w:divBdr>
    </w:div>
    <w:div w:id="2141535932">
      <w:bodyDiv w:val="1"/>
      <w:marLeft w:val="0"/>
      <w:marRight w:val="0"/>
      <w:marTop w:val="0"/>
      <w:marBottom w:val="0"/>
      <w:divBdr>
        <w:top w:val="none" w:sz="0" w:space="0" w:color="auto"/>
        <w:left w:val="none" w:sz="0" w:space="0" w:color="auto"/>
        <w:bottom w:val="none" w:sz="0" w:space="0" w:color="auto"/>
        <w:right w:val="none" w:sz="0" w:space="0" w:color="auto"/>
      </w:divBdr>
    </w:div>
    <w:div w:id="2143762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3.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header" Target="header5.xml"/><Relationship Id="rId34" Type="http://schemas.openxmlformats.org/officeDocument/2006/relationships/footer" Target="footer1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5" Type="http://schemas.openxmlformats.org/officeDocument/2006/relationships/footer" Target="footer7.xml"/><Relationship Id="rId33" Type="http://schemas.openxmlformats.org/officeDocument/2006/relationships/image" Target="media/image7.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4.xm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6.xml"/><Relationship Id="rId32" Type="http://schemas.openxmlformats.org/officeDocument/2006/relationships/footer" Target="footer11.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6.xml"/><Relationship Id="rId28" Type="http://schemas.openxmlformats.org/officeDocument/2006/relationships/header" Target="header8.xml"/><Relationship Id="rId36" Type="http://schemas.openxmlformats.org/officeDocument/2006/relationships/footer" Target="footer13.xml"/><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footer" Target="footer8.xml"/><Relationship Id="rId30" Type="http://schemas.openxmlformats.org/officeDocument/2006/relationships/header" Target="header9.xml"/><Relationship Id="rId35" Type="http://schemas.openxmlformats.org/officeDocument/2006/relationships/header" Target="header10.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4F68FC-886D-4C20-9F6A-48126C09FF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4294967249</TotalTime>
  <Pages>4</Pages>
  <Words>102019</Words>
  <Characters>581512</Characters>
  <Application>Microsoft Office Word</Application>
  <DocSecurity>0</DocSecurity>
  <Lines>4845</Lines>
  <Paragraphs>1364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682167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Raman Gulati; RG</dc:creator>
  <cp:lastModifiedBy>RG</cp:lastModifiedBy>
  <cp:revision>39</cp:revision>
  <dcterms:created xsi:type="dcterms:W3CDTF">2014-09-28T08:02:00Z</dcterms:created>
  <dcterms:modified xsi:type="dcterms:W3CDTF">2014-09-30T19:11:00Z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